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color w:val="auto"/>
        </w:rPr>
      </w:pPr>
      <w:r>
        <w:rPr>
          <w:color w:val="auto"/>
        </w:rPr>
        <w:t xml:space="preserve"> </w:t>
      </w:r>
    </w:p>
    <w:p>
      <w:pPr>
        <w:spacing w:line="360" w:lineRule="auto"/>
        <w:ind w:firstLine="180" w:firstLineChars="50"/>
        <w:rPr>
          <w:color w:val="auto"/>
          <w:sz w:val="36"/>
          <w:szCs w:val="36"/>
        </w:rPr>
      </w:pPr>
      <w:r>
        <w:rPr>
          <w:color w:val="auto"/>
          <w:sz w:val="36"/>
          <w:szCs w:val="36"/>
        </w:rPr>
        <w:t>UDC</w:t>
      </w:r>
    </w:p>
    <w:p>
      <w:pPr>
        <w:spacing w:line="360" w:lineRule="auto"/>
        <w:rPr>
          <w:color w:val="auto"/>
          <w:sz w:val="32"/>
          <w:szCs w:val="32"/>
        </w:rPr>
        <w:sectPr>
          <w:headerReference r:id="rId3" w:type="default"/>
          <w:footerReference r:id="rId4" w:type="default"/>
          <w:pgSz w:w="11906" w:h="16838"/>
          <w:pgMar w:top="1134" w:right="1134" w:bottom="1134" w:left="1134" w:header="851" w:footer="992" w:gutter="0"/>
          <w:cols w:space="0" w:num="1"/>
          <w:docGrid w:type="lines" w:linePitch="312" w:charSpace="0"/>
        </w:sectPr>
      </w:pPr>
      <w:r>
        <w:rPr>
          <w:color w:val="auto"/>
          <w:sz w:val="32"/>
          <w:szCs w:val="32"/>
        </w:rPr>
        <w:pict>
          <v:shape id="文本框 9" o:spid="_x0000_s1026" o:spt="202" type="#_x0000_t202" style="position:absolute;left:0pt;margin-left:14.2pt;margin-top:257.9pt;height:368.6pt;width:470pt;mso-position-horizontal-relative:margin;mso-position-vertical-relative:margin;z-index:251672576;mso-width-relative:page;mso-height-relative:page;" stroked="f" coordsize="21600,21600" o:gfxdata="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hw0J0dkAAAALAQAADwAAAAAAAAABACAA&#10;AAAiAAAAZHJzL2Rvd25yZXYueG1sUEsBAhQAFAAAAAgAh07iQD7nBCwMAgAA8AMAAA4AAAAAAAAA&#10;AQAgAAAAKAEAAGRycy9lMm9Eb2MueG1sUEsFBgAAAAAGAAYAWQEAAKYFAAAAAA==&#10;">
            <v:path/>
            <v:fill focussize="0,0"/>
            <v:stroke on="f" joinstyle="miter"/>
            <v:imagedata o:title=""/>
            <o:lock v:ext="edit"/>
            <v:textbox inset="0mm,0mm,0mm,0mm">
              <w:txbxContent>
                <w:p>
                  <w:pPr>
                    <w:jc w:val="center"/>
                    <w:rPr>
                      <w:rFonts w:ascii="黑体" w:eastAsia="黑体"/>
                      <w:kern w:val="0"/>
                      <w:sz w:val="44"/>
                      <w:szCs w:val="44"/>
                    </w:rPr>
                  </w:pPr>
                  <w:r>
                    <w:rPr>
                      <w:rFonts w:hint="eastAsia" w:ascii="黑体" w:eastAsia="黑体"/>
                      <w:kern w:val="0"/>
                      <w:sz w:val="44"/>
                      <w:szCs w:val="44"/>
                    </w:rPr>
                    <w:t>烟气净化碳基材料性能检测标准</w:t>
                  </w:r>
                </w:p>
                <w:p>
                  <w:pPr>
                    <w:jc w:val="center"/>
                    <w:rPr>
                      <w:sz w:val="28"/>
                      <w:szCs w:val="28"/>
                    </w:rPr>
                  </w:pPr>
                  <w:r>
                    <w:rPr>
                      <w:rFonts w:hint="eastAsia"/>
                      <w:sz w:val="28"/>
                      <w:szCs w:val="28"/>
                    </w:rPr>
                    <w:t>Standard of  t</w:t>
                  </w:r>
                  <w:r>
                    <w:rPr>
                      <w:sz w:val="28"/>
                      <w:szCs w:val="28"/>
                    </w:rPr>
                    <w:t>est method</w:t>
                  </w:r>
                  <w:r>
                    <w:rPr>
                      <w:rFonts w:hint="eastAsia"/>
                      <w:sz w:val="28"/>
                      <w:szCs w:val="28"/>
                    </w:rPr>
                    <w:t xml:space="preserve">  </w:t>
                  </w:r>
                  <w:r>
                    <w:rPr>
                      <w:sz w:val="28"/>
                      <w:szCs w:val="28"/>
                    </w:rPr>
                    <w:t xml:space="preserve">for </w:t>
                  </w:r>
                  <w:r>
                    <w:rPr>
                      <w:rFonts w:hint="eastAsia"/>
                      <w:sz w:val="28"/>
                      <w:szCs w:val="28"/>
                    </w:rPr>
                    <w:t xml:space="preserve">performance </w:t>
                  </w:r>
                  <w:r>
                    <w:rPr>
                      <w:sz w:val="28"/>
                      <w:szCs w:val="28"/>
                    </w:rPr>
                    <w:t>of carbon-based materials</w:t>
                  </w:r>
                </w:p>
                <w:p>
                  <w:pPr>
                    <w:jc w:val="center"/>
                    <w:rPr>
                      <w:b/>
                      <w:sz w:val="30"/>
                      <w:szCs w:val="30"/>
                    </w:rPr>
                  </w:pPr>
                  <w:r>
                    <w:rPr>
                      <w:sz w:val="28"/>
                      <w:szCs w:val="28"/>
                    </w:rPr>
                    <w:t xml:space="preserve"> for flue gas purification</w:t>
                  </w:r>
                </w:p>
                <w:p>
                  <w:pPr>
                    <w:jc w:val="center"/>
                    <w:rPr>
                      <w:rFonts w:eastAsia="黑体"/>
                      <w:b/>
                      <w:sz w:val="30"/>
                      <w:szCs w:val="30"/>
                    </w:rPr>
                  </w:pPr>
                  <w:r>
                    <w:rPr>
                      <w:rFonts w:hint="eastAsia" w:eastAsia="黑体"/>
                      <w:b/>
                      <w:sz w:val="30"/>
                      <w:szCs w:val="30"/>
                    </w:rPr>
                    <w:t>（征求意见稿）</w:t>
                  </w:r>
                </w:p>
                <w:p>
                  <w:pPr>
                    <w:rPr>
                      <w:rFonts w:ascii="仿宋_GB2312" w:hAnsi="宋体" w:eastAsia="仿宋_GB2312"/>
                      <w:sz w:val="30"/>
                      <w:szCs w:val="30"/>
                    </w:rPr>
                  </w:pPr>
                </w:p>
                <w:p/>
              </w:txbxContent>
            </v:textbox>
            <w10:anchorlock/>
          </v:shape>
        </w:pict>
      </w:r>
      <w:r>
        <w:rPr>
          <w:color w:val="auto"/>
          <w:sz w:val="32"/>
          <w:szCs w:val="32"/>
        </w:rPr>
        <w:pict>
          <v:shape id="文本框 8" o:spid="_x0000_s1117" o:spt="202" type="#_x0000_t202" style="position:absolute;left:0pt;margin-left:10.1pt;margin-top:672pt;height:65.7pt;width:489.6pt;mso-position-horizontal-relative:margin;mso-position-vertical-relative:margin;z-index:251671552;mso-width-relative:page;mso-height-relative:page;" stroked="f" coordsize="21600,21600" o:gfxdata="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JrdZzaAAAADAEAAA8AAAAAAAAAAQAg&#10;AAAAIgAAAGRycy9kb3ducmV2LnhtbFBLAQIUABQAAAAIAIdO4kCPZMzoDAIAAO8DAAAOAAAAAAAA&#10;AAEAIAAAACkBAABkcnMvZTJvRG9jLnhtbFBLBQYAAAAABgAGAFkBAACnBQAAAAA=&#10;">
            <v:path/>
            <v:fill focussize="0,0"/>
            <v:stroke on="f" joinstyle="miter"/>
            <v:imagedata o:title=""/>
            <o:lock v:ext="edit"/>
            <v:textbox inset="0mm,0mm,0mm,0mm">
              <w:txbxContent>
                <w:p>
                  <w:pPr>
                    <w:rPr>
                      <w:rFonts w:ascii="黑体" w:hAnsi="黑体" w:eastAsia="黑体"/>
                      <w:sz w:val="24"/>
                    </w:rPr>
                  </w:pPr>
                  <w:r>
                    <w:rPr>
                      <w:rFonts w:ascii="黑体" w:hAnsi="黑体" w:eastAsia="黑体"/>
                      <w:sz w:val="24"/>
                    </w:rPr>
                    <w:drawing>
                      <wp:inline distT="0" distB="0" distL="0" distR="0">
                        <wp:extent cx="6141720" cy="228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141720" cy="22860"/>
                                </a:xfrm>
                                <a:prstGeom prst="rect">
                                  <a:avLst/>
                                </a:prstGeom>
                                <a:noFill/>
                                <a:ln>
                                  <a:noFill/>
                                </a:ln>
                              </pic:spPr>
                            </pic:pic>
                          </a:graphicData>
                        </a:graphic>
                      </wp:inline>
                    </w:drawing>
                  </w:r>
                </w:p>
                <w:p>
                  <w:pPr>
                    <w:rPr>
                      <w:rFonts w:ascii="黑体" w:hAnsi="黑体" w:eastAsia="黑体"/>
                      <w:sz w:val="24"/>
                    </w:rPr>
                  </w:pPr>
                </w:p>
                <w:p>
                  <w:pPr>
                    <w:jc w:val="center"/>
                    <w:rPr>
                      <w:rFonts w:ascii="黑体" w:hAnsi="黑体" w:eastAsia="黑体"/>
                      <w:sz w:val="32"/>
                      <w:szCs w:val="32"/>
                    </w:rPr>
                  </w:pPr>
                  <w:r>
                    <w:rPr>
                      <w:rFonts w:hint="eastAsia" w:ascii="黑体" w:hAnsi="黑体" w:eastAsia="黑体"/>
                      <w:sz w:val="32"/>
                      <w:szCs w:val="32"/>
                    </w:rPr>
                    <w:t>中国冶金建设协会 发布</w:t>
                  </w:r>
                </w:p>
              </w:txbxContent>
            </v:textbox>
            <w10:anchorlock/>
          </v:shape>
        </w:pict>
      </w:r>
      <w:r>
        <w:rPr>
          <w:color w:val="auto"/>
          <w:sz w:val="32"/>
          <w:szCs w:val="32"/>
        </w:rPr>
        <w:pict>
          <v:line id="直接连接符 7" o:spid="_x0000_s1116" o:spt="20" style="position:absolute;left:0pt;margin-left:14.2pt;margin-top:671.65pt;height:0pt;width:482pt;z-index:251670528;mso-width-relative:page;mso-height-relative:page;" stroked="t" coordsize="21600,21600" o:gfxdata="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&#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vIkJvWAAAADAEAAA8AAAAAAAAAAQAgAAAAIgAAAGRy&#10;cy9kb3ducmV2LnhtbFBLAQIUABQAAAAIAIdO4kBRjzBmzgEAAGwDAAAOAAAAAAAAAAEAIAAAACUB&#10;AABkcnMvZTJvRG9jLnhtbFBLBQYAAAAABgAGAFkBAABlBQAAAAA=&#10;">
            <v:path arrowok="t"/>
            <v:fill focussize="0,0"/>
            <v:stroke weight="1pt" color="#800008"/>
            <v:imagedata o:title=""/>
            <o:lock v:ext="edit"/>
          </v:line>
        </w:pict>
      </w:r>
      <w:r>
        <w:rPr>
          <w:color w:val="auto"/>
          <w:sz w:val="32"/>
          <w:szCs w:val="32"/>
        </w:rPr>
        <w:pict>
          <v:line id="直接连接符 6" o:spid="_x0000_s1115" o:spt="20" style="position:absolute;left:0pt;margin-left:14.2pt;margin-top:150.65pt;height:0pt;width:482pt;z-index:251669504;mso-width-relative:page;mso-height-relative:page;" stroked="t" coordsize="21600,21600"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&#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KuSbYfWAAAACgEAAA8AAAAAAAAAAQAgAAAAIgAAAGRy&#10;cy9kb3ducmV2LnhtbFBLAQIUABQAAAAIAIdO4kAnB2nczgEAAGwDAAAOAAAAAAAAAAEAIAAAACUB&#10;AABkcnMvZTJvRG9jLnhtbFBLBQYAAAAABgAGAFkBAABlBQAAAAA=&#10;">
            <v:path arrowok="t"/>
            <v:fill focussize="0,0"/>
            <v:stroke weight="1pt" color="#800008"/>
            <v:imagedata o:title=""/>
            <o:lock v:ext="edit"/>
          </v:line>
        </w:pict>
      </w:r>
      <w:r>
        <w:rPr>
          <w:color w:val="auto"/>
          <w:sz w:val="32"/>
          <w:szCs w:val="32"/>
        </w:rPr>
        <w:pict>
          <v:shape id="文本框 5" o:spid="_x0000_s1114" o:spt="202" type="#_x0000_t202" style="position:absolute;left:0pt;margin-left:337.1pt;margin-top:645.95pt;height:24.6pt;width:159pt;mso-position-horizontal-relative:margin;mso-position-vertical-relative:margin;z-index:251668480;mso-width-relative:page;mso-height-relative:page;" stroked="f" coordsize="21600,21600" o:gfxdata="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IaDaDaAAAADQEAAA8AAAAAAAAAAQAgAAAA&#10;IgAAAGRycy9kb3ducmV2LnhtbFBLAQIUABQAAAAIAIdO4kDr80u8CQIAAO8DAAAOAAAAAAAAAAEA&#10;IAAAACkBAABkcnMvZTJvRG9jLnhtbFBLBQYAAAAABgAGAFkBAACkBQAAAAA=&#10;">
            <v:path/>
            <v:fill focussize="0,0"/>
            <v:stroke on="f" joinstyle="miter"/>
            <v:imagedata o:title=""/>
            <o:lock v:ext="edit"/>
            <v:textbox inset="0mm,0mm,0mm,0mm">
              <w:txbxContent>
                <w:p>
                  <w:pPr>
                    <w:ind w:firstLine="300" w:firstLineChars="100"/>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实施</w:t>
                  </w:r>
                </w:p>
              </w:txbxContent>
            </v:textbox>
            <w10:anchorlock/>
          </v:shape>
        </w:pict>
      </w:r>
      <w:r>
        <w:rPr>
          <w:color w:val="auto"/>
          <w:sz w:val="32"/>
          <w:szCs w:val="32"/>
        </w:rPr>
        <w:pict>
          <v:shape id="文本框 4" o:spid="_x0000_s1113" o:spt="202" type="#_x0000_t202" style="position:absolute;left:0pt;margin-left:14.2pt;margin-top:645.95pt;height:24.6pt;width:159pt;mso-position-horizontal-relative:margin;mso-position-vertical-relative:margin;z-index:251667456;mso-width-relative:page;mso-height-relative:page;" stroked="f" coordsize="21600,21600" o:gfxdata="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0cCy2gAAAAwBAAAPAAAAAAAAAAEAIAAA&#10;ACIAAABkcnMvZG93bnJldi54bWxQSwECFAAUAAAACACHTuJArFAafAoCAADvAwAADgAAAAAAAAAB&#10;ACAAAAApAQAAZHJzL2Uyb0RvYy54bWxQSwUGAAAAAAYABgBZAQAApQUAAAAA&#10;">
            <v:path/>
            <v:fill focussize="0,0"/>
            <v:stroke on="f" joinstyle="miter"/>
            <v:imagedata o:title=""/>
            <o:lock v:ext="edit"/>
            <v:textbox inset="0mm,0mm,0mm,0mm">
              <w:txbxContent>
                <w:p>
                  <w:pPr>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发布</w:t>
                  </w:r>
                </w:p>
              </w:txbxContent>
            </v:textbox>
            <w10:anchorlock/>
          </v:shape>
        </w:pict>
      </w:r>
      <w:r>
        <w:rPr>
          <w:color w:val="auto"/>
          <w:sz w:val="32"/>
          <w:szCs w:val="32"/>
        </w:rPr>
        <w:pict>
          <v:shape id="文本框 3" o:spid="_x0000_s1112" o:spt="202" type="#_x0000_t202" style="position:absolute;left:0pt;margin-left:14.2pt;margin-top:89.7pt;height:42pt;width:456.9pt;mso-position-horizontal-relative:margin;mso-position-vertical-relative:margin;z-index:251664384;mso-width-relative:page;mso-height-relative:page;" stroked="f" coordsize="21600,21600" o:gfxdata="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WAw9Y2QAAAAoBAAAPAAAAAAAAAAEAIAAA&#10;ACIAAABkcnMvZG93bnJldi54bWxQSwECFAAUAAAACACHTuJAr9L5EAsCAADvAwAADgAAAAAAAAAB&#10;ACAAAAAoAQAAZHJzL2Uyb0RvYy54bWxQSwUGAAAAAAYABgBZAQAApQUAAAAA&#10;">
            <v:path/>
            <v:fill focussize="0,0"/>
            <v:stroke on="f" joinstyle="miter"/>
            <v:imagedata o:title=""/>
            <o:lock v:ext="edit"/>
            <v:textbox inset="0mm,0mm,0mm,0mm">
              <w:txbxContent>
                <w:p>
                  <w:pPr>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sz w:val="36"/>
                      <w:szCs w:val="36"/>
                    </w:rPr>
                    <w:t>X</w:t>
                  </w:r>
                  <w:r>
                    <w:rPr>
                      <w:rFonts w:hint="eastAsia"/>
                      <w:sz w:val="36"/>
                      <w:szCs w:val="36"/>
                    </w:rPr>
                    <w:t>XXX</w:t>
                  </w:r>
                  <w:r>
                    <w:rPr>
                      <w:color w:val="000000"/>
                      <w:sz w:val="36"/>
                      <w:szCs w:val="36"/>
                    </w:rPr>
                    <w:t>-2022</w:t>
                  </w:r>
                </w:p>
                <w:p/>
                <w:p/>
              </w:txbxContent>
            </v:textbox>
            <w10:anchorlock/>
          </v:shape>
        </w:pict>
      </w:r>
      <w:r>
        <w:rPr>
          <w:color w:val="auto"/>
          <w:sz w:val="32"/>
          <w:szCs w:val="32"/>
        </w:rPr>
        <w:pict>
          <v:shape id="文本框 2" o:spid="_x0000_s1111" o:spt="202" type="#_x0000_t202" style="position:absolute;left:0pt;margin-left:59.3pt;margin-top:51.25pt;height:30.8pt;width:369.9pt;mso-position-horizontal-relative:margin;mso-position-vertical-relative:margin;z-index:251663360;mso-width-relative:page;mso-height-relative:page;" stroked="f" coordsize="21600,21600" o:gfxdata="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Nb7ux2QAAAAsBAAAPAAAAAAAAAAEAIAAA&#10;ACIAAABkcnMvZG93bnJldi54bWxQSwECFAAUAAAACACHTuJAZ78OqQsCAADuAwAADgAAAAAAAAAB&#10;ACAAAAAoAQAAZHJzL2Uyb0RvYy54bWxQSwUGAAAAAAYABgBZAQAApQUAAAAA&#10;">
            <v:path/>
            <v:fill focussize="0,0"/>
            <v:stroke on="f" joinstyle="miter"/>
            <v:imagedata o:title=""/>
            <o:lock v:ext="edit"/>
            <v:textbox inset="0mm,0mm,0mm,0mm">
              <w:txbxContent>
                <w:p>
                  <w:pPr>
                    <w:ind w:firstLine="1440" w:firstLineChars="300"/>
                    <w:jc w:val="left"/>
                    <w:rPr>
                      <w:rFonts w:ascii="黑体" w:hAnsi="黑体" w:eastAsia="黑体"/>
                      <w:sz w:val="48"/>
                      <w:szCs w:val="48"/>
                    </w:rPr>
                  </w:pPr>
                  <w:r>
                    <w:rPr>
                      <w:rFonts w:hint="eastAsia" w:ascii="黑体" w:hAnsi="黑体" w:eastAsia="黑体"/>
                      <w:sz w:val="48"/>
                      <w:szCs w:val="48"/>
                    </w:rPr>
                    <w:t>团   体   标   准</w:t>
                  </w:r>
                </w:p>
              </w:txbxContent>
            </v:textbox>
            <w10:anchorlock/>
          </v:shape>
        </w:pict>
      </w:r>
    </w:p>
    <w:p>
      <w:pPr>
        <w:spacing w:line="360" w:lineRule="auto"/>
        <w:jc w:val="center"/>
        <w:rPr>
          <w:color w:val="auto"/>
          <w:sz w:val="32"/>
          <w:szCs w:val="32"/>
        </w:rPr>
      </w:pPr>
      <w:bookmarkStart w:id="0" w:name="_Toc304821877"/>
      <w:bookmarkStart w:id="1" w:name="_Toc305074559"/>
      <w:r>
        <w:rPr>
          <w:color w:val="auto"/>
          <w:sz w:val="32"/>
          <w:szCs w:val="32"/>
        </w:rPr>
        <w:t>团体标准</w:t>
      </w:r>
    </w:p>
    <w:p>
      <w:pPr>
        <w:spacing w:line="360" w:lineRule="auto"/>
        <w:jc w:val="center"/>
        <w:rPr>
          <w:color w:val="auto"/>
          <w:sz w:val="28"/>
          <w:szCs w:val="28"/>
        </w:rPr>
      </w:pPr>
    </w:p>
    <w:p>
      <w:pPr>
        <w:spacing w:line="360" w:lineRule="auto"/>
        <w:jc w:val="center"/>
        <w:rPr>
          <w:color w:val="auto"/>
          <w:sz w:val="28"/>
          <w:szCs w:val="28"/>
        </w:rPr>
      </w:pPr>
    </w:p>
    <w:p>
      <w:pPr>
        <w:spacing w:line="360" w:lineRule="auto"/>
        <w:jc w:val="center"/>
        <w:rPr>
          <w:color w:val="auto"/>
          <w:kern w:val="0"/>
          <w:sz w:val="32"/>
          <w:szCs w:val="32"/>
        </w:rPr>
      </w:pPr>
      <w:r>
        <w:rPr>
          <w:color w:val="auto"/>
          <w:kern w:val="0"/>
          <w:sz w:val="32"/>
          <w:szCs w:val="32"/>
        </w:rPr>
        <w:t>烟气净化碳基材料性能检测标准</w:t>
      </w:r>
    </w:p>
    <w:p>
      <w:pPr>
        <w:spacing w:line="360" w:lineRule="auto"/>
        <w:jc w:val="center"/>
        <w:rPr>
          <w:color w:val="auto"/>
          <w:sz w:val="24"/>
        </w:rPr>
      </w:pPr>
      <w:r>
        <w:rPr>
          <w:color w:val="auto"/>
          <w:sz w:val="24"/>
        </w:rPr>
        <w:t>Standard of test method for performance of carbon-based</w:t>
      </w:r>
    </w:p>
    <w:p>
      <w:pPr>
        <w:spacing w:line="360" w:lineRule="auto"/>
        <w:jc w:val="center"/>
        <w:rPr>
          <w:color w:val="auto"/>
          <w:sz w:val="24"/>
        </w:rPr>
      </w:pPr>
      <w:r>
        <w:rPr>
          <w:color w:val="auto"/>
          <w:sz w:val="24"/>
        </w:rPr>
        <w:t xml:space="preserve"> materials for flue gas purification</w:t>
      </w:r>
    </w:p>
    <w:p>
      <w:pPr>
        <w:spacing w:line="360" w:lineRule="auto"/>
        <w:jc w:val="center"/>
        <w:rPr>
          <w:b/>
          <w:color w:val="auto"/>
          <w:sz w:val="28"/>
          <w:szCs w:val="28"/>
        </w:rPr>
      </w:pPr>
      <w:r>
        <w:rPr>
          <w:b/>
          <w:color w:val="auto"/>
          <w:sz w:val="28"/>
          <w:szCs w:val="28"/>
        </w:rPr>
        <w:t>T/CMCA XXXX-202</w:t>
      </w:r>
      <w:r>
        <w:rPr>
          <w:rFonts w:hint="eastAsia"/>
          <w:b/>
          <w:color w:val="auto"/>
          <w:sz w:val="28"/>
          <w:szCs w:val="28"/>
        </w:rPr>
        <w:t>2</w:t>
      </w:r>
    </w:p>
    <w:p>
      <w:pPr>
        <w:spacing w:line="360" w:lineRule="auto"/>
        <w:jc w:val="center"/>
        <w:rPr>
          <w:color w:val="auto"/>
          <w:sz w:val="28"/>
          <w:szCs w:val="28"/>
        </w:rPr>
      </w:pPr>
    </w:p>
    <w:p>
      <w:pPr>
        <w:spacing w:line="360" w:lineRule="auto"/>
        <w:ind w:left="3574" w:leftChars="1102" w:hanging="1260" w:hangingChars="525"/>
        <w:rPr>
          <w:color w:val="auto"/>
          <w:sz w:val="24"/>
        </w:rPr>
      </w:pPr>
      <w:r>
        <w:rPr>
          <w:color w:val="auto"/>
          <w:sz w:val="24"/>
        </w:rPr>
        <w:t>主编单位：中冶长天国际工程有限责任公司</w:t>
      </w:r>
    </w:p>
    <w:p>
      <w:pPr>
        <w:spacing w:line="360" w:lineRule="auto"/>
        <w:ind w:left="2318" w:leftChars="1104"/>
        <w:rPr>
          <w:color w:val="auto"/>
          <w:sz w:val="24"/>
        </w:rPr>
      </w:pPr>
      <w:r>
        <w:rPr>
          <w:color w:val="auto"/>
          <w:sz w:val="24"/>
        </w:rPr>
        <w:t>发布单位：中国冶金建设协会</w:t>
      </w:r>
    </w:p>
    <w:p>
      <w:pPr>
        <w:spacing w:line="360" w:lineRule="auto"/>
        <w:ind w:left="2318" w:leftChars="1104"/>
        <w:rPr>
          <w:color w:val="auto"/>
          <w:sz w:val="24"/>
        </w:rPr>
      </w:pPr>
      <w:r>
        <w:rPr>
          <w:color w:val="auto"/>
          <w:sz w:val="24"/>
        </w:rPr>
        <w:t>施行日期：XXXX年XX月XX日</w:t>
      </w: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30"/>
          <w:szCs w:val="30"/>
        </w:rPr>
      </w:pPr>
    </w:p>
    <w:p>
      <w:pPr>
        <w:spacing w:line="360" w:lineRule="auto"/>
        <w:jc w:val="center"/>
        <w:rPr>
          <w:color w:val="auto"/>
          <w:sz w:val="28"/>
          <w:szCs w:val="28"/>
        </w:rPr>
      </w:pPr>
      <w:r>
        <w:rPr>
          <w:color w:val="auto"/>
          <w:sz w:val="28"/>
          <w:szCs w:val="28"/>
        </w:rPr>
        <w:t>冶金工业出版社</w:t>
      </w:r>
    </w:p>
    <w:p>
      <w:pPr>
        <w:spacing w:line="360" w:lineRule="auto"/>
        <w:jc w:val="center"/>
        <w:rPr>
          <w:color w:val="auto"/>
          <w:sz w:val="28"/>
          <w:szCs w:val="28"/>
        </w:rPr>
        <w:sectPr>
          <w:footerReference r:id="rId5" w:type="default"/>
          <w:footerReference r:id="rId6" w:type="even"/>
          <w:pgSz w:w="11906" w:h="16838"/>
          <w:pgMar w:top="1134" w:right="1134" w:bottom="1134" w:left="1134" w:header="851" w:footer="992" w:gutter="0"/>
          <w:pgNumType w:start="1"/>
          <w:cols w:space="0" w:num="1"/>
          <w:docGrid w:type="lines" w:linePitch="312" w:charSpace="0"/>
        </w:sectPr>
      </w:pPr>
      <w:r>
        <w:rPr>
          <w:color w:val="auto"/>
          <w:sz w:val="28"/>
          <w:szCs w:val="28"/>
        </w:rPr>
        <w:t>202</w:t>
      </w:r>
      <w:r>
        <w:rPr>
          <w:rFonts w:hint="eastAsia"/>
          <w:color w:val="auto"/>
          <w:sz w:val="28"/>
          <w:szCs w:val="28"/>
        </w:rPr>
        <w:t>2</w:t>
      </w:r>
      <w:r>
        <w:rPr>
          <w:color w:val="auto"/>
          <w:sz w:val="28"/>
          <w:szCs w:val="28"/>
        </w:rPr>
        <w:t>北京</w:t>
      </w:r>
    </w:p>
    <w:p>
      <w:pPr>
        <w:pStyle w:val="2"/>
        <w:spacing w:before="120" w:after="120" w:line="360" w:lineRule="auto"/>
        <w:jc w:val="center"/>
        <w:rPr>
          <w:color w:val="auto"/>
          <w:sz w:val="28"/>
          <w:szCs w:val="28"/>
        </w:rPr>
      </w:pPr>
      <w:bookmarkStart w:id="2" w:name="_Toc19401"/>
      <w:bookmarkStart w:id="3" w:name="_Toc21772"/>
      <w:bookmarkStart w:id="4" w:name="_Toc5068"/>
      <w:bookmarkStart w:id="5" w:name="_Toc23583"/>
      <w:bookmarkStart w:id="6" w:name="_Toc14011"/>
      <w:bookmarkStart w:id="7" w:name="_Toc28941"/>
      <w:bookmarkStart w:id="8" w:name="_Toc25796"/>
      <w:bookmarkStart w:id="9" w:name="_Toc10111"/>
      <w:r>
        <w:rPr>
          <w:color w:val="auto"/>
          <w:sz w:val="28"/>
          <w:szCs w:val="28"/>
        </w:rPr>
        <w:t>前言</w:t>
      </w:r>
      <w:bookmarkEnd w:id="0"/>
      <w:bookmarkEnd w:id="1"/>
      <w:bookmarkEnd w:id="2"/>
      <w:bookmarkEnd w:id="3"/>
      <w:bookmarkEnd w:id="4"/>
      <w:bookmarkEnd w:id="5"/>
      <w:bookmarkEnd w:id="6"/>
      <w:bookmarkEnd w:id="7"/>
      <w:bookmarkEnd w:id="8"/>
      <w:bookmarkEnd w:id="9"/>
    </w:p>
    <w:p>
      <w:pPr>
        <w:numPr>
          <w:ilvl w:val="0"/>
          <w:numId w:val="1"/>
        </w:numPr>
        <w:spacing w:line="360" w:lineRule="auto"/>
        <w:ind w:firstLine="420" w:firstLineChars="200"/>
        <w:rPr>
          <w:color w:val="auto"/>
          <w:szCs w:val="21"/>
        </w:rPr>
      </w:pPr>
      <w:r>
        <w:rPr>
          <w:color w:val="auto"/>
          <w:szCs w:val="21"/>
        </w:rPr>
        <w:t>本标准根据中国冶金建设协会《关于印发2021年工程建设团体标准编制计划的通知》（冶建协[2021]1号）的要求，由中冶长天国际工程有限责任公司会同有关单位共同完成。</w:t>
      </w:r>
    </w:p>
    <w:p>
      <w:pPr>
        <w:numPr>
          <w:ilvl w:val="0"/>
          <w:numId w:val="1"/>
        </w:numPr>
        <w:spacing w:line="360" w:lineRule="auto"/>
        <w:ind w:firstLine="420" w:firstLineChars="200"/>
        <w:rPr>
          <w:color w:val="auto"/>
          <w:szCs w:val="21"/>
        </w:rPr>
      </w:pPr>
      <w:r>
        <w:rPr>
          <w:color w:val="auto"/>
          <w:szCs w:val="21"/>
        </w:rPr>
        <w:t>在本标准制定过程中，标准编制组学习了有关国家法律、法规及标准，开展了深入的调查和试验研究，总结了多年来烟气净化碳基材料性能检测经验和活性炭法烧结烟气净化工艺对碳基材料的使用经验，并广泛征求了有关单位和专家的意见，最后经审查定稿。</w:t>
      </w:r>
    </w:p>
    <w:p>
      <w:pPr>
        <w:numPr>
          <w:ilvl w:val="0"/>
          <w:numId w:val="1"/>
        </w:numPr>
        <w:spacing w:line="360" w:lineRule="auto"/>
        <w:ind w:firstLine="420" w:firstLineChars="200"/>
        <w:rPr>
          <w:color w:val="auto"/>
          <w:szCs w:val="21"/>
        </w:rPr>
      </w:pPr>
      <w:r>
        <w:rPr>
          <w:color w:val="auto"/>
          <w:szCs w:val="21"/>
        </w:rPr>
        <w:t>本标准共</w:t>
      </w:r>
      <w:r>
        <w:rPr>
          <w:rFonts w:hint="eastAsia"/>
          <w:color w:val="auto"/>
          <w:szCs w:val="21"/>
        </w:rPr>
        <w:t>6</w:t>
      </w:r>
      <w:r>
        <w:rPr>
          <w:color w:val="auto"/>
          <w:szCs w:val="21"/>
        </w:rPr>
        <w:t>章，主要内容包括：总则，术语，基本规定，测试仪器和设备，测试试样和试剂，测试及计算。</w:t>
      </w:r>
    </w:p>
    <w:p>
      <w:pPr>
        <w:numPr>
          <w:ilvl w:val="0"/>
          <w:numId w:val="1"/>
        </w:numPr>
        <w:spacing w:line="360" w:lineRule="auto"/>
        <w:ind w:firstLine="420" w:firstLineChars="200"/>
        <w:rPr>
          <w:color w:val="auto"/>
          <w:szCs w:val="21"/>
        </w:rPr>
      </w:pPr>
      <w:r>
        <w:rPr>
          <w:color w:val="auto"/>
          <w:szCs w:val="21"/>
        </w:rPr>
        <w:t>本标准由中国冶金建设协会负责管理，中冶长天国际工程有限责任公司负责具体技术内容的解释。执行过程中如有意见或建议，请寄送至中冶长天国际工程有限责任公司（地址：湖南省长沙市岳麓区节庆路7号；邮编：410205）。</w:t>
      </w:r>
    </w:p>
    <w:p>
      <w:pPr>
        <w:numPr>
          <w:ilvl w:val="0"/>
          <w:numId w:val="1"/>
        </w:numPr>
        <w:spacing w:line="360" w:lineRule="auto"/>
        <w:ind w:firstLine="420" w:firstLineChars="200"/>
        <w:rPr>
          <w:color w:val="auto"/>
          <w:szCs w:val="21"/>
        </w:rPr>
      </w:pPr>
      <w:r>
        <w:rPr>
          <w:color w:val="auto"/>
          <w:szCs w:val="21"/>
        </w:rPr>
        <w:t>本标准主编单位、参编单位、主要起草人和主要审查人：</w:t>
      </w:r>
    </w:p>
    <w:p>
      <w:pPr>
        <w:numPr>
          <w:ilvl w:val="0"/>
          <w:numId w:val="1"/>
        </w:numPr>
        <w:spacing w:line="360" w:lineRule="auto"/>
        <w:ind w:firstLine="420" w:firstLineChars="200"/>
        <w:rPr>
          <w:color w:val="auto"/>
          <w:szCs w:val="21"/>
        </w:rPr>
      </w:pPr>
      <w:r>
        <w:rPr>
          <w:color w:val="auto"/>
          <w:szCs w:val="21"/>
        </w:rPr>
        <w:t>主编单位：中冶长天国际工程有限责任公司</w:t>
      </w:r>
    </w:p>
    <w:p>
      <w:pPr>
        <w:numPr>
          <w:ilvl w:val="0"/>
          <w:numId w:val="1"/>
        </w:numPr>
        <w:spacing w:line="360" w:lineRule="auto"/>
        <w:ind w:firstLine="420" w:firstLineChars="200"/>
        <w:rPr>
          <w:color w:val="auto"/>
          <w:szCs w:val="21"/>
          <w:highlight w:val="red"/>
        </w:rPr>
      </w:pPr>
      <w:r>
        <w:rPr>
          <w:color w:val="auto"/>
          <w:szCs w:val="21"/>
        </w:rPr>
        <w:t>参编单位：XXXX</w:t>
      </w:r>
    </w:p>
    <w:p>
      <w:pPr>
        <w:spacing w:line="360" w:lineRule="auto"/>
        <w:ind w:firstLine="420" w:firstLineChars="200"/>
        <w:rPr>
          <w:color w:val="auto"/>
          <w:highlight w:val="red"/>
        </w:rPr>
      </w:pPr>
      <w:r>
        <w:rPr>
          <w:color w:val="auto"/>
          <w:szCs w:val="21"/>
        </w:rPr>
        <w:t>主要起草人：XXXX</w:t>
      </w:r>
    </w:p>
    <w:p>
      <w:pPr>
        <w:spacing w:line="360" w:lineRule="auto"/>
        <w:ind w:firstLine="420" w:firstLineChars="200"/>
        <w:rPr>
          <w:color w:val="auto"/>
          <w:szCs w:val="21"/>
          <w:highlight w:val="red"/>
        </w:rPr>
        <w:sectPr>
          <w:footerReference r:id="rId7" w:type="default"/>
          <w:footerReference r:id="rId8" w:type="even"/>
          <w:pgSz w:w="11906" w:h="16838"/>
          <w:pgMar w:top="1134" w:right="1134" w:bottom="1134" w:left="1134" w:header="851" w:footer="992" w:gutter="0"/>
          <w:pgNumType w:fmt="upperRoman" w:start="1"/>
          <w:cols w:space="0" w:num="1"/>
          <w:docGrid w:type="lines" w:linePitch="312" w:charSpace="0"/>
        </w:sectPr>
      </w:pPr>
      <w:r>
        <w:rPr>
          <w:color w:val="auto"/>
          <w:szCs w:val="21"/>
        </w:rPr>
        <w:t>主要审查人：XXXX</w:t>
      </w:r>
      <w:bookmarkStart w:id="222" w:name="_GoBack"/>
      <w:bookmarkEnd w:id="222"/>
    </w:p>
    <w:p>
      <w:pPr>
        <w:pStyle w:val="2"/>
        <w:spacing w:before="120" w:after="120" w:line="360" w:lineRule="auto"/>
        <w:jc w:val="center"/>
        <w:rPr>
          <w:color w:val="auto"/>
          <w:sz w:val="28"/>
          <w:szCs w:val="28"/>
        </w:rPr>
      </w:pPr>
      <w:bookmarkStart w:id="10" w:name="_Toc1282"/>
      <w:bookmarkStart w:id="11" w:name="_Toc6070"/>
      <w:bookmarkStart w:id="12" w:name="_Toc29269"/>
      <w:bookmarkStart w:id="13" w:name="_Toc21944"/>
      <w:bookmarkStart w:id="14" w:name="_Toc22236"/>
      <w:bookmarkStart w:id="15" w:name="_Toc17927"/>
      <w:bookmarkStart w:id="16" w:name="_Toc26001"/>
      <w:bookmarkStart w:id="17" w:name="_Toc27340"/>
      <w:bookmarkStart w:id="18" w:name="_Toc248742352"/>
      <w:bookmarkStart w:id="19" w:name="_Toc248741460"/>
      <w:bookmarkStart w:id="20" w:name="_Toc304821902"/>
      <w:bookmarkStart w:id="21" w:name="_Toc268104372"/>
      <w:bookmarkStart w:id="22" w:name="_Toc294010615"/>
      <w:bookmarkStart w:id="23" w:name="_Toc294010798"/>
      <w:r>
        <w:rPr>
          <w:color w:val="auto"/>
          <w:sz w:val="28"/>
          <w:szCs w:val="28"/>
        </w:rPr>
        <w:t>目次</w:t>
      </w:r>
      <w:bookmarkEnd w:id="10"/>
      <w:bookmarkEnd w:id="11"/>
      <w:bookmarkEnd w:id="12"/>
      <w:bookmarkEnd w:id="13"/>
      <w:bookmarkEnd w:id="14"/>
      <w:bookmarkEnd w:id="15"/>
      <w:bookmarkEnd w:id="16"/>
      <w:bookmarkEnd w:id="17"/>
    </w:p>
    <w:p>
      <w:pPr>
        <w:pStyle w:val="13"/>
        <w:tabs>
          <w:tab w:val="right" w:leader="dot" w:pos="9638"/>
          <w:tab w:val="clear" w:pos="9628"/>
        </w:tabs>
        <w:rPr>
          <w:color w:val="auto"/>
        </w:rPr>
      </w:pPr>
      <w:bookmarkStart w:id="24" w:name="_Toc305074560"/>
      <w:bookmarkStart w:id="25" w:name="_Toc285441227"/>
      <w:bookmarkStart w:id="26" w:name="_Toc305076430"/>
      <w:bookmarkStart w:id="27" w:name="_Toc289243430"/>
      <w:bookmarkStart w:id="28" w:name="_Toc324751818"/>
      <w:bookmarkStart w:id="29" w:name="_Toc304821878"/>
      <w:bookmarkStart w:id="30" w:name="_Toc301429571"/>
      <w:bookmarkStart w:id="31" w:name="_Toc289433268"/>
      <w:r>
        <w:rPr>
          <w:color w:val="auto"/>
          <w:highlight w:val="red"/>
        </w:rPr>
        <w:fldChar w:fldCharType="begin"/>
      </w:r>
      <w:r>
        <w:rPr>
          <w:color w:val="auto"/>
          <w:highlight w:val="red"/>
        </w:rPr>
        <w:instrText xml:space="preserve">TOC \o "1-2" \h \u </w:instrText>
      </w:r>
      <w:r>
        <w:rPr>
          <w:color w:val="auto"/>
          <w:highlight w:val="red"/>
        </w:rPr>
        <w:fldChar w:fldCharType="separate"/>
      </w:r>
      <w:r>
        <w:rPr>
          <w:color w:val="auto"/>
        </w:rPr>
        <w:fldChar w:fldCharType="begin"/>
      </w:r>
      <w:r>
        <w:rPr>
          <w:color w:val="auto"/>
        </w:rPr>
        <w:instrText xml:space="preserve"> HYPERLINK \l "_Toc4927" </w:instrText>
      </w:r>
      <w:r>
        <w:rPr>
          <w:color w:val="auto"/>
        </w:rPr>
        <w:fldChar w:fldCharType="separate"/>
      </w:r>
      <w:r>
        <w:rPr>
          <w:color w:val="auto"/>
        </w:rPr>
        <w:t>1 总则</w:t>
      </w:r>
      <w:r>
        <w:rPr>
          <w:color w:val="auto"/>
        </w:rPr>
        <w:tab/>
      </w:r>
      <w:r>
        <w:rPr>
          <w:color w:val="auto"/>
        </w:rPr>
        <w:fldChar w:fldCharType="end"/>
      </w:r>
      <w:r>
        <w:rPr>
          <w:rFonts w:hint="eastAsia"/>
          <w:color w:val="auto"/>
        </w:rPr>
        <w:t>1</w:t>
      </w:r>
    </w:p>
    <w:p>
      <w:pPr>
        <w:pStyle w:val="13"/>
        <w:tabs>
          <w:tab w:val="right" w:leader="dot" w:pos="9638"/>
          <w:tab w:val="clear" w:pos="9628"/>
        </w:tabs>
        <w:rPr>
          <w:color w:val="auto"/>
        </w:rPr>
      </w:pPr>
      <w:r>
        <w:rPr>
          <w:color w:val="auto"/>
        </w:rPr>
        <w:fldChar w:fldCharType="begin"/>
      </w:r>
      <w:r>
        <w:rPr>
          <w:color w:val="auto"/>
        </w:rPr>
        <w:instrText xml:space="preserve"> HYPERLINK \l "_Toc19113" </w:instrText>
      </w:r>
      <w:r>
        <w:rPr>
          <w:color w:val="auto"/>
        </w:rPr>
        <w:fldChar w:fldCharType="separate"/>
      </w:r>
      <w:r>
        <w:rPr>
          <w:color w:val="auto"/>
        </w:rPr>
        <w:t>2 术语</w:t>
      </w:r>
      <w:r>
        <w:rPr>
          <w:color w:val="auto"/>
        </w:rPr>
        <w:tab/>
      </w:r>
      <w:r>
        <w:rPr>
          <w:color w:val="auto"/>
        </w:rPr>
        <w:fldChar w:fldCharType="end"/>
      </w:r>
      <w:r>
        <w:rPr>
          <w:rFonts w:hint="eastAsia"/>
          <w:color w:val="auto"/>
        </w:rPr>
        <w:t>2</w:t>
      </w:r>
    </w:p>
    <w:p>
      <w:pPr>
        <w:pStyle w:val="13"/>
        <w:tabs>
          <w:tab w:val="right" w:leader="dot" w:pos="9638"/>
          <w:tab w:val="clear" w:pos="9628"/>
        </w:tabs>
        <w:rPr>
          <w:color w:val="auto"/>
        </w:rPr>
      </w:pPr>
      <w:r>
        <w:rPr>
          <w:color w:val="auto"/>
        </w:rPr>
        <w:fldChar w:fldCharType="begin"/>
      </w:r>
      <w:r>
        <w:rPr>
          <w:color w:val="auto"/>
        </w:rPr>
        <w:instrText xml:space="preserve"> HYPERLINK \l "_Toc21468" </w:instrText>
      </w:r>
      <w:r>
        <w:rPr>
          <w:color w:val="auto"/>
        </w:rPr>
        <w:fldChar w:fldCharType="separate"/>
      </w:r>
      <w:r>
        <w:rPr>
          <w:color w:val="auto"/>
        </w:rPr>
        <w:t>3 基本规定</w:t>
      </w:r>
      <w:r>
        <w:rPr>
          <w:color w:val="auto"/>
        </w:rPr>
        <w:tab/>
      </w:r>
      <w:r>
        <w:rPr>
          <w:color w:val="auto"/>
        </w:rPr>
        <w:fldChar w:fldCharType="end"/>
      </w:r>
      <w:r>
        <w:rPr>
          <w:rFonts w:hint="eastAsia"/>
          <w:color w:val="auto"/>
        </w:rPr>
        <w:t>4</w:t>
      </w:r>
    </w:p>
    <w:p>
      <w:pPr>
        <w:pStyle w:val="13"/>
        <w:tabs>
          <w:tab w:val="right" w:leader="dot" w:pos="9638"/>
          <w:tab w:val="clear" w:pos="9628"/>
        </w:tabs>
        <w:rPr>
          <w:color w:val="auto"/>
        </w:rPr>
      </w:pPr>
      <w:r>
        <w:rPr>
          <w:color w:val="auto"/>
        </w:rPr>
        <w:fldChar w:fldCharType="begin"/>
      </w:r>
      <w:r>
        <w:rPr>
          <w:color w:val="auto"/>
        </w:rPr>
        <w:instrText xml:space="preserve"> HYPERLINK \l "_Toc3100" </w:instrText>
      </w:r>
      <w:r>
        <w:rPr>
          <w:color w:val="auto"/>
        </w:rPr>
        <w:fldChar w:fldCharType="separate"/>
      </w:r>
      <w:r>
        <w:rPr>
          <w:color w:val="auto"/>
        </w:rPr>
        <w:t>4 测试仪器和设备</w:t>
      </w:r>
      <w:r>
        <w:rPr>
          <w:color w:val="auto"/>
        </w:rPr>
        <w:tab/>
      </w:r>
      <w:r>
        <w:rPr>
          <w:color w:val="auto"/>
        </w:rPr>
        <w:fldChar w:fldCharType="end"/>
      </w:r>
      <w:r>
        <w:rPr>
          <w:rFonts w:hint="eastAsia"/>
          <w:color w:val="auto"/>
        </w:rPr>
        <w:t>5</w:t>
      </w:r>
    </w:p>
    <w:p>
      <w:pPr>
        <w:pStyle w:val="13"/>
        <w:tabs>
          <w:tab w:val="right" w:leader="dot" w:pos="9638"/>
          <w:tab w:val="clear" w:pos="9628"/>
        </w:tabs>
        <w:rPr>
          <w:color w:val="auto"/>
        </w:rPr>
      </w:pPr>
      <w:r>
        <w:rPr>
          <w:color w:val="auto"/>
        </w:rPr>
        <w:fldChar w:fldCharType="begin"/>
      </w:r>
      <w:r>
        <w:rPr>
          <w:color w:val="auto"/>
        </w:rPr>
        <w:instrText xml:space="preserve"> HYPERLINK \l "_Toc325" </w:instrText>
      </w:r>
      <w:r>
        <w:rPr>
          <w:color w:val="auto"/>
        </w:rPr>
        <w:fldChar w:fldCharType="separate"/>
      </w:r>
      <w:r>
        <w:rPr>
          <w:color w:val="auto"/>
        </w:rPr>
        <w:t>5 测试试样和试剂</w:t>
      </w:r>
      <w:r>
        <w:rPr>
          <w:color w:val="auto"/>
        </w:rPr>
        <w:tab/>
      </w:r>
      <w:r>
        <w:rPr>
          <w:color w:val="auto"/>
        </w:rPr>
        <w:fldChar w:fldCharType="end"/>
      </w:r>
      <w:r>
        <w:rPr>
          <w:rFonts w:hint="eastAsia"/>
          <w:color w:val="auto"/>
        </w:rPr>
        <w:t>12</w:t>
      </w:r>
    </w:p>
    <w:p>
      <w:pPr>
        <w:pStyle w:val="13"/>
        <w:tabs>
          <w:tab w:val="right" w:leader="dot" w:pos="9638"/>
          <w:tab w:val="clear" w:pos="9628"/>
        </w:tabs>
        <w:rPr>
          <w:color w:val="auto"/>
        </w:rPr>
      </w:pPr>
      <w:r>
        <w:rPr>
          <w:color w:val="auto"/>
        </w:rPr>
        <w:fldChar w:fldCharType="begin"/>
      </w:r>
      <w:r>
        <w:rPr>
          <w:color w:val="auto"/>
        </w:rPr>
        <w:instrText xml:space="preserve"> HYPERLINK \l "_Toc15295" </w:instrText>
      </w:r>
      <w:r>
        <w:rPr>
          <w:color w:val="auto"/>
        </w:rPr>
        <w:fldChar w:fldCharType="separate"/>
      </w:r>
      <w:r>
        <w:rPr>
          <w:color w:val="auto"/>
        </w:rPr>
        <w:t>6 测试及计算</w:t>
      </w:r>
      <w:r>
        <w:rPr>
          <w:color w:val="auto"/>
        </w:rPr>
        <w:tab/>
      </w:r>
      <w:r>
        <w:rPr>
          <w:color w:val="auto"/>
        </w:rPr>
        <w:fldChar w:fldCharType="end"/>
      </w:r>
      <w:r>
        <w:rPr>
          <w:rFonts w:hint="eastAsia"/>
          <w:color w:val="auto"/>
        </w:rPr>
        <w:t>14</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"_Toc9058" </w:instrText>
      </w:r>
      <w:r>
        <w:rPr>
          <w:color w:val="auto"/>
        </w:rPr>
        <w:fldChar w:fldCharType="separate"/>
      </w:r>
      <w:r>
        <w:rPr>
          <w:color w:val="auto"/>
          <w:sz w:val="24"/>
        </w:rPr>
        <w:t>6.1 堆积密度测试及计算</w:t>
      </w:r>
      <w:r>
        <w:rPr>
          <w:color w:val="auto"/>
          <w:sz w:val="24"/>
        </w:rPr>
        <w:tab/>
      </w:r>
      <w:r>
        <w:rPr>
          <w:color w:val="auto"/>
          <w:sz w:val="24"/>
        </w:rPr>
        <w:fldChar w:fldCharType="begin"/>
      </w:r>
      <w:r>
        <w:rPr>
          <w:color w:val="auto"/>
          <w:sz w:val="24"/>
        </w:rPr>
        <w:instrText xml:space="preserve"> PAGEREF _Toc9058 </w:instrText>
      </w:r>
      <w:r>
        <w:rPr>
          <w:color w:val="auto"/>
          <w:sz w:val="24"/>
        </w:rPr>
        <w:fldChar w:fldCharType="separate"/>
      </w:r>
      <w:r>
        <w:rPr>
          <w:color w:val="auto"/>
          <w:sz w:val="24"/>
        </w:rPr>
        <w:t>14</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"_Toc14451" </w:instrText>
      </w:r>
      <w:r>
        <w:rPr>
          <w:color w:val="auto"/>
        </w:rPr>
        <w:fldChar w:fldCharType="separate"/>
      </w:r>
      <w:r>
        <w:rPr>
          <w:color w:val="auto"/>
          <w:sz w:val="24"/>
        </w:rPr>
        <w:t>6.2 粒度分布测试及计算</w:t>
      </w:r>
      <w:r>
        <w:rPr>
          <w:color w:val="auto"/>
          <w:sz w:val="24"/>
        </w:rPr>
        <w:tab/>
      </w:r>
      <w:r>
        <w:rPr>
          <w:color w:val="auto"/>
          <w:sz w:val="24"/>
        </w:rPr>
        <w:fldChar w:fldCharType="begin"/>
      </w:r>
      <w:r>
        <w:rPr>
          <w:color w:val="auto"/>
          <w:sz w:val="24"/>
        </w:rPr>
        <w:instrText xml:space="preserve"> PAGEREF _Toc14451 </w:instrText>
      </w:r>
      <w:r>
        <w:rPr>
          <w:color w:val="auto"/>
          <w:sz w:val="24"/>
        </w:rPr>
        <w:fldChar w:fldCharType="separate"/>
      </w:r>
      <w:r>
        <w:rPr>
          <w:color w:val="auto"/>
          <w:sz w:val="24"/>
        </w:rPr>
        <w:t>15</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"_Toc8647" </w:instrText>
      </w:r>
      <w:r>
        <w:rPr>
          <w:color w:val="auto"/>
        </w:rPr>
        <w:fldChar w:fldCharType="separate"/>
      </w:r>
      <w:r>
        <w:rPr>
          <w:color w:val="auto"/>
          <w:sz w:val="24"/>
        </w:rPr>
        <w:t>6.3 耐磨强度测试及计算</w:t>
      </w:r>
      <w:r>
        <w:rPr>
          <w:color w:val="auto"/>
          <w:sz w:val="24"/>
        </w:rPr>
        <w:tab/>
      </w:r>
      <w:r>
        <w:rPr>
          <w:color w:val="auto"/>
          <w:sz w:val="24"/>
        </w:rPr>
        <w:fldChar w:fldCharType="begin"/>
      </w:r>
      <w:r>
        <w:rPr>
          <w:color w:val="auto"/>
          <w:sz w:val="24"/>
        </w:rPr>
        <w:instrText xml:space="preserve"> PAGEREF _Toc8647 </w:instrText>
      </w:r>
      <w:r>
        <w:rPr>
          <w:color w:val="auto"/>
          <w:sz w:val="24"/>
        </w:rPr>
        <w:fldChar w:fldCharType="separate"/>
      </w:r>
      <w:r>
        <w:rPr>
          <w:color w:val="auto"/>
          <w:sz w:val="24"/>
        </w:rPr>
        <w:t>15</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"_Toc1764" </w:instrText>
      </w:r>
      <w:r>
        <w:rPr>
          <w:color w:val="auto"/>
        </w:rPr>
        <w:fldChar w:fldCharType="separate"/>
      </w:r>
      <w:r>
        <w:rPr>
          <w:color w:val="auto"/>
          <w:sz w:val="24"/>
        </w:rPr>
        <w:t>6.4 耐压强度测试及计算</w:t>
      </w:r>
      <w:r>
        <w:rPr>
          <w:color w:val="auto"/>
          <w:sz w:val="24"/>
        </w:rPr>
        <w:tab/>
      </w:r>
      <w:r>
        <w:rPr>
          <w:color w:val="auto"/>
          <w:sz w:val="24"/>
        </w:rPr>
        <w:fldChar w:fldCharType="begin"/>
      </w:r>
      <w:r>
        <w:rPr>
          <w:color w:val="auto"/>
          <w:sz w:val="24"/>
        </w:rPr>
        <w:instrText xml:space="preserve"> PAGEREF _Toc1764 </w:instrText>
      </w:r>
      <w:r>
        <w:rPr>
          <w:color w:val="auto"/>
          <w:sz w:val="24"/>
        </w:rPr>
        <w:fldChar w:fldCharType="separate"/>
      </w:r>
      <w:r>
        <w:rPr>
          <w:color w:val="auto"/>
          <w:sz w:val="24"/>
        </w:rPr>
        <w:t>16</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"_Toc25643" </w:instrText>
      </w:r>
      <w:r>
        <w:rPr>
          <w:color w:val="auto"/>
        </w:rPr>
        <w:fldChar w:fldCharType="separate"/>
      </w:r>
      <w:r>
        <w:rPr>
          <w:color w:val="auto"/>
          <w:sz w:val="24"/>
        </w:rPr>
        <w:t>6.5 着火点测试及计算</w:t>
      </w:r>
      <w:r>
        <w:rPr>
          <w:color w:val="auto"/>
          <w:sz w:val="24"/>
        </w:rPr>
        <w:tab/>
      </w:r>
      <w:r>
        <w:rPr>
          <w:color w:val="auto"/>
          <w:sz w:val="24"/>
        </w:rPr>
        <w:fldChar w:fldCharType="begin"/>
      </w:r>
      <w:r>
        <w:rPr>
          <w:color w:val="auto"/>
          <w:sz w:val="24"/>
        </w:rPr>
        <w:instrText xml:space="preserve"> PAGEREF _Toc25643 </w:instrText>
      </w:r>
      <w:r>
        <w:rPr>
          <w:color w:val="auto"/>
          <w:sz w:val="24"/>
        </w:rPr>
        <w:fldChar w:fldCharType="separate"/>
      </w:r>
      <w:r>
        <w:rPr>
          <w:color w:val="auto"/>
          <w:sz w:val="24"/>
        </w:rPr>
        <w:t>17</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"_Toc5804" </w:instrText>
      </w:r>
      <w:r>
        <w:rPr>
          <w:color w:val="auto"/>
        </w:rPr>
        <w:fldChar w:fldCharType="separate"/>
      </w:r>
      <w:r>
        <w:rPr>
          <w:color w:val="auto"/>
          <w:sz w:val="24"/>
        </w:rPr>
        <w:t>6.6 水分测试及计算</w:t>
      </w:r>
      <w:r>
        <w:rPr>
          <w:color w:val="auto"/>
          <w:sz w:val="24"/>
        </w:rPr>
        <w:tab/>
      </w:r>
      <w:r>
        <w:rPr>
          <w:color w:val="auto"/>
          <w:sz w:val="24"/>
        </w:rPr>
        <w:fldChar w:fldCharType="begin"/>
      </w:r>
      <w:r>
        <w:rPr>
          <w:color w:val="auto"/>
          <w:sz w:val="24"/>
        </w:rPr>
        <w:instrText xml:space="preserve"> PAGEREF _Toc5804 </w:instrText>
      </w:r>
      <w:r>
        <w:rPr>
          <w:color w:val="auto"/>
          <w:sz w:val="24"/>
        </w:rPr>
        <w:fldChar w:fldCharType="separate"/>
      </w:r>
      <w:r>
        <w:rPr>
          <w:color w:val="auto"/>
          <w:sz w:val="24"/>
        </w:rPr>
        <w:t>17</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"_Toc3996" </w:instrText>
      </w:r>
      <w:r>
        <w:rPr>
          <w:color w:val="auto"/>
        </w:rPr>
        <w:fldChar w:fldCharType="separate"/>
      </w:r>
      <w:r>
        <w:rPr>
          <w:color w:val="auto"/>
          <w:sz w:val="24"/>
        </w:rPr>
        <w:t>6.7 灰分测试及计算</w:t>
      </w:r>
      <w:r>
        <w:rPr>
          <w:color w:val="auto"/>
          <w:sz w:val="24"/>
        </w:rPr>
        <w:tab/>
      </w:r>
      <w:r>
        <w:rPr>
          <w:color w:val="auto"/>
          <w:sz w:val="24"/>
        </w:rPr>
        <w:fldChar w:fldCharType="begin"/>
      </w:r>
      <w:r>
        <w:rPr>
          <w:color w:val="auto"/>
          <w:sz w:val="24"/>
        </w:rPr>
        <w:instrText xml:space="preserve"> PAGEREF _Toc3996 </w:instrText>
      </w:r>
      <w:r>
        <w:rPr>
          <w:color w:val="auto"/>
          <w:sz w:val="24"/>
        </w:rPr>
        <w:fldChar w:fldCharType="separate"/>
      </w:r>
      <w:r>
        <w:rPr>
          <w:color w:val="auto"/>
          <w:sz w:val="24"/>
        </w:rPr>
        <w:t>18</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"_Toc25897" </w:instrText>
      </w:r>
      <w:r>
        <w:rPr>
          <w:color w:val="auto"/>
        </w:rPr>
        <w:fldChar w:fldCharType="separate"/>
      </w:r>
      <w:r>
        <w:rPr>
          <w:color w:val="auto"/>
          <w:sz w:val="24"/>
        </w:rPr>
        <w:t>6.8 挥发分测试及计算</w:t>
      </w:r>
      <w:r>
        <w:rPr>
          <w:color w:val="auto"/>
          <w:sz w:val="24"/>
        </w:rPr>
        <w:tab/>
      </w:r>
      <w:r>
        <w:rPr>
          <w:color w:val="auto"/>
          <w:sz w:val="24"/>
        </w:rPr>
        <w:fldChar w:fldCharType="begin"/>
      </w:r>
      <w:r>
        <w:rPr>
          <w:color w:val="auto"/>
          <w:sz w:val="24"/>
        </w:rPr>
        <w:instrText xml:space="preserve"> PAGEREF _Toc25897 </w:instrText>
      </w:r>
      <w:r>
        <w:rPr>
          <w:color w:val="auto"/>
          <w:sz w:val="24"/>
        </w:rPr>
        <w:fldChar w:fldCharType="separate"/>
      </w:r>
      <w:r>
        <w:rPr>
          <w:color w:val="auto"/>
          <w:sz w:val="24"/>
        </w:rPr>
        <w:t>19</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"_Toc3671" </w:instrText>
      </w:r>
      <w:r>
        <w:rPr>
          <w:color w:val="auto"/>
        </w:rPr>
        <w:fldChar w:fldCharType="separate"/>
      </w:r>
      <w:r>
        <w:rPr>
          <w:color w:val="auto"/>
          <w:sz w:val="24"/>
        </w:rPr>
        <w:t>6.9 水容量测试及计算</w:t>
      </w:r>
      <w:r>
        <w:rPr>
          <w:color w:val="auto"/>
          <w:sz w:val="24"/>
        </w:rPr>
        <w:tab/>
      </w:r>
      <w:r>
        <w:rPr>
          <w:color w:val="auto"/>
          <w:sz w:val="24"/>
        </w:rPr>
        <w:fldChar w:fldCharType="begin"/>
      </w:r>
      <w:r>
        <w:rPr>
          <w:color w:val="auto"/>
          <w:sz w:val="24"/>
        </w:rPr>
        <w:instrText xml:space="preserve"> PAGEREF _Toc3671 </w:instrText>
      </w:r>
      <w:r>
        <w:rPr>
          <w:color w:val="auto"/>
          <w:sz w:val="24"/>
        </w:rPr>
        <w:fldChar w:fldCharType="separate"/>
      </w:r>
      <w:r>
        <w:rPr>
          <w:color w:val="auto"/>
          <w:sz w:val="24"/>
        </w:rPr>
        <w:t>20</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"_Toc5244" </w:instrText>
      </w:r>
      <w:r>
        <w:rPr>
          <w:color w:val="auto"/>
        </w:rPr>
        <w:fldChar w:fldCharType="separate"/>
      </w:r>
      <w:r>
        <w:rPr>
          <w:color w:val="auto"/>
          <w:sz w:val="24"/>
        </w:rPr>
        <w:t>6.10 SO</w:t>
      </w:r>
      <w:r>
        <w:rPr>
          <w:color w:val="auto"/>
          <w:sz w:val="24"/>
          <w:vertAlign w:val="subscript"/>
        </w:rPr>
        <w:t>2</w:t>
      </w:r>
      <w:r>
        <w:rPr>
          <w:color w:val="auto"/>
          <w:sz w:val="24"/>
        </w:rPr>
        <w:t>吸附值测试及计算</w:t>
      </w:r>
      <w:r>
        <w:rPr>
          <w:color w:val="auto"/>
          <w:sz w:val="24"/>
        </w:rPr>
        <w:tab/>
      </w:r>
      <w:r>
        <w:rPr>
          <w:color w:val="auto"/>
          <w:sz w:val="24"/>
        </w:rPr>
        <w:fldChar w:fldCharType="begin"/>
      </w:r>
      <w:r>
        <w:rPr>
          <w:color w:val="auto"/>
          <w:sz w:val="24"/>
        </w:rPr>
        <w:instrText xml:space="preserve"> PAGEREF _Toc5244 </w:instrText>
      </w:r>
      <w:r>
        <w:rPr>
          <w:color w:val="auto"/>
          <w:sz w:val="24"/>
        </w:rPr>
        <w:fldChar w:fldCharType="separate"/>
      </w:r>
      <w:r>
        <w:rPr>
          <w:color w:val="auto"/>
          <w:sz w:val="24"/>
        </w:rPr>
        <w:t>20</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"_Toc16242" </w:instrText>
      </w:r>
      <w:r>
        <w:rPr>
          <w:color w:val="auto"/>
        </w:rPr>
        <w:fldChar w:fldCharType="separate"/>
      </w:r>
      <w:r>
        <w:rPr>
          <w:color w:val="auto"/>
          <w:sz w:val="24"/>
        </w:rPr>
        <w:t>6.11 SO</w:t>
      </w:r>
      <w:r>
        <w:rPr>
          <w:color w:val="auto"/>
          <w:sz w:val="24"/>
          <w:vertAlign w:val="subscript"/>
        </w:rPr>
        <w:t>2</w:t>
      </w:r>
      <w:r>
        <w:rPr>
          <w:color w:val="auto"/>
          <w:sz w:val="24"/>
        </w:rPr>
        <w:t>循环吸附值测试及计算</w:t>
      </w:r>
      <w:r>
        <w:rPr>
          <w:color w:val="auto"/>
          <w:sz w:val="24"/>
        </w:rPr>
        <w:tab/>
      </w:r>
      <w:r>
        <w:rPr>
          <w:color w:val="auto"/>
          <w:sz w:val="24"/>
        </w:rPr>
        <w:fldChar w:fldCharType="begin"/>
      </w:r>
      <w:r>
        <w:rPr>
          <w:color w:val="auto"/>
          <w:sz w:val="24"/>
        </w:rPr>
        <w:instrText xml:space="preserve"> PAGEREF _Toc16242 </w:instrText>
      </w:r>
      <w:r>
        <w:rPr>
          <w:color w:val="auto"/>
          <w:sz w:val="24"/>
        </w:rPr>
        <w:fldChar w:fldCharType="separate"/>
      </w:r>
      <w:r>
        <w:rPr>
          <w:color w:val="auto"/>
          <w:sz w:val="24"/>
        </w:rPr>
        <w:t>21</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"_Toc32525" </w:instrText>
      </w:r>
      <w:r>
        <w:rPr>
          <w:color w:val="auto"/>
        </w:rPr>
        <w:fldChar w:fldCharType="separate"/>
      </w:r>
      <w:r>
        <w:rPr>
          <w:color w:val="auto"/>
          <w:sz w:val="24"/>
        </w:rPr>
        <w:t>6.12 脱硝率测试及计算</w:t>
      </w:r>
      <w:r>
        <w:rPr>
          <w:color w:val="auto"/>
          <w:sz w:val="24"/>
        </w:rPr>
        <w:tab/>
      </w:r>
      <w:r>
        <w:rPr>
          <w:color w:val="auto"/>
          <w:sz w:val="24"/>
        </w:rPr>
        <w:fldChar w:fldCharType="begin"/>
      </w:r>
      <w:r>
        <w:rPr>
          <w:color w:val="auto"/>
          <w:sz w:val="24"/>
        </w:rPr>
        <w:instrText xml:space="preserve"> PAGEREF _Toc32525 </w:instrText>
      </w:r>
      <w:r>
        <w:rPr>
          <w:color w:val="auto"/>
          <w:sz w:val="24"/>
        </w:rPr>
        <w:fldChar w:fldCharType="separate"/>
      </w:r>
      <w:r>
        <w:rPr>
          <w:color w:val="auto"/>
          <w:sz w:val="24"/>
        </w:rPr>
        <w:t>22</w:t>
      </w:r>
      <w:r>
        <w:rPr>
          <w:color w:val="auto"/>
          <w:sz w:val="24"/>
        </w:rPr>
        <w:fldChar w:fldCharType="end"/>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"_Toc21687" </w:instrText>
      </w:r>
      <w:r>
        <w:rPr>
          <w:color w:val="auto"/>
        </w:rPr>
        <w:fldChar w:fldCharType="separate"/>
      </w:r>
      <w:r>
        <w:rPr>
          <w:color w:val="auto"/>
          <w:sz w:val="24"/>
        </w:rPr>
        <w:t>6.13 循环脱硫脱硝性能测试及计算</w:t>
      </w:r>
      <w:r>
        <w:rPr>
          <w:color w:val="auto"/>
          <w:sz w:val="24"/>
        </w:rPr>
        <w:tab/>
      </w:r>
      <w:r>
        <w:rPr>
          <w:color w:val="auto"/>
          <w:sz w:val="24"/>
        </w:rPr>
        <w:fldChar w:fldCharType="begin"/>
      </w:r>
      <w:r>
        <w:rPr>
          <w:color w:val="auto"/>
          <w:sz w:val="24"/>
        </w:rPr>
        <w:instrText xml:space="preserve"> PAGEREF _Toc21687 </w:instrText>
      </w:r>
      <w:r>
        <w:rPr>
          <w:color w:val="auto"/>
          <w:sz w:val="24"/>
        </w:rPr>
        <w:fldChar w:fldCharType="separate"/>
      </w:r>
      <w:r>
        <w:rPr>
          <w:color w:val="auto"/>
          <w:sz w:val="24"/>
        </w:rPr>
        <w:t>24</w:t>
      </w:r>
      <w:r>
        <w:rPr>
          <w:color w:val="auto"/>
          <w:sz w:val="24"/>
        </w:rPr>
        <w:fldChar w:fldCharType="end"/>
      </w:r>
      <w:r>
        <w:rPr>
          <w:color w:val="auto"/>
          <w:sz w:val="24"/>
        </w:rPr>
        <w:fldChar w:fldCharType="end"/>
      </w:r>
    </w:p>
    <w:p>
      <w:pPr>
        <w:pStyle w:val="13"/>
        <w:tabs>
          <w:tab w:val="right" w:leader="dot" w:pos="9638"/>
          <w:tab w:val="clear" w:pos="9628"/>
        </w:tabs>
        <w:rPr>
          <w:color w:val="auto"/>
        </w:rPr>
      </w:pPr>
      <w:r>
        <w:rPr>
          <w:color w:val="auto"/>
        </w:rPr>
        <w:fldChar w:fldCharType="begin"/>
      </w:r>
      <w:r>
        <w:rPr>
          <w:color w:val="auto"/>
        </w:rPr>
        <w:instrText xml:space="preserve"> HYPERLINK \l "_Toc2094" </w:instrText>
      </w:r>
      <w:r>
        <w:rPr>
          <w:color w:val="auto"/>
        </w:rPr>
        <w:fldChar w:fldCharType="separate"/>
      </w:r>
      <w:r>
        <w:rPr>
          <w:color w:val="auto"/>
        </w:rPr>
        <w:t>本标准用词说明</w:t>
      </w:r>
      <w:r>
        <w:rPr>
          <w:color w:val="auto"/>
        </w:rPr>
        <w:tab/>
      </w:r>
      <w:r>
        <w:rPr>
          <w:color w:val="auto"/>
        </w:rPr>
        <w:fldChar w:fldCharType="end"/>
      </w:r>
      <w:r>
        <w:rPr>
          <w:rFonts w:hint="eastAsia"/>
          <w:color w:val="auto"/>
        </w:rPr>
        <w:t>27</w:t>
      </w:r>
    </w:p>
    <w:p>
      <w:pPr>
        <w:pStyle w:val="13"/>
        <w:tabs>
          <w:tab w:val="right" w:leader="dot" w:pos="9638"/>
          <w:tab w:val="clear" w:pos="9628"/>
        </w:tabs>
        <w:rPr>
          <w:color w:val="auto"/>
        </w:rPr>
      </w:pPr>
      <w:r>
        <w:rPr>
          <w:rFonts w:hint="eastAsia"/>
          <w:color w:val="auto"/>
        </w:rPr>
        <w:t>附：</w:t>
      </w:r>
      <w:r>
        <w:rPr>
          <w:color w:val="auto"/>
        </w:rPr>
        <w:fldChar w:fldCharType="begin"/>
      </w:r>
      <w:r>
        <w:rPr>
          <w:color w:val="auto"/>
        </w:rPr>
        <w:instrText xml:space="preserve"> HYPERLINK \l "_Toc30088" </w:instrText>
      </w:r>
      <w:r>
        <w:rPr>
          <w:color w:val="auto"/>
        </w:rPr>
        <w:fldChar w:fldCharType="separate"/>
      </w:r>
      <w:r>
        <w:rPr>
          <w:color w:val="auto"/>
        </w:rPr>
        <w:t>条文说明</w:t>
      </w:r>
      <w:r>
        <w:rPr>
          <w:color w:val="auto"/>
        </w:rPr>
        <w:tab/>
      </w:r>
      <w:r>
        <w:rPr>
          <w:color w:val="auto"/>
        </w:rPr>
        <w:fldChar w:fldCharType="end"/>
      </w:r>
      <w:r>
        <w:rPr>
          <w:rFonts w:hint="eastAsia"/>
          <w:color w:val="auto"/>
        </w:rPr>
        <w:t>28</w:t>
      </w:r>
    </w:p>
    <w:p>
      <w:pPr>
        <w:spacing w:line="360" w:lineRule="auto"/>
        <w:jc w:val="center"/>
        <w:rPr>
          <w:color w:val="auto"/>
          <w:szCs w:val="32"/>
          <w:highlight w:val="red"/>
        </w:rPr>
        <w:sectPr>
          <w:footerReference r:id="rId9" w:type="default"/>
          <w:footerReference r:id="rId10" w:type="even"/>
          <w:pgSz w:w="11906" w:h="16838"/>
          <w:pgMar w:top="1134" w:right="1134" w:bottom="1134" w:left="1134" w:header="851" w:footer="992" w:gutter="0"/>
          <w:pgNumType w:fmt="upperRoman"/>
          <w:cols w:space="0" w:num="1"/>
          <w:docGrid w:type="lines" w:linePitch="312" w:charSpace="0"/>
        </w:sectPr>
      </w:pPr>
      <w:r>
        <w:rPr>
          <w:color w:val="auto"/>
          <w:sz w:val="24"/>
          <w:highlight w:val="red"/>
        </w:rPr>
        <w:fldChar w:fldCharType="end"/>
      </w:r>
    </w:p>
    <w:p>
      <w:pPr>
        <w:pStyle w:val="2"/>
        <w:spacing w:before="0" w:after="0" w:line="360" w:lineRule="auto"/>
        <w:jc w:val="center"/>
        <w:rPr>
          <w:color w:val="auto"/>
          <w:sz w:val="24"/>
          <w:szCs w:val="24"/>
        </w:rPr>
      </w:pPr>
      <w:bookmarkStart w:id="32" w:name="_Toc23984"/>
      <w:bookmarkStart w:id="33" w:name="_Toc6483"/>
      <w:bookmarkStart w:id="34" w:name="_Toc24941"/>
      <w:bookmarkStart w:id="35" w:name="_Toc1192"/>
      <w:bookmarkStart w:id="36" w:name="_Toc12543"/>
      <w:bookmarkStart w:id="37" w:name="_Toc19751"/>
      <w:bookmarkStart w:id="38" w:name="_Toc7241"/>
      <w:bookmarkStart w:id="39" w:name="_Toc5897"/>
      <w:r>
        <w:rPr>
          <w:color w:val="auto"/>
          <w:sz w:val="24"/>
          <w:szCs w:val="24"/>
        </w:rPr>
        <w:t>Contents</w:t>
      </w:r>
      <w:bookmarkEnd w:id="32"/>
      <w:bookmarkEnd w:id="33"/>
      <w:bookmarkEnd w:id="34"/>
      <w:bookmarkEnd w:id="35"/>
      <w:bookmarkEnd w:id="36"/>
      <w:bookmarkEnd w:id="37"/>
      <w:bookmarkEnd w:id="38"/>
      <w:bookmarkEnd w:id="39"/>
    </w:p>
    <w:p>
      <w:pPr>
        <w:pStyle w:val="13"/>
        <w:tabs>
          <w:tab w:val="right" w:leader="dot" w:pos="9638"/>
          <w:tab w:val="clear" w:pos="9628"/>
        </w:tabs>
        <w:rPr>
          <w:color w:val="auto"/>
        </w:rPr>
      </w:pPr>
      <w:r>
        <w:rPr>
          <w:color w:val="auto"/>
        </w:rPr>
        <w:t>1  General provisions</w:t>
      </w:r>
      <w:r>
        <w:rPr>
          <w:color w:val="auto"/>
        </w:rPr>
        <w:tab/>
      </w:r>
      <w:r>
        <w:rPr>
          <w:rFonts w:hint="eastAsia"/>
          <w:color w:val="auto"/>
        </w:rPr>
        <w:t>1</w:t>
      </w:r>
    </w:p>
    <w:p>
      <w:pPr>
        <w:pStyle w:val="13"/>
        <w:tabs>
          <w:tab w:val="right" w:leader="dot" w:pos="9638"/>
          <w:tab w:val="clear" w:pos="9628"/>
        </w:tabs>
        <w:rPr>
          <w:color w:val="auto"/>
        </w:rPr>
      </w:pPr>
      <w:r>
        <w:rPr>
          <w:color w:val="auto"/>
        </w:rPr>
        <w:t>2  Terms</w:t>
      </w:r>
      <w:r>
        <w:rPr>
          <w:color w:val="auto"/>
        </w:rPr>
        <w:tab/>
      </w:r>
      <w:r>
        <w:rPr>
          <w:rFonts w:hint="eastAsia"/>
          <w:color w:val="auto"/>
        </w:rPr>
        <w:t>2</w:t>
      </w:r>
    </w:p>
    <w:p>
      <w:pPr>
        <w:pStyle w:val="13"/>
        <w:tabs>
          <w:tab w:val="right" w:leader="dot" w:pos="9638"/>
          <w:tab w:val="clear" w:pos="9628"/>
        </w:tabs>
        <w:rPr>
          <w:color w:val="auto"/>
        </w:rPr>
      </w:pPr>
      <w:r>
        <w:rPr>
          <w:color w:val="auto"/>
        </w:rPr>
        <w:t>3  Basic requirements</w:t>
      </w:r>
      <w:r>
        <w:rPr>
          <w:color w:val="auto"/>
        </w:rPr>
        <w:tab/>
      </w:r>
      <w:r>
        <w:rPr>
          <w:rFonts w:hint="eastAsia"/>
          <w:color w:val="auto"/>
        </w:rPr>
        <w:t>4</w:t>
      </w:r>
    </w:p>
    <w:p>
      <w:pPr>
        <w:pStyle w:val="13"/>
        <w:tabs>
          <w:tab w:val="right" w:leader="dot" w:pos="9638"/>
          <w:tab w:val="clear" w:pos="9628"/>
        </w:tabs>
        <w:rPr>
          <w:color w:val="auto"/>
        </w:rPr>
      </w:pPr>
      <w:r>
        <w:rPr>
          <w:color w:val="auto"/>
        </w:rPr>
        <w:t>4  Test instruments and equipments</w:t>
      </w:r>
      <w:r>
        <w:rPr>
          <w:color w:val="auto"/>
        </w:rPr>
        <w:tab/>
      </w:r>
      <w:r>
        <w:rPr>
          <w:rFonts w:hint="eastAsia"/>
          <w:color w:val="auto"/>
        </w:rPr>
        <w:t>5</w:t>
      </w:r>
    </w:p>
    <w:p>
      <w:pPr>
        <w:pStyle w:val="13"/>
        <w:tabs>
          <w:tab w:val="right" w:leader="dot" w:pos="9638"/>
          <w:tab w:val="clear" w:pos="9628"/>
        </w:tabs>
        <w:rPr>
          <w:color w:val="auto"/>
        </w:rPr>
      </w:pPr>
      <w:r>
        <w:rPr>
          <w:color w:val="auto"/>
        </w:rPr>
        <w:t>5  Test specimen and its preparation</w:t>
      </w:r>
      <w:r>
        <w:rPr>
          <w:color w:val="auto"/>
        </w:rPr>
        <w:tab/>
      </w:r>
      <w:r>
        <w:rPr>
          <w:rFonts w:hint="eastAsia"/>
          <w:color w:val="auto"/>
        </w:rPr>
        <w:t>12</w:t>
      </w:r>
    </w:p>
    <w:p>
      <w:pPr>
        <w:pStyle w:val="13"/>
        <w:tabs>
          <w:tab w:val="right" w:leader="dot" w:pos="9638"/>
          <w:tab w:val="clear" w:pos="9628"/>
        </w:tabs>
        <w:rPr>
          <w:color w:val="auto"/>
        </w:rPr>
      </w:pPr>
      <w:r>
        <w:rPr>
          <w:color w:val="auto"/>
        </w:rPr>
        <w:t>6  Test and calculation</w:t>
      </w:r>
      <w:r>
        <w:rPr>
          <w:color w:val="auto"/>
        </w:rPr>
        <w:tab/>
      </w:r>
      <w:r>
        <w:rPr>
          <w:rFonts w:hint="eastAsia"/>
          <w:color w:val="auto"/>
        </w:rPr>
        <w:t>14</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"_Toc12018" </w:instrText>
      </w:r>
      <w:r>
        <w:rPr>
          <w:color w:val="auto"/>
        </w:rPr>
        <w:fldChar w:fldCharType="separate"/>
      </w:r>
      <w:r>
        <w:rPr>
          <w:color w:val="auto"/>
          <w:sz w:val="24"/>
        </w:rPr>
        <w:t xml:space="preserve">6.1 Test and calculation for bulk density </w:t>
      </w:r>
      <w:r>
        <w:rPr>
          <w:color w:val="auto"/>
          <w:sz w:val="24"/>
        </w:rPr>
        <w:tab/>
      </w:r>
      <w:r>
        <w:rPr>
          <w:color w:val="auto"/>
          <w:sz w:val="24"/>
        </w:rPr>
        <w:fldChar w:fldCharType="end"/>
      </w:r>
      <w:r>
        <w:rPr>
          <w:color w:val="auto"/>
          <w:sz w:val="24"/>
        </w:rPr>
        <w:fldChar w:fldCharType="begin"/>
      </w:r>
      <w:r>
        <w:rPr>
          <w:color w:val="auto"/>
          <w:sz w:val="24"/>
        </w:rPr>
        <w:instrText xml:space="preserve"> PAGEREF _Toc9058 </w:instrText>
      </w:r>
      <w:r>
        <w:rPr>
          <w:color w:val="auto"/>
          <w:sz w:val="24"/>
        </w:rPr>
        <w:fldChar w:fldCharType="separate"/>
      </w:r>
      <w:r>
        <w:rPr>
          <w:color w:val="auto"/>
          <w:sz w:val="24"/>
        </w:rPr>
        <w:t>14</w:t>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"_Toc16318" </w:instrText>
      </w:r>
      <w:r>
        <w:rPr>
          <w:color w:val="auto"/>
        </w:rPr>
        <w:fldChar w:fldCharType="separate"/>
      </w:r>
      <w:r>
        <w:rPr>
          <w:color w:val="auto"/>
          <w:sz w:val="24"/>
        </w:rPr>
        <w:t>6.2 Test and calculation for particle size distribution</w:t>
      </w:r>
      <w:r>
        <w:rPr>
          <w:color w:val="auto"/>
          <w:sz w:val="24"/>
        </w:rPr>
        <w:tab/>
      </w:r>
      <w:r>
        <w:rPr>
          <w:color w:val="auto"/>
          <w:sz w:val="24"/>
        </w:rPr>
        <w:fldChar w:fldCharType="end"/>
      </w:r>
      <w:r>
        <w:rPr>
          <w:color w:val="auto"/>
          <w:sz w:val="24"/>
        </w:rPr>
        <w:fldChar w:fldCharType="begin"/>
      </w:r>
      <w:r>
        <w:rPr>
          <w:color w:val="auto"/>
          <w:sz w:val="24"/>
        </w:rPr>
        <w:instrText xml:space="preserve"> PAGEREF _Toc9058 </w:instrText>
      </w:r>
      <w:r>
        <w:rPr>
          <w:color w:val="auto"/>
          <w:sz w:val="24"/>
        </w:rPr>
        <w:fldChar w:fldCharType="separate"/>
      </w:r>
      <w:r>
        <w:rPr>
          <w:color w:val="auto"/>
          <w:sz w:val="24"/>
        </w:rPr>
        <w:t>14</w:t>
      </w:r>
      <w:r>
        <w:rPr>
          <w:color w:val="auto"/>
          <w:sz w:val="24"/>
        </w:rPr>
        <w:fldChar w:fldCharType="end"/>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"_Toc5503" </w:instrText>
      </w:r>
      <w:r>
        <w:rPr>
          <w:color w:val="auto"/>
        </w:rPr>
        <w:fldChar w:fldCharType="separate"/>
      </w:r>
      <w:r>
        <w:rPr>
          <w:color w:val="auto"/>
          <w:sz w:val="24"/>
        </w:rPr>
        <w:t>6.3 Test and calculation for abrasive resistance</w:t>
      </w:r>
      <w:r>
        <w:rPr>
          <w:color w:val="auto"/>
          <w:sz w:val="24"/>
        </w:rPr>
        <w:tab/>
      </w:r>
      <w:r>
        <w:rPr>
          <w:color w:val="auto"/>
          <w:sz w:val="24"/>
        </w:rPr>
        <w:fldChar w:fldCharType="end"/>
      </w:r>
      <w:r>
        <w:rPr>
          <w:rFonts w:hint="eastAsia"/>
          <w:color w:val="auto"/>
          <w:sz w:val="24"/>
        </w:rPr>
        <w:t>14</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"_Toc14398" </w:instrText>
      </w:r>
      <w:r>
        <w:rPr>
          <w:color w:val="auto"/>
        </w:rPr>
        <w:fldChar w:fldCharType="separate"/>
      </w:r>
      <w:r>
        <w:rPr>
          <w:color w:val="auto"/>
          <w:sz w:val="24"/>
        </w:rPr>
        <w:t>6.4 Test and calculation for compression strength</w:t>
      </w:r>
      <w:r>
        <w:rPr>
          <w:color w:val="auto"/>
          <w:sz w:val="24"/>
        </w:rPr>
        <w:tab/>
      </w:r>
      <w:r>
        <w:rPr>
          <w:color w:val="auto"/>
          <w:sz w:val="24"/>
        </w:rPr>
        <w:fldChar w:fldCharType="end"/>
      </w:r>
      <w:r>
        <w:rPr>
          <w:rFonts w:hint="eastAsia"/>
          <w:color w:val="auto"/>
          <w:sz w:val="24"/>
        </w:rPr>
        <w:t>14</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"_Toc28329" </w:instrText>
      </w:r>
      <w:r>
        <w:rPr>
          <w:color w:val="auto"/>
        </w:rPr>
        <w:fldChar w:fldCharType="separate"/>
      </w:r>
      <w:r>
        <w:rPr>
          <w:color w:val="auto"/>
          <w:sz w:val="24"/>
        </w:rPr>
        <w:t>6.5 Test and calculation for ignition temperature</w:t>
      </w:r>
      <w:r>
        <w:rPr>
          <w:color w:val="auto"/>
          <w:sz w:val="24"/>
        </w:rPr>
        <w:tab/>
      </w:r>
      <w:r>
        <w:rPr>
          <w:color w:val="auto"/>
          <w:sz w:val="24"/>
        </w:rPr>
        <w:fldChar w:fldCharType="end"/>
      </w:r>
      <w:r>
        <w:rPr>
          <w:rFonts w:hint="eastAsia"/>
          <w:color w:val="auto"/>
          <w:sz w:val="24"/>
        </w:rPr>
        <w:t>15</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"_Toc3938" </w:instrText>
      </w:r>
      <w:r>
        <w:rPr>
          <w:color w:val="auto"/>
        </w:rPr>
        <w:fldChar w:fldCharType="separate"/>
      </w:r>
      <w:r>
        <w:rPr>
          <w:color w:val="auto"/>
          <w:sz w:val="24"/>
        </w:rPr>
        <w:t>6.6 Test and calculation for moisture content</w:t>
      </w:r>
      <w:r>
        <w:rPr>
          <w:color w:val="auto"/>
          <w:sz w:val="24"/>
        </w:rPr>
        <w:tab/>
      </w:r>
      <w:r>
        <w:rPr>
          <w:color w:val="auto"/>
          <w:sz w:val="24"/>
        </w:rPr>
        <w:fldChar w:fldCharType="end"/>
      </w:r>
      <w:r>
        <w:rPr>
          <w:rFonts w:hint="eastAsia"/>
          <w:color w:val="auto"/>
          <w:sz w:val="24"/>
        </w:rPr>
        <w:t>16</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"_Toc16761" </w:instrText>
      </w:r>
      <w:r>
        <w:rPr>
          <w:color w:val="auto"/>
        </w:rPr>
        <w:fldChar w:fldCharType="separate"/>
      </w:r>
      <w:r>
        <w:rPr>
          <w:color w:val="auto"/>
          <w:sz w:val="24"/>
        </w:rPr>
        <w:t xml:space="preserve">6.7 Test and calculation for ash content </w:t>
      </w:r>
      <w:r>
        <w:rPr>
          <w:color w:val="auto"/>
          <w:sz w:val="24"/>
        </w:rPr>
        <w:tab/>
      </w:r>
      <w:r>
        <w:rPr>
          <w:color w:val="auto"/>
          <w:sz w:val="24"/>
        </w:rPr>
        <w:fldChar w:fldCharType="end"/>
      </w:r>
      <w:r>
        <w:rPr>
          <w:rFonts w:hint="eastAsia"/>
          <w:color w:val="auto"/>
          <w:sz w:val="24"/>
        </w:rPr>
        <w:t>17</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"_Toc3551" </w:instrText>
      </w:r>
      <w:r>
        <w:rPr>
          <w:color w:val="auto"/>
        </w:rPr>
        <w:fldChar w:fldCharType="separate"/>
      </w:r>
      <w:r>
        <w:rPr>
          <w:color w:val="auto"/>
          <w:sz w:val="24"/>
        </w:rPr>
        <w:t>6.8 Test and calculation for volatile compounds</w:t>
      </w:r>
      <w:r>
        <w:rPr>
          <w:color w:val="auto"/>
          <w:sz w:val="24"/>
        </w:rPr>
        <w:tab/>
      </w:r>
      <w:r>
        <w:rPr>
          <w:color w:val="auto"/>
          <w:sz w:val="24"/>
        </w:rPr>
        <w:fldChar w:fldCharType="end"/>
      </w:r>
      <w:r>
        <w:rPr>
          <w:rFonts w:hint="eastAsia"/>
          <w:color w:val="auto"/>
          <w:sz w:val="24"/>
        </w:rPr>
        <w:t>17</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"_Toc25175" </w:instrText>
      </w:r>
      <w:r>
        <w:rPr>
          <w:color w:val="auto"/>
        </w:rPr>
        <w:fldChar w:fldCharType="separate"/>
      </w:r>
      <w:r>
        <w:rPr>
          <w:color w:val="auto"/>
          <w:sz w:val="24"/>
        </w:rPr>
        <w:t>6.9 Test and calculation for water absorption</w:t>
      </w:r>
      <w:r>
        <w:rPr>
          <w:color w:val="auto"/>
          <w:sz w:val="24"/>
        </w:rPr>
        <w:tab/>
      </w:r>
      <w:r>
        <w:rPr>
          <w:color w:val="auto"/>
          <w:sz w:val="24"/>
        </w:rPr>
        <w:fldChar w:fldCharType="end"/>
      </w:r>
      <w:r>
        <w:rPr>
          <w:rFonts w:hint="eastAsia"/>
          <w:color w:val="auto"/>
          <w:sz w:val="24"/>
        </w:rPr>
        <w:t>18</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"_Toc21218" </w:instrText>
      </w:r>
      <w:r>
        <w:rPr>
          <w:color w:val="auto"/>
        </w:rPr>
        <w:fldChar w:fldCharType="separate"/>
      </w:r>
      <w:r>
        <w:rPr>
          <w:color w:val="auto"/>
          <w:sz w:val="24"/>
        </w:rPr>
        <w:t>6.10 Test and calculation for SO</w:t>
      </w:r>
      <w:r>
        <w:rPr>
          <w:color w:val="auto"/>
          <w:sz w:val="24"/>
          <w:vertAlign w:val="subscript"/>
        </w:rPr>
        <w:t xml:space="preserve">2 </w:t>
      </w:r>
      <w:r>
        <w:rPr>
          <w:color w:val="auto"/>
          <w:sz w:val="24"/>
        </w:rPr>
        <w:t>adsorption</w:t>
      </w:r>
      <w:r>
        <w:rPr>
          <w:color w:val="auto"/>
          <w:sz w:val="24"/>
        </w:rPr>
        <w:tab/>
      </w:r>
      <w:r>
        <w:rPr>
          <w:color w:val="auto"/>
          <w:sz w:val="24"/>
        </w:rPr>
        <w:fldChar w:fldCharType="end"/>
      </w:r>
      <w:r>
        <w:rPr>
          <w:rFonts w:hint="eastAsia"/>
          <w:color w:val="auto"/>
          <w:sz w:val="24"/>
        </w:rPr>
        <w:t>19</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"_Toc9884" </w:instrText>
      </w:r>
      <w:r>
        <w:rPr>
          <w:color w:val="auto"/>
        </w:rPr>
        <w:fldChar w:fldCharType="separate"/>
      </w:r>
      <w:r>
        <w:rPr>
          <w:color w:val="auto"/>
          <w:sz w:val="24"/>
        </w:rPr>
        <w:t>6.11 Test and calculation for circular SO</w:t>
      </w:r>
      <w:r>
        <w:rPr>
          <w:color w:val="auto"/>
          <w:sz w:val="24"/>
          <w:vertAlign w:val="subscript"/>
        </w:rPr>
        <w:t xml:space="preserve">2 </w:t>
      </w:r>
      <w:r>
        <w:rPr>
          <w:color w:val="auto"/>
          <w:sz w:val="24"/>
        </w:rPr>
        <w:t>adsorption</w:t>
      </w:r>
      <w:r>
        <w:rPr>
          <w:color w:val="auto"/>
          <w:sz w:val="24"/>
        </w:rPr>
        <w:tab/>
      </w:r>
      <w:r>
        <w:rPr>
          <w:color w:val="auto"/>
          <w:sz w:val="24"/>
        </w:rPr>
        <w:fldChar w:fldCharType="end"/>
      </w:r>
      <w:r>
        <w:rPr>
          <w:rFonts w:hint="eastAsia"/>
          <w:color w:val="auto"/>
          <w:sz w:val="24"/>
        </w:rPr>
        <w:t>20</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"_Toc11727" </w:instrText>
      </w:r>
      <w:r>
        <w:rPr>
          <w:color w:val="auto"/>
        </w:rPr>
        <w:fldChar w:fldCharType="separate"/>
      </w:r>
      <w:r>
        <w:rPr>
          <w:color w:val="auto"/>
          <w:sz w:val="24"/>
        </w:rPr>
        <w:t>6.12 Test and calculation for denitration efficiency</w:t>
      </w:r>
      <w:r>
        <w:rPr>
          <w:color w:val="auto"/>
          <w:sz w:val="24"/>
        </w:rPr>
        <w:tab/>
      </w:r>
      <w:r>
        <w:rPr>
          <w:color w:val="auto"/>
          <w:sz w:val="24"/>
        </w:rPr>
        <w:fldChar w:fldCharType="end"/>
      </w:r>
      <w:r>
        <w:rPr>
          <w:rFonts w:hint="eastAsia"/>
          <w:color w:val="auto"/>
          <w:sz w:val="24"/>
        </w:rPr>
        <w:t>21</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"_Toc31167" </w:instrText>
      </w:r>
      <w:r>
        <w:rPr>
          <w:color w:val="auto"/>
        </w:rPr>
        <w:fldChar w:fldCharType="separate"/>
      </w:r>
      <w:r>
        <w:rPr>
          <w:color w:val="auto"/>
          <w:sz w:val="24"/>
        </w:rPr>
        <w:t>6.13 Test and calculation for circular desulfurization value and denitration efficiency</w:t>
      </w:r>
      <w:r>
        <w:rPr>
          <w:color w:val="auto"/>
          <w:sz w:val="24"/>
        </w:rPr>
        <w:tab/>
      </w:r>
      <w:r>
        <w:rPr>
          <w:color w:val="auto"/>
          <w:sz w:val="24"/>
        </w:rPr>
        <w:fldChar w:fldCharType="end"/>
      </w:r>
      <w:r>
        <w:rPr>
          <w:rFonts w:hint="eastAsia"/>
          <w:color w:val="auto"/>
          <w:sz w:val="24"/>
        </w:rPr>
        <w:t>22</w:t>
      </w:r>
      <w:r>
        <w:rPr>
          <w:color w:val="auto"/>
        </w:rPr>
        <w:t>7</w:t>
      </w:r>
    </w:p>
    <w:p>
      <w:pPr>
        <w:pStyle w:val="13"/>
        <w:tabs>
          <w:tab w:val="right" w:leader="dot" w:pos="9638"/>
          <w:tab w:val="clear" w:pos="9628"/>
        </w:tabs>
        <w:rPr>
          <w:color w:val="auto"/>
        </w:rPr>
      </w:pPr>
      <w:r>
        <w:rPr>
          <w:color w:val="auto"/>
        </w:rPr>
        <w:t>Explanation of wording in this standard</w:t>
      </w:r>
      <w:r>
        <w:rPr>
          <w:color w:val="auto"/>
        </w:rPr>
        <w:tab/>
      </w:r>
      <w:r>
        <w:rPr>
          <w:color w:val="auto"/>
        </w:rPr>
        <w:t>2</w:t>
      </w:r>
      <w:r>
        <w:rPr>
          <w:rFonts w:hint="eastAsia"/>
          <w:color w:val="auto"/>
        </w:rPr>
        <w:t>7</w:t>
      </w:r>
    </w:p>
    <w:p>
      <w:pPr>
        <w:pStyle w:val="13"/>
        <w:tabs>
          <w:tab w:val="right" w:leader="dot" w:pos="9638"/>
          <w:tab w:val="clear" w:pos="9628"/>
        </w:tabs>
        <w:rPr>
          <w:color w:val="auto"/>
        </w:rPr>
      </w:pPr>
      <w:r>
        <w:rPr>
          <w:color w:val="auto"/>
        </w:rPr>
        <w:t>Addition: Explanation of provisions</w:t>
      </w:r>
      <w:r>
        <w:rPr>
          <w:color w:val="auto"/>
        </w:rPr>
        <w:tab/>
      </w:r>
      <w:r>
        <w:rPr>
          <w:color w:val="auto"/>
        </w:rPr>
        <w:t>2</w:t>
      </w:r>
      <w:r>
        <w:rPr>
          <w:rFonts w:hint="eastAsia"/>
          <w:color w:val="auto"/>
        </w:rPr>
        <w:t>8</w:t>
      </w:r>
    </w:p>
    <w:p>
      <w:pPr>
        <w:pStyle w:val="76"/>
        <w:tabs>
          <w:tab w:val="right" w:leader="dot" w:pos="9638"/>
        </w:tabs>
        <w:spacing w:line="360" w:lineRule="auto"/>
        <w:rPr>
          <w:b/>
          <w:bCs/>
          <w:color w:val="auto"/>
        </w:rPr>
      </w:pPr>
    </w:p>
    <w:p>
      <w:pPr>
        <w:pStyle w:val="2"/>
        <w:spacing w:before="120" w:after="120" w:line="360" w:lineRule="auto"/>
        <w:ind w:firstLine="420"/>
        <w:jc w:val="center"/>
        <w:rPr>
          <w:color w:val="auto"/>
          <w:sz w:val="28"/>
          <w:szCs w:val="28"/>
        </w:rPr>
        <w:sectPr>
          <w:pgSz w:w="11906" w:h="16838"/>
          <w:pgMar w:top="1134" w:right="1134" w:bottom="1134" w:left="1134" w:header="851" w:footer="992" w:gutter="0"/>
          <w:pgNumType w:fmt="upperRoman"/>
          <w:cols w:space="0" w:num="1"/>
          <w:docGrid w:type="lines" w:linePitch="312" w:charSpace="0"/>
        </w:sectPr>
      </w:pPr>
    </w:p>
    <w:p>
      <w:pPr>
        <w:pStyle w:val="2"/>
        <w:spacing w:before="120" w:after="120" w:line="360" w:lineRule="auto"/>
        <w:jc w:val="center"/>
        <w:rPr>
          <w:color w:val="auto"/>
          <w:sz w:val="28"/>
          <w:szCs w:val="28"/>
        </w:rPr>
      </w:pPr>
      <w:bookmarkStart w:id="40" w:name="_Toc4927"/>
      <w:bookmarkStart w:id="41" w:name="_Toc27738"/>
      <w:bookmarkStart w:id="42" w:name="_Toc32246"/>
      <w:bookmarkStart w:id="43" w:name="_Toc21480"/>
      <w:bookmarkStart w:id="44" w:name="_Toc6306"/>
      <w:r>
        <w:rPr>
          <w:color w:val="auto"/>
          <w:sz w:val="28"/>
          <w:szCs w:val="28"/>
        </w:rPr>
        <w:t>1 总则</w:t>
      </w:r>
      <w:bookmarkEnd w:id="24"/>
      <w:bookmarkEnd w:id="25"/>
      <w:bookmarkEnd w:id="26"/>
      <w:bookmarkEnd w:id="27"/>
      <w:bookmarkEnd w:id="28"/>
      <w:bookmarkEnd w:id="29"/>
      <w:bookmarkEnd w:id="30"/>
      <w:bookmarkEnd w:id="31"/>
      <w:bookmarkEnd w:id="40"/>
      <w:bookmarkEnd w:id="41"/>
      <w:bookmarkEnd w:id="42"/>
      <w:bookmarkEnd w:id="43"/>
      <w:bookmarkEnd w:id="44"/>
    </w:p>
    <w:p>
      <w:pPr>
        <w:numPr>
          <w:ilvl w:val="0"/>
          <w:numId w:val="2"/>
        </w:numPr>
        <w:spacing w:line="360" w:lineRule="auto"/>
        <w:rPr>
          <w:color w:val="auto"/>
          <w:szCs w:val="21"/>
        </w:rPr>
      </w:pPr>
      <w:r>
        <w:rPr>
          <w:color w:val="auto"/>
          <w:szCs w:val="21"/>
        </w:rPr>
        <w:t>为统一烟气净化碳基材料性能检测要求，实现技术先进、科学准确、方便快捷，制定本标准。</w:t>
      </w:r>
    </w:p>
    <w:p>
      <w:pPr>
        <w:numPr>
          <w:ilvl w:val="0"/>
          <w:numId w:val="2"/>
        </w:numPr>
        <w:spacing w:line="360" w:lineRule="auto"/>
        <w:rPr>
          <w:color w:val="auto"/>
          <w:szCs w:val="21"/>
        </w:rPr>
      </w:pPr>
      <w:r>
        <w:rPr>
          <w:color w:val="auto"/>
          <w:szCs w:val="21"/>
        </w:rPr>
        <w:t>本标准适用于钢铁企业烟气净化碳基材料性能检测，燃煤电厂、焦化、水泥、有色冶炼、垃圾焚烧等行业可参照执行。</w:t>
      </w:r>
    </w:p>
    <w:p>
      <w:pPr>
        <w:numPr>
          <w:ilvl w:val="0"/>
          <w:numId w:val="2"/>
        </w:numPr>
        <w:spacing w:line="360" w:lineRule="auto"/>
        <w:rPr>
          <w:color w:val="auto"/>
          <w:szCs w:val="21"/>
        </w:rPr>
      </w:pPr>
      <w:r>
        <w:rPr>
          <w:color w:val="auto"/>
          <w:szCs w:val="21"/>
        </w:rPr>
        <w:t>烟气净化碳基材料性能检测除应符合本标准外，尚应符合国家现行有关标准的规定。</w:t>
      </w: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spacing w:line="360" w:lineRule="auto"/>
        <w:rPr>
          <w:color w:val="auto"/>
          <w:szCs w:val="21"/>
        </w:rPr>
      </w:pPr>
    </w:p>
    <w:p>
      <w:pPr>
        <w:pStyle w:val="2"/>
        <w:spacing w:before="120" w:after="120" w:line="360" w:lineRule="auto"/>
        <w:jc w:val="center"/>
        <w:rPr>
          <w:color w:val="auto"/>
          <w:sz w:val="21"/>
          <w:szCs w:val="21"/>
        </w:rPr>
        <w:sectPr>
          <w:headerReference r:id="rId11" w:type="default"/>
          <w:footerReference r:id="rId12" w:type="default"/>
          <w:footerReference r:id="rId13" w:type="even"/>
          <w:pgSz w:w="11906" w:h="16838"/>
          <w:pgMar w:top="1134" w:right="1134" w:bottom="1134" w:left="1134" w:header="851" w:footer="992" w:gutter="0"/>
          <w:pgNumType w:start="1"/>
          <w:cols w:space="0" w:num="1"/>
          <w:docGrid w:type="lines" w:linePitch="312" w:charSpace="0"/>
        </w:sectPr>
      </w:pPr>
      <w:bookmarkStart w:id="45" w:name="_Toc305074561"/>
      <w:bookmarkStart w:id="46" w:name="_Toc285441228"/>
      <w:bookmarkStart w:id="47" w:name="_Toc301429572"/>
      <w:bookmarkStart w:id="48" w:name="_Toc304821879"/>
      <w:bookmarkStart w:id="49" w:name="_Toc305076431"/>
      <w:bookmarkStart w:id="50" w:name="_Toc289433269"/>
      <w:bookmarkStart w:id="51" w:name="_Toc289243431"/>
      <w:bookmarkStart w:id="52" w:name="_Toc324751819"/>
    </w:p>
    <w:p>
      <w:pPr>
        <w:pStyle w:val="2"/>
        <w:spacing w:before="120" w:after="120" w:line="360" w:lineRule="auto"/>
        <w:jc w:val="center"/>
        <w:rPr>
          <w:color w:val="auto"/>
          <w:sz w:val="28"/>
          <w:szCs w:val="28"/>
        </w:rPr>
      </w:pPr>
      <w:bookmarkStart w:id="53" w:name="_Toc13244"/>
      <w:bookmarkStart w:id="54" w:name="_Toc26870"/>
      <w:bookmarkStart w:id="55" w:name="_Toc19113"/>
      <w:bookmarkStart w:id="56" w:name="_Toc662"/>
      <w:bookmarkStart w:id="57" w:name="_Toc27175"/>
      <w:r>
        <w:rPr>
          <w:color w:val="auto"/>
          <w:sz w:val="28"/>
          <w:szCs w:val="28"/>
        </w:rPr>
        <w:t>2 术语</w:t>
      </w:r>
      <w:bookmarkEnd w:id="45"/>
      <w:bookmarkEnd w:id="46"/>
      <w:bookmarkEnd w:id="47"/>
      <w:bookmarkEnd w:id="48"/>
      <w:bookmarkEnd w:id="49"/>
      <w:bookmarkEnd w:id="50"/>
      <w:bookmarkEnd w:id="51"/>
      <w:bookmarkEnd w:id="52"/>
      <w:bookmarkEnd w:id="53"/>
      <w:bookmarkEnd w:id="54"/>
      <w:bookmarkEnd w:id="55"/>
      <w:bookmarkEnd w:id="56"/>
      <w:bookmarkEnd w:id="57"/>
    </w:p>
    <w:p>
      <w:pPr>
        <w:numPr>
          <w:ilvl w:val="0"/>
          <w:numId w:val="3"/>
        </w:numPr>
        <w:spacing w:line="360" w:lineRule="auto"/>
        <w:rPr>
          <w:color w:val="auto"/>
          <w:szCs w:val="21"/>
        </w:rPr>
      </w:pPr>
      <w:bookmarkStart w:id="58" w:name="_Toc324751822"/>
      <w:bookmarkStart w:id="59" w:name="_Toc305076434"/>
      <w:bookmarkStart w:id="60" w:name="_Toc289433270"/>
      <w:bookmarkStart w:id="61" w:name="_Toc301429573"/>
      <w:bookmarkStart w:id="62" w:name="_Toc304821880"/>
      <w:bookmarkStart w:id="63" w:name="_Toc289243432"/>
      <w:bookmarkStart w:id="64" w:name="_Toc305074564"/>
      <w:r>
        <w:rPr>
          <w:color w:val="auto"/>
          <w:szCs w:val="21"/>
        </w:rPr>
        <w:t>烟气净化碳基材料 carbon-based materials for flue gas purification</w:t>
      </w:r>
    </w:p>
    <w:p>
      <w:pPr>
        <w:tabs>
          <w:tab w:val="left" w:pos="0"/>
        </w:tabs>
        <w:spacing w:line="360" w:lineRule="auto"/>
        <w:ind w:firstLine="420" w:firstLineChars="200"/>
        <w:rPr>
          <w:color w:val="auto"/>
          <w:szCs w:val="21"/>
        </w:rPr>
      </w:pPr>
      <w:r>
        <w:rPr>
          <w:color w:val="auto"/>
          <w:szCs w:val="21"/>
        </w:rPr>
        <w:t>用于烟气净化工艺，主要成分为碳，且具有吸附及催化能力的圆柱状固体多孔材料。</w:t>
      </w:r>
    </w:p>
    <w:p>
      <w:pPr>
        <w:numPr>
          <w:ilvl w:val="0"/>
          <w:numId w:val="3"/>
        </w:numPr>
        <w:spacing w:line="360" w:lineRule="auto"/>
        <w:rPr>
          <w:color w:val="auto"/>
          <w:szCs w:val="21"/>
        </w:rPr>
      </w:pPr>
      <w:r>
        <w:rPr>
          <w:color w:val="auto"/>
          <w:szCs w:val="21"/>
        </w:rPr>
        <w:t>堆积密度bulk density</w:t>
      </w:r>
    </w:p>
    <w:p>
      <w:pPr>
        <w:tabs>
          <w:tab w:val="left" w:pos="0"/>
        </w:tabs>
        <w:spacing w:line="360" w:lineRule="auto"/>
        <w:ind w:firstLine="420" w:firstLineChars="200"/>
        <w:rPr>
          <w:color w:val="auto"/>
          <w:szCs w:val="21"/>
        </w:rPr>
      </w:pPr>
      <w:r>
        <w:rPr>
          <w:color w:val="auto"/>
          <w:szCs w:val="21"/>
        </w:rPr>
        <w:t>单位直口锥形瓶所能容纳的碳基材料的质量。</w:t>
      </w:r>
    </w:p>
    <w:p>
      <w:pPr>
        <w:numPr>
          <w:ilvl w:val="0"/>
          <w:numId w:val="3"/>
        </w:numPr>
        <w:spacing w:line="360" w:lineRule="auto"/>
        <w:rPr>
          <w:color w:val="auto"/>
          <w:szCs w:val="21"/>
        </w:rPr>
      </w:pPr>
      <w:r>
        <w:rPr>
          <w:color w:val="auto"/>
          <w:szCs w:val="21"/>
        </w:rPr>
        <w:t>粒度分布 particle size distribution</w:t>
      </w:r>
    </w:p>
    <w:p>
      <w:pPr>
        <w:tabs>
          <w:tab w:val="left" w:pos="0"/>
        </w:tabs>
        <w:spacing w:line="360" w:lineRule="auto"/>
        <w:ind w:firstLine="420" w:firstLineChars="200"/>
        <w:rPr>
          <w:color w:val="auto"/>
        </w:rPr>
      </w:pPr>
      <w:r>
        <w:rPr>
          <w:color w:val="auto"/>
        </w:rPr>
        <w:t>将碳基材料试样置于装有筛框的检验筛分机上筛分后保留在各筛层及底盘上试样的质量分数。</w:t>
      </w:r>
    </w:p>
    <w:p>
      <w:pPr>
        <w:numPr>
          <w:ilvl w:val="0"/>
          <w:numId w:val="3"/>
        </w:numPr>
        <w:spacing w:line="360" w:lineRule="auto"/>
        <w:rPr>
          <w:color w:val="auto"/>
          <w:szCs w:val="21"/>
        </w:rPr>
      </w:pPr>
      <w:r>
        <w:rPr>
          <w:color w:val="auto"/>
          <w:szCs w:val="21"/>
        </w:rPr>
        <w:t>耐磨强度 abrasive resistance</w:t>
      </w:r>
    </w:p>
    <w:p>
      <w:pPr>
        <w:tabs>
          <w:tab w:val="left" w:pos="0"/>
        </w:tabs>
        <w:spacing w:line="360" w:lineRule="auto"/>
        <w:ind w:firstLine="420" w:firstLineChars="200"/>
        <w:rPr>
          <w:color w:val="auto"/>
        </w:rPr>
      </w:pPr>
      <w:r>
        <w:rPr>
          <w:color w:val="auto"/>
        </w:rPr>
        <w:t>将碳基材料试样置于耐磨强度测试仪内经机械磨损，取出试样进行筛分，筛上部分试样质量占原总试样质量的百分数。</w:t>
      </w:r>
    </w:p>
    <w:p>
      <w:pPr>
        <w:numPr>
          <w:ilvl w:val="0"/>
          <w:numId w:val="3"/>
        </w:numPr>
        <w:spacing w:line="360" w:lineRule="auto"/>
        <w:rPr>
          <w:color w:val="auto"/>
        </w:rPr>
      </w:pPr>
      <w:r>
        <w:rPr>
          <w:color w:val="auto"/>
        </w:rPr>
        <w:t>耐压强度 compression strength</w:t>
      </w:r>
    </w:p>
    <w:p>
      <w:pPr>
        <w:tabs>
          <w:tab w:val="left" w:pos="0"/>
        </w:tabs>
        <w:spacing w:line="360" w:lineRule="auto"/>
        <w:ind w:firstLine="420" w:firstLineChars="200"/>
        <w:rPr>
          <w:color w:val="auto"/>
        </w:rPr>
      </w:pPr>
      <w:r>
        <w:rPr>
          <w:color w:val="auto"/>
        </w:rPr>
        <w:t>将规定数量碳基材料试样置于耐压强度测试仪上，在施力后被压碎瞬间的平均受力值。</w:t>
      </w:r>
    </w:p>
    <w:p>
      <w:pPr>
        <w:numPr>
          <w:ilvl w:val="0"/>
          <w:numId w:val="3"/>
        </w:numPr>
        <w:spacing w:line="360" w:lineRule="auto"/>
        <w:rPr>
          <w:color w:val="auto"/>
        </w:rPr>
      </w:pPr>
      <w:r>
        <w:rPr>
          <w:color w:val="auto"/>
        </w:rPr>
        <w:t>变异系数 coefficient of variation</w:t>
      </w:r>
    </w:p>
    <w:p>
      <w:pPr>
        <w:tabs>
          <w:tab w:val="left" w:pos="0"/>
        </w:tabs>
        <w:spacing w:line="360" w:lineRule="auto"/>
        <w:ind w:firstLine="420" w:firstLineChars="200"/>
        <w:rPr>
          <w:color w:val="auto"/>
          <w:szCs w:val="21"/>
        </w:rPr>
      </w:pPr>
      <w:r>
        <w:rPr>
          <w:color w:val="auto"/>
          <w:szCs w:val="21"/>
        </w:rPr>
        <w:t>耐压强度测试数据的标准差与平均值之比。</w:t>
      </w:r>
    </w:p>
    <w:p>
      <w:pPr>
        <w:numPr>
          <w:ilvl w:val="0"/>
          <w:numId w:val="3"/>
        </w:numPr>
        <w:spacing w:line="360" w:lineRule="auto"/>
        <w:rPr>
          <w:color w:val="auto"/>
          <w:szCs w:val="21"/>
        </w:rPr>
      </w:pPr>
      <w:r>
        <w:rPr>
          <w:color w:val="auto"/>
          <w:szCs w:val="21"/>
        </w:rPr>
        <w:t xml:space="preserve">长方孔试验筛 rectangular sieve </w:t>
      </w:r>
    </w:p>
    <w:p>
      <w:pPr>
        <w:tabs>
          <w:tab w:val="left" w:pos="0"/>
        </w:tabs>
        <w:spacing w:line="360" w:lineRule="auto"/>
        <w:ind w:firstLine="420" w:firstLineChars="200"/>
        <w:rPr>
          <w:color w:val="auto"/>
          <w:szCs w:val="21"/>
        </w:rPr>
      </w:pPr>
      <w:r>
        <w:rPr>
          <w:color w:val="auto"/>
          <w:szCs w:val="21"/>
        </w:rPr>
        <w:t>一种具有规则且均匀排列长方形孔、标记方式为</w:t>
      </w:r>
      <w:r>
        <w:rPr>
          <w:i/>
          <w:iCs/>
          <w:color w:val="auto"/>
          <w:szCs w:val="21"/>
        </w:rPr>
        <w:sym w:font="Symbol" w:char="F066"/>
      </w:r>
      <w:r>
        <w:rPr>
          <w:color w:val="auto"/>
          <w:szCs w:val="21"/>
        </w:rPr>
        <w:t xml:space="preserve"> R×H-W</w:t>
      </w:r>
      <w:r>
        <w:rPr>
          <w:color w:val="auto"/>
          <w:szCs w:val="21"/>
          <w:vertAlign w:val="subscript"/>
        </w:rPr>
        <w:t>1</w:t>
      </w:r>
      <w:r>
        <w:rPr>
          <w:color w:val="auto"/>
          <w:szCs w:val="21"/>
        </w:rPr>
        <w:t>×W</w:t>
      </w:r>
      <w:r>
        <w:rPr>
          <w:color w:val="auto"/>
          <w:szCs w:val="21"/>
          <w:vertAlign w:val="subscript"/>
        </w:rPr>
        <w:t>2</w:t>
      </w:r>
      <w:r>
        <w:rPr>
          <w:color w:val="auto"/>
          <w:szCs w:val="21"/>
        </w:rPr>
        <w:t>/ P</w:t>
      </w:r>
      <w:r>
        <w:rPr>
          <w:color w:val="auto"/>
          <w:szCs w:val="21"/>
          <w:vertAlign w:val="subscript"/>
        </w:rPr>
        <w:t>1</w:t>
      </w:r>
      <w:r>
        <w:rPr>
          <w:color w:val="auto"/>
          <w:szCs w:val="21"/>
        </w:rPr>
        <w:t>×P</w:t>
      </w:r>
      <w:r>
        <w:rPr>
          <w:color w:val="auto"/>
          <w:szCs w:val="21"/>
          <w:vertAlign w:val="subscript"/>
        </w:rPr>
        <w:t>2</w:t>
      </w:r>
      <w:r>
        <w:rPr>
          <w:color w:val="auto"/>
          <w:szCs w:val="21"/>
        </w:rPr>
        <w:t>的金属板冲孔筛，R为直径，H为高度，W</w:t>
      </w:r>
      <w:r>
        <w:rPr>
          <w:color w:val="auto"/>
          <w:szCs w:val="21"/>
          <w:vertAlign w:val="subscript"/>
        </w:rPr>
        <w:t>1</w:t>
      </w:r>
      <w:r>
        <w:rPr>
          <w:color w:val="auto"/>
          <w:szCs w:val="21"/>
        </w:rPr>
        <w:t>为孔宽，W</w:t>
      </w:r>
      <w:r>
        <w:rPr>
          <w:color w:val="auto"/>
          <w:szCs w:val="21"/>
          <w:vertAlign w:val="subscript"/>
        </w:rPr>
        <w:t>2</w:t>
      </w:r>
      <w:r>
        <w:rPr>
          <w:color w:val="auto"/>
          <w:szCs w:val="21"/>
        </w:rPr>
        <w:t>为孔长，P</w:t>
      </w:r>
      <w:r>
        <w:rPr>
          <w:color w:val="auto"/>
          <w:szCs w:val="21"/>
          <w:vertAlign w:val="subscript"/>
        </w:rPr>
        <w:t>1</w:t>
      </w:r>
      <w:r>
        <w:rPr>
          <w:color w:val="auto"/>
          <w:szCs w:val="21"/>
        </w:rPr>
        <w:t>为孔短边距，P</w:t>
      </w:r>
      <w:r>
        <w:rPr>
          <w:color w:val="auto"/>
          <w:szCs w:val="21"/>
          <w:vertAlign w:val="subscript"/>
        </w:rPr>
        <w:t>2</w:t>
      </w:r>
      <w:r>
        <w:rPr>
          <w:color w:val="auto"/>
          <w:szCs w:val="21"/>
        </w:rPr>
        <w:t xml:space="preserve">为孔长边距。 </w:t>
      </w:r>
    </w:p>
    <w:p>
      <w:pPr>
        <w:numPr>
          <w:ilvl w:val="0"/>
          <w:numId w:val="3"/>
        </w:numPr>
        <w:spacing w:line="360" w:lineRule="auto"/>
        <w:rPr>
          <w:color w:val="auto"/>
          <w:szCs w:val="21"/>
        </w:rPr>
      </w:pPr>
      <w:r>
        <w:rPr>
          <w:color w:val="auto"/>
          <w:szCs w:val="21"/>
        </w:rPr>
        <w:t>着火点 ignition temperature</w:t>
      </w:r>
    </w:p>
    <w:p>
      <w:pPr>
        <w:tabs>
          <w:tab w:val="left" w:pos="0"/>
        </w:tabs>
        <w:spacing w:line="360" w:lineRule="auto"/>
        <w:ind w:firstLine="420" w:firstLineChars="200"/>
        <w:rPr>
          <w:color w:val="auto"/>
          <w:szCs w:val="21"/>
        </w:rPr>
      </w:pPr>
      <w:r>
        <w:rPr>
          <w:color w:val="auto"/>
          <w:szCs w:val="21"/>
        </w:rPr>
        <w:t>碳基材料试样的温度随加热空气流慢慢升高直至升温速率突然变大的瞬间温度。</w:t>
      </w:r>
    </w:p>
    <w:p>
      <w:pPr>
        <w:numPr>
          <w:ilvl w:val="0"/>
          <w:numId w:val="3"/>
        </w:numPr>
        <w:spacing w:line="360" w:lineRule="auto"/>
        <w:rPr>
          <w:color w:val="auto"/>
          <w:szCs w:val="21"/>
        </w:rPr>
      </w:pPr>
      <w:r>
        <w:rPr>
          <w:color w:val="auto"/>
          <w:szCs w:val="21"/>
        </w:rPr>
        <w:t>水分</w:t>
      </w:r>
      <w:r>
        <w:rPr>
          <w:color w:val="auto"/>
          <w:sz w:val="18"/>
          <w:szCs w:val="21"/>
        </w:rPr>
        <w:t xml:space="preserve"> </w:t>
      </w:r>
      <w:r>
        <w:rPr>
          <w:color w:val="auto"/>
        </w:rPr>
        <w:t>moisture content</w:t>
      </w:r>
    </w:p>
    <w:p>
      <w:pPr>
        <w:tabs>
          <w:tab w:val="left" w:pos="0"/>
        </w:tabs>
        <w:spacing w:line="360" w:lineRule="auto"/>
        <w:ind w:firstLine="420" w:firstLineChars="200"/>
        <w:rPr>
          <w:color w:val="auto"/>
          <w:szCs w:val="21"/>
        </w:rPr>
      </w:pPr>
      <w:r>
        <w:rPr>
          <w:color w:val="auto"/>
          <w:szCs w:val="21"/>
        </w:rPr>
        <w:t>烟气净化碳基材料干燥完全后</w:t>
      </w:r>
      <w:r>
        <w:rPr>
          <w:color w:val="auto"/>
        </w:rPr>
        <w:t>失去水分的质量占原试样质量的百分数。</w:t>
      </w:r>
    </w:p>
    <w:p>
      <w:pPr>
        <w:numPr>
          <w:ilvl w:val="0"/>
          <w:numId w:val="3"/>
        </w:numPr>
        <w:spacing w:line="360" w:lineRule="auto"/>
        <w:rPr>
          <w:color w:val="auto"/>
          <w:szCs w:val="21"/>
        </w:rPr>
      </w:pPr>
      <w:r>
        <w:rPr>
          <w:color w:val="auto"/>
          <w:szCs w:val="21"/>
        </w:rPr>
        <w:t>灰分 ash content</w:t>
      </w:r>
    </w:p>
    <w:p>
      <w:pPr>
        <w:tabs>
          <w:tab w:val="left" w:pos="0"/>
        </w:tabs>
        <w:spacing w:line="360" w:lineRule="auto"/>
        <w:ind w:firstLine="420" w:firstLineChars="200"/>
        <w:rPr>
          <w:color w:val="auto"/>
          <w:szCs w:val="21"/>
        </w:rPr>
      </w:pPr>
      <w:r>
        <w:rPr>
          <w:color w:val="auto"/>
          <w:szCs w:val="21"/>
        </w:rPr>
        <w:t>烟气净化碳基材料试样经800℃</w:t>
      </w:r>
      <w:r>
        <w:rPr>
          <w:color w:val="auto"/>
        </w:rPr>
        <w:t>灼烧完全后</w:t>
      </w:r>
      <w:r>
        <w:rPr>
          <w:color w:val="auto"/>
          <w:szCs w:val="21"/>
        </w:rPr>
        <w:t>所得残渣质量</w:t>
      </w:r>
      <w:r>
        <w:rPr>
          <w:color w:val="auto"/>
        </w:rPr>
        <w:t>占原试样质量的百分数</w:t>
      </w:r>
      <w:r>
        <w:rPr>
          <w:color w:val="auto"/>
          <w:szCs w:val="21"/>
        </w:rPr>
        <w:t>。</w:t>
      </w:r>
    </w:p>
    <w:p>
      <w:pPr>
        <w:numPr>
          <w:ilvl w:val="0"/>
          <w:numId w:val="3"/>
        </w:numPr>
        <w:spacing w:line="360" w:lineRule="auto"/>
        <w:rPr>
          <w:color w:val="auto"/>
          <w:szCs w:val="21"/>
        </w:rPr>
      </w:pPr>
      <w:r>
        <w:rPr>
          <w:color w:val="auto"/>
          <w:szCs w:val="21"/>
        </w:rPr>
        <w:t xml:space="preserve">挥发分 volatile compounds </w:t>
      </w:r>
    </w:p>
    <w:p>
      <w:pPr>
        <w:tabs>
          <w:tab w:val="left" w:pos="0"/>
        </w:tabs>
        <w:spacing w:line="360" w:lineRule="auto"/>
        <w:ind w:firstLine="420" w:firstLineChars="200"/>
        <w:rPr>
          <w:color w:val="auto"/>
          <w:szCs w:val="21"/>
        </w:rPr>
      </w:pPr>
      <w:r>
        <w:rPr>
          <w:color w:val="auto"/>
          <w:szCs w:val="21"/>
        </w:rPr>
        <w:t>烟气净化碳基材料试样经管式炉</w:t>
      </w:r>
      <w:r>
        <w:rPr>
          <w:color w:val="auto"/>
        </w:rPr>
        <w:t>保温后</w:t>
      </w:r>
      <w:r>
        <w:rPr>
          <w:color w:val="auto"/>
          <w:szCs w:val="21"/>
        </w:rPr>
        <w:t>样品损失质量</w:t>
      </w:r>
      <w:r>
        <w:rPr>
          <w:color w:val="auto"/>
        </w:rPr>
        <w:t>占原试样质量的百分数</w:t>
      </w:r>
      <w:r>
        <w:rPr>
          <w:color w:val="auto"/>
          <w:szCs w:val="21"/>
        </w:rPr>
        <w:t>。</w:t>
      </w:r>
    </w:p>
    <w:p>
      <w:pPr>
        <w:numPr>
          <w:ilvl w:val="0"/>
          <w:numId w:val="3"/>
        </w:numPr>
        <w:spacing w:line="360" w:lineRule="auto"/>
        <w:rPr>
          <w:color w:val="auto"/>
          <w:szCs w:val="21"/>
        </w:rPr>
      </w:pPr>
      <w:r>
        <w:rPr>
          <w:color w:val="auto"/>
          <w:szCs w:val="21"/>
        </w:rPr>
        <w:t>水容量 water absorption</w:t>
      </w:r>
    </w:p>
    <w:p>
      <w:pPr>
        <w:tabs>
          <w:tab w:val="left" w:pos="0"/>
        </w:tabs>
        <w:spacing w:line="360" w:lineRule="auto"/>
        <w:ind w:firstLine="420" w:firstLineChars="200"/>
        <w:rPr>
          <w:color w:val="auto"/>
        </w:rPr>
      </w:pPr>
      <w:r>
        <w:rPr>
          <w:color w:val="auto"/>
          <w:szCs w:val="21"/>
        </w:rPr>
        <w:t>烟气净化碳基材料</w:t>
      </w:r>
      <w:r>
        <w:rPr>
          <w:color w:val="auto"/>
        </w:rPr>
        <w:t>试样</w:t>
      </w:r>
      <w:r>
        <w:rPr>
          <w:color w:val="auto"/>
          <w:szCs w:val="21"/>
        </w:rPr>
        <w:t>吸附水至饱和</w:t>
      </w:r>
      <w:r>
        <w:rPr>
          <w:color w:val="auto"/>
        </w:rPr>
        <w:t>后最大吸水质量占原试样质量的百分数。</w:t>
      </w:r>
    </w:p>
    <w:p>
      <w:pPr>
        <w:numPr>
          <w:ilvl w:val="0"/>
          <w:numId w:val="3"/>
        </w:numPr>
        <w:spacing w:line="360" w:lineRule="auto"/>
        <w:rPr>
          <w:color w:val="auto"/>
          <w:szCs w:val="21"/>
        </w:rPr>
      </w:pPr>
      <w:r>
        <w:rPr>
          <w:color w:val="auto"/>
          <w:szCs w:val="21"/>
        </w:rPr>
        <w:t>SO</w:t>
      </w:r>
      <w:r>
        <w:rPr>
          <w:color w:val="auto"/>
          <w:szCs w:val="21"/>
          <w:vertAlign w:val="subscript"/>
        </w:rPr>
        <w:t>2</w:t>
      </w:r>
      <w:r>
        <w:rPr>
          <w:color w:val="auto"/>
          <w:szCs w:val="21"/>
        </w:rPr>
        <w:t>吸附值 SO</w:t>
      </w:r>
      <w:r>
        <w:rPr>
          <w:color w:val="auto"/>
          <w:szCs w:val="21"/>
          <w:vertAlign w:val="subscript"/>
        </w:rPr>
        <w:t>2</w:t>
      </w:r>
      <w:r>
        <w:rPr>
          <w:color w:val="auto"/>
          <w:szCs w:val="21"/>
        </w:rPr>
        <w:t xml:space="preserve"> adsorption value</w:t>
      </w:r>
    </w:p>
    <w:p>
      <w:pPr>
        <w:tabs>
          <w:tab w:val="left" w:pos="0"/>
        </w:tabs>
        <w:spacing w:line="360" w:lineRule="auto"/>
        <w:ind w:firstLine="420" w:firstLineChars="200"/>
        <w:rPr>
          <w:color w:val="auto"/>
          <w:szCs w:val="21"/>
        </w:rPr>
      </w:pPr>
      <w:r>
        <w:rPr>
          <w:color w:val="auto"/>
          <w:szCs w:val="21"/>
        </w:rPr>
        <w:t>规定条件下，模拟脱硫烟气经过一定质量的烟气净化碳基材料床层，单位质量样品5 h吸附SO</w:t>
      </w:r>
      <w:r>
        <w:rPr>
          <w:color w:val="auto"/>
          <w:szCs w:val="21"/>
          <w:vertAlign w:val="subscript"/>
        </w:rPr>
        <w:t>2</w:t>
      </w:r>
      <w:r>
        <w:rPr>
          <w:color w:val="auto"/>
          <w:szCs w:val="21"/>
        </w:rPr>
        <w:t>的质量。</w:t>
      </w:r>
    </w:p>
    <w:p>
      <w:pPr>
        <w:numPr>
          <w:ilvl w:val="0"/>
          <w:numId w:val="3"/>
        </w:numPr>
        <w:spacing w:line="360" w:lineRule="auto"/>
        <w:rPr>
          <w:color w:val="auto"/>
          <w:szCs w:val="21"/>
        </w:rPr>
      </w:pPr>
      <w:bookmarkStart w:id="65" w:name="OLE_LINK1"/>
      <w:r>
        <w:rPr>
          <w:color w:val="auto"/>
          <w:szCs w:val="21"/>
        </w:rPr>
        <w:t>SO</w:t>
      </w:r>
      <w:r>
        <w:rPr>
          <w:color w:val="auto"/>
          <w:szCs w:val="21"/>
          <w:vertAlign w:val="subscript"/>
        </w:rPr>
        <w:t>2</w:t>
      </w:r>
      <w:r>
        <w:rPr>
          <w:color w:val="auto"/>
          <w:szCs w:val="21"/>
        </w:rPr>
        <w:t>循环吸附值</w:t>
      </w:r>
      <w:bookmarkEnd w:id="65"/>
      <w:r>
        <w:rPr>
          <w:color w:val="auto"/>
          <w:szCs w:val="21"/>
        </w:rPr>
        <w:t xml:space="preserve"> circular SO</w:t>
      </w:r>
      <w:r>
        <w:rPr>
          <w:color w:val="auto"/>
          <w:szCs w:val="21"/>
          <w:vertAlign w:val="subscript"/>
        </w:rPr>
        <w:t>2</w:t>
      </w:r>
      <w:r>
        <w:rPr>
          <w:color w:val="auto"/>
          <w:szCs w:val="21"/>
        </w:rPr>
        <w:t xml:space="preserve"> adsorption value</w:t>
      </w:r>
    </w:p>
    <w:p>
      <w:pPr>
        <w:tabs>
          <w:tab w:val="left" w:pos="0"/>
        </w:tabs>
        <w:spacing w:line="360" w:lineRule="auto"/>
        <w:ind w:firstLine="420" w:firstLineChars="200"/>
        <w:rPr>
          <w:color w:val="auto"/>
          <w:szCs w:val="21"/>
        </w:rPr>
      </w:pPr>
      <w:r>
        <w:rPr>
          <w:color w:val="auto"/>
          <w:szCs w:val="21"/>
        </w:rPr>
        <w:t>规定条件下，模拟脱硫烟气经过一定质量的烟气净化碳基材料床层，吸附、解析、再吸附、再解析共计10次循环，每次单位质量样品5 h吸附SO</w:t>
      </w:r>
      <w:r>
        <w:rPr>
          <w:color w:val="auto"/>
          <w:szCs w:val="21"/>
          <w:vertAlign w:val="subscript"/>
        </w:rPr>
        <w:t>2</w:t>
      </w:r>
      <w:r>
        <w:rPr>
          <w:color w:val="auto"/>
          <w:szCs w:val="21"/>
        </w:rPr>
        <w:t>的质量，并按顺序组成一组SO</w:t>
      </w:r>
      <w:r>
        <w:rPr>
          <w:color w:val="auto"/>
          <w:szCs w:val="21"/>
          <w:vertAlign w:val="subscript"/>
        </w:rPr>
        <w:t>2</w:t>
      </w:r>
      <w:r>
        <w:rPr>
          <w:color w:val="auto"/>
          <w:szCs w:val="21"/>
        </w:rPr>
        <w:t>吸附值的集合。</w:t>
      </w:r>
    </w:p>
    <w:p>
      <w:pPr>
        <w:numPr>
          <w:ilvl w:val="0"/>
          <w:numId w:val="3"/>
        </w:numPr>
        <w:spacing w:line="360" w:lineRule="auto"/>
        <w:rPr>
          <w:color w:val="auto"/>
          <w:szCs w:val="21"/>
        </w:rPr>
      </w:pPr>
      <w:r>
        <w:rPr>
          <w:color w:val="auto"/>
          <w:szCs w:val="21"/>
        </w:rPr>
        <w:t>模拟脱硫烟气 simulated flue gas of desulfurization</w:t>
      </w:r>
    </w:p>
    <w:p>
      <w:pPr>
        <w:tabs>
          <w:tab w:val="left" w:pos="0"/>
        </w:tabs>
        <w:spacing w:line="360" w:lineRule="auto"/>
        <w:ind w:firstLine="420" w:firstLineChars="200"/>
        <w:rPr>
          <w:color w:val="auto"/>
          <w:szCs w:val="21"/>
        </w:rPr>
      </w:pPr>
      <w:r>
        <w:rPr>
          <w:color w:val="auto"/>
          <w:szCs w:val="21"/>
        </w:rPr>
        <w:t>参照实际烟气工况，配制的含有氧气、水蒸气﹑二氧化硫等主要组分，平衡气为氮气的混合模拟烟气。</w:t>
      </w:r>
    </w:p>
    <w:p>
      <w:pPr>
        <w:numPr>
          <w:ilvl w:val="0"/>
          <w:numId w:val="3"/>
        </w:numPr>
        <w:spacing w:line="360" w:lineRule="auto"/>
        <w:rPr>
          <w:color w:val="auto"/>
          <w:szCs w:val="21"/>
        </w:rPr>
      </w:pPr>
      <w:r>
        <w:rPr>
          <w:color w:val="auto"/>
          <w:szCs w:val="21"/>
        </w:rPr>
        <w:t>脱硝率 denitration efficiency</w:t>
      </w:r>
    </w:p>
    <w:p>
      <w:pPr>
        <w:tabs>
          <w:tab w:val="left" w:pos="0"/>
        </w:tabs>
        <w:spacing w:line="360" w:lineRule="auto"/>
        <w:ind w:firstLine="420" w:firstLineChars="200"/>
        <w:rPr>
          <w:color w:val="auto"/>
          <w:szCs w:val="21"/>
        </w:rPr>
      </w:pPr>
      <w:r>
        <w:rPr>
          <w:color w:val="auto"/>
          <w:szCs w:val="21"/>
        </w:rPr>
        <w:t>规定条件下，模拟脱硝烟气经过一定体积的烟气净化碳基材料床层，当净烟气中一氧化氮达到平衡时，脱除一氧化氮的百分比。</w:t>
      </w:r>
    </w:p>
    <w:p>
      <w:pPr>
        <w:numPr>
          <w:ilvl w:val="0"/>
          <w:numId w:val="3"/>
        </w:numPr>
        <w:spacing w:line="360" w:lineRule="auto"/>
        <w:rPr>
          <w:color w:val="auto"/>
          <w:szCs w:val="21"/>
        </w:rPr>
      </w:pPr>
      <w:r>
        <w:rPr>
          <w:color w:val="auto"/>
          <w:szCs w:val="21"/>
        </w:rPr>
        <w:t>模拟脱硝烟气 simulated flue gas of denitrification</w:t>
      </w:r>
    </w:p>
    <w:p>
      <w:pPr>
        <w:tabs>
          <w:tab w:val="left" w:pos="0"/>
        </w:tabs>
        <w:spacing w:line="360" w:lineRule="auto"/>
        <w:ind w:firstLine="420" w:firstLineChars="200"/>
        <w:rPr>
          <w:color w:val="auto"/>
          <w:szCs w:val="21"/>
        </w:rPr>
      </w:pPr>
      <w:r>
        <w:rPr>
          <w:color w:val="auto"/>
          <w:szCs w:val="21"/>
        </w:rPr>
        <w:t>参照实际烟气工况，配制的含有氧气、水蒸气﹑一氧化氮等主要组分，并喷入一定的氨气参与脱硝反应，平衡气为氮气的混合模拟烟气。</w:t>
      </w:r>
    </w:p>
    <w:p>
      <w:pPr>
        <w:numPr>
          <w:ilvl w:val="0"/>
          <w:numId w:val="3"/>
        </w:numPr>
        <w:spacing w:line="360" w:lineRule="auto"/>
        <w:rPr>
          <w:color w:val="auto"/>
          <w:szCs w:val="21"/>
        </w:rPr>
      </w:pPr>
      <w:r>
        <w:rPr>
          <w:color w:val="auto"/>
          <w:szCs w:val="21"/>
        </w:rPr>
        <w:t>循环脱硫脱硝性能 circular desulfurization value and denitration efficiency</w:t>
      </w:r>
    </w:p>
    <w:p>
      <w:pPr>
        <w:tabs>
          <w:tab w:val="left" w:pos="0"/>
        </w:tabs>
        <w:spacing w:line="360" w:lineRule="auto"/>
        <w:ind w:firstLine="420" w:firstLineChars="200"/>
        <w:rPr>
          <w:color w:val="auto"/>
          <w:szCs w:val="21"/>
        </w:rPr>
      </w:pPr>
      <w:r>
        <w:rPr>
          <w:color w:val="auto"/>
          <w:szCs w:val="21"/>
        </w:rPr>
        <w:t>规定条件下，一定体积烟气净化碳基材料进行脱硝、二氧化硫吸附、解析、再脱硝、再吸附、再解析共计10次循环，整个循环过程一氧化氮脱除和吸附二氧化硫的能力，并按顺序组成一组脱硝率、SO</w:t>
      </w:r>
      <w:r>
        <w:rPr>
          <w:color w:val="auto"/>
          <w:szCs w:val="21"/>
          <w:vertAlign w:val="subscript"/>
        </w:rPr>
        <w:t>2</w:t>
      </w:r>
      <w:r>
        <w:rPr>
          <w:color w:val="auto"/>
          <w:szCs w:val="21"/>
        </w:rPr>
        <w:t>吸附值的集合。</w:t>
      </w:r>
    </w:p>
    <w:p>
      <w:pPr>
        <w:numPr>
          <w:ilvl w:val="0"/>
          <w:numId w:val="3"/>
        </w:numPr>
        <w:spacing w:line="360" w:lineRule="auto"/>
        <w:rPr>
          <w:color w:val="auto"/>
          <w:szCs w:val="21"/>
        </w:rPr>
      </w:pPr>
      <w:r>
        <w:rPr>
          <w:color w:val="auto"/>
          <w:szCs w:val="21"/>
        </w:rPr>
        <w:t>净烟气 cleaning flue gas</w:t>
      </w:r>
    </w:p>
    <w:p>
      <w:pPr>
        <w:tabs>
          <w:tab w:val="left" w:pos="0"/>
        </w:tabs>
        <w:spacing w:line="360" w:lineRule="auto"/>
        <w:ind w:firstLine="420" w:firstLineChars="200"/>
        <w:rPr>
          <w:color w:val="auto"/>
          <w:szCs w:val="21"/>
        </w:rPr>
      </w:pPr>
      <w:r>
        <w:rPr>
          <w:color w:val="auto"/>
          <w:szCs w:val="21"/>
        </w:rPr>
        <w:t>模拟脱硫/脱硝烟气经过烟气净化碳基材料床层，二氧化硫/一氧化氮被净化后的烟气。</w:t>
      </w:r>
    </w:p>
    <w:bookmarkEnd w:id="58"/>
    <w:bookmarkEnd w:id="59"/>
    <w:bookmarkEnd w:id="60"/>
    <w:bookmarkEnd w:id="61"/>
    <w:bookmarkEnd w:id="62"/>
    <w:bookmarkEnd w:id="63"/>
    <w:bookmarkEnd w:id="64"/>
    <w:p>
      <w:pPr>
        <w:numPr>
          <w:ilvl w:val="0"/>
          <w:numId w:val="3"/>
        </w:numPr>
        <w:spacing w:line="360" w:lineRule="auto"/>
        <w:rPr>
          <w:color w:val="auto"/>
          <w:szCs w:val="21"/>
        </w:rPr>
      </w:pPr>
      <w:r>
        <w:rPr>
          <w:color w:val="auto"/>
        </w:rPr>
        <w:t>标况</w:t>
      </w:r>
      <w:r>
        <w:rPr>
          <w:color w:val="auto"/>
          <w:szCs w:val="21"/>
        </w:rPr>
        <w:t xml:space="preserve"> standard condition</w:t>
      </w:r>
    </w:p>
    <w:p>
      <w:pPr>
        <w:tabs>
          <w:tab w:val="left" w:pos="0"/>
        </w:tabs>
        <w:spacing w:line="360" w:lineRule="auto"/>
        <w:ind w:firstLine="420" w:firstLineChars="200"/>
        <w:rPr>
          <w:color w:val="auto"/>
          <w:szCs w:val="21"/>
        </w:rPr>
      </w:pPr>
      <w:r>
        <w:rPr>
          <w:rFonts w:hint="eastAsia"/>
          <w:color w:val="auto"/>
          <w:szCs w:val="21"/>
        </w:rPr>
        <w:t>标准状况的简称，</w:t>
      </w:r>
      <w:r>
        <w:rPr>
          <w:color w:val="auto"/>
          <w:szCs w:val="21"/>
        </w:rPr>
        <w:t>指温度为0 ℃和压强为101.325 kPa的情况。</w:t>
      </w:r>
    </w:p>
    <w:p>
      <w:pPr>
        <w:numPr>
          <w:ilvl w:val="0"/>
          <w:numId w:val="3"/>
        </w:numPr>
        <w:spacing w:line="360" w:lineRule="auto"/>
        <w:rPr>
          <w:color w:val="auto"/>
          <w:szCs w:val="21"/>
        </w:rPr>
      </w:pPr>
      <w:r>
        <w:rPr>
          <w:color w:val="auto"/>
        </w:rPr>
        <w:t>满量程</w:t>
      </w:r>
      <w:r>
        <w:rPr>
          <w:color w:val="auto"/>
          <w:szCs w:val="21"/>
        </w:rPr>
        <w:t xml:space="preserve"> full scale</w:t>
      </w:r>
    </w:p>
    <w:p>
      <w:pPr>
        <w:tabs>
          <w:tab w:val="left" w:pos="0"/>
        </w:tabs>
        <w:spacing w:line="360" w:lineRule="auto"/>
        <w:ind w:firstLine="420" w:firstLineChars="200"/>
        <w:rPr>
          <w:color w:val="auto"/>
          <w:szCs w:val="21"/>
        </w:rPr>
      </w:pPr>
      <w:r>
        <w:rPr>
          <w:color w:val="auto"/>
          <w:szCs w:val="21"/>
        </w:rPr>
        <w:t>根据实际应用需要设置烟气分析仪、流量计的最大测量值。</w:t>
      </w:r>
    </w:p>
    <w:p>
      <w:pPr>
        <w:numPr>
          <w:ilvl w:val="0"/>
          <w:numId w:val="3"/>
        </w:numPr>
        <w:spacing w:line="360" w:lineRule="auto"/>
        <w:rPr>
          <w:color w:val="auto"/>
          <w:szCs w:val="21"/>
        </w:rPr>
      </w:pPr>
      <w:r>
        <w:rPr>
          <w:color w:val="auto"/>
          <w:szCs w:val="21"/>
        </w:rPr>
        <w:t>脱硫专用碳基材料 Special carbon-based material for desulfurization</w:t>
      </w:r>
    </w:p>
    <w:p>
      <w:pPr>
        <w:tabs>
          <w:tab w:val="left" w:pos="0"/>
        </w:tabs>
        <w:spacing w:line="360" w:lineRule="auto"/>
        <w:ind w:firstLine="420" w:firstLineChars="200"/>
        <w:rPr>
          <w:color w:val="auto"/>
          <w:szCs w:val="21"/>
        </w:rPr>
      </w:pPr>
      <w:r>
        <w:rPr>
          <w:color w:val="auto"/>
          <w:szCs w:val="21"/>
        </w:rPr>
        <w:t>具有高的二氧化硫吸附能力，用于烟气净化脱硫使用的专用碳基材料。</w:t>
      </w:r>
    </w:p>
    <w:p>
      <w:pPr>
        <w:numPr>
          <w:ilvl w:val="0"/>
          <w:numId w:val="3"/>
        </w:numPr>
        <w:spacing w:line="360" w:lineRule="auto"/>
        <w:rPr>
          <w:color w:val="auto"/>
          <w:szCs w:val="21"/>
        </w:rPr>
      </w:pPr>
      <w:r>
        <w:rPr>
          <w:color w:val="auto"/>
          <w:szCs w:val="21"/>
        </w:rPr>
        <w:t>脱硫脱硝专用碳基材料 Special carbon-based materials for desulfurization and denitrification</w:t>
      </w:r>
    </w:p>
    <w:p>
      <w:pPr>
        <w:spacing w:line="360" w:lineRule="auto"/>
        <w:ind w:firstLine="420" w:firstLineChars="200"/>
        <w:rPr>
          <w:color w:val="auto"/>
          <w:szCs w:val="21"/>
        </w:rPr>
      </w:pPr>
      <w:r>
        <w:rPr>
          <w:color w:val="auto"/>
          <w:szCs w:val="21"/>
        </w:rPr>
        <w:t>具有一定的二氧化硫吸附能力及氮氧化物催化还原能力，用于烟气净化同时脱硫脱硝使用的专用碳基材料。</w:t>
      </w:r>
    </w:p>
    <w:p>
      <w:pPr>
        <w:tabs>
          <w:tab w:val="left" w:pos="0"/>
        </w:tabs>
        <w:spacing w:line="360" w:lineRule="auto"/>
        <w:ind w:firstLine="420" w:firstLineChars="200"/>
        <w:rPr>
          <w:color w:val="auto"/>
        </w:rPr>
        <w:sectPr>
          <w:footerReference r:id="rId14" w:type="default"/>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66" w:name="_Toc19976"/>
      <w:bookmarkStart w:id="67" w:name="_Toc21498"/>
      <w:bookmarkStart w:id="68" w:name="_Toc21468"/>
      <w:bookmarkStart w:id="69" w:name="_Toc5659"/>
      <w:bookmarkStart w:id="70" w:name="_Toc23076"/>
      <w:r>
        <w:rPr>
          <w:color w:val="auto"/>
          <w:sz w:val="28"/>
          <w:szCs w:val="28"/>
        </w:rPr>
        <w:t>3 基本规定</w:t>
      </w:r>
      <w:bookmarkEnd w:id="66"/>
      <w:bookmarkEnd w:id="67"/>
      <w:bookmarkEnd w:id="68"/>
      <w:bookmarkEnd w:id="69"/>
      <w:bookmarkEnd w:id="70"/>
    </w:p>
    <w:p>
      <w:pPr>
        <w:numPr>
          <w:ilvl w:val="0"/>
          <w:numId w:val="4"/>
        </w:numPr>
        <w:spacing w:line="360" w:lineRule="auto"/>
        <w:rPr>
          <w:color w:val="auto"/>
          <w:szCs w:val="21"/>
        </w:rPr>
      </w:pPr>
      <w:r>
        <w:rPr>
          <w:color w:val="auto"/>
          <w:szCs w:val="21"/>
        </w:rPr>
        <w:t>烟气净化碳基材料性能测试应包括堆积密度、粒度分布、耐磨强度、耐压强度、着火点、水分、灰分、挥发分、水容量、SO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循环吸附值、脱硝率和循环脱硫脱硝性能等13项指标。</w:t>
      </w:r>
    </w:p>
    <w:p>
      <w:pPr>
        <w:numPr>
          <w:ilvl w:val="0"/>
          <w:numId w:val="4"/>
        </w:numPr>
        <w:spacing w:line="360" w:lineRule="auto"/>
        <w:rPr>
          <w:color w:val="auto"/>
          <w:szCs w:val="21"/>
        </w:rPr>
      </w:pPr>
      <w:r>
        <w:rPr>
          <w:color w:val="auto"/>
          <w:szCs w:val="21"/>
        </w:rPr>
        <w:t>烟气净化碳基材料应根据工艺路线选择脱硫专用或脱硫脱硝专用碳基材料，其性能指标应满足相应技术要求。</w:t>
      </w:r>
    </w:p>
    <w:p>
      <w:pPr>
        <w:spacing w:line="360" w:lineRule="auto"/>
        <w:rPr>
          <w:color w:val="auto"/>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71" w:name="_Toc21297"/>
      <w:bookmarkStart w:id="72" w:name="_Toc5160"/>
      <w:bookmarkStart w:id="73" w:name="_Toc10810"/>
      <w:bookmarkStart w:id="74" w:name="_Toc3100"/>
      <w:bookmarkStart w:id="75" w:name="_Toc31622"/>
      <w:r>
        <w:rPr>
          <w:color w:val="auto"/>
          <w:sz w:val="28"/>
          <w:szCs w:val="28"/>
        </w:rPr>
        <w:t>4 测试仪器和设备</w:t>
      </w:r>
      <w:bookmarkEnd w:id="71"/>
      <w:bookmarkEnd w:id="72"/>
      <w:bookmarkEnd w:id="73"/>
      <w:bookmarkEnd w:id="74"/>
      <w:bookmarkEnd w:id="75"/>
    </w:p>
    <w:p>
      <w:pPr>
        <w:numPr>
          <w:ilvl w:val="0"/>
          <w:numId w:val="5"/>
        </w:numPr>
        <w:spacing w:line="360" w:lineRule="auto"/>
        <w:rPr>
          <w:color w:val="auto"/>
          <w:szCs w:val="21"/>
        </w:rPr>
      </w:pPr>
      <w:r>
        <w:rPr>
          <w:color w:val="auto"/>
          <w:szCs w:val="21"/>
        </w:rPr>
        <w:t>堆积密度测试仪器和设备应包括堆积密度测试仪、电子天平、电热鼓风干燥箱、干燥器、刷子、二分器、检验筛分机和长方孔试验筛。</w:t>
      </w:r>
    </w:p>
    <w:p>
      <w:pPr>
        <w:numPr>
          <w:ilvl w:val="0"/>
          <w:numId w:val="5"/>
        </w:numPr>
        <w:spacing w:line="360" w:lineRule="auto"/>
        <w:rPr>
          <w:color w:val="auto"/>
          <w:szCs w:val="21"/>
        </w:rPr>
      </w:pPr>
      <w:r>
        <w:rPr>
          <w:color w:val="auto"/>
          <w:szCs w:val="21"/>
        </w:rPr>
        <w:t>粒度分布测试仪器和设备应包括电子天平、电热鼓风干燥箱、干燥器、刷子、二分器、检验筛分机和长方孔试验筛。</w:t>
      </w:r>
    </w:p>
    <w:p>
      <w:pPr>
        <w:numPr>
          <w:ilvl w:val="0"/>
          <w:numId w:val="5"/>
        </w:numPr>
        <w:spacing w:line="360" w:lineRule="auto"/>
        <w:rPr>
          <w:color w:val="auto"/>
          <w:szCs w:val="21"/>
        </w:rPr>
      </w:pPr>
      <w:r>
        <w:rPr>
          <w:color w:val="auto"/>
          <w:szCs w:val="21"/>
        </w:rPr>
        <w:t>耐磨强度、耐压强度测试仪器和设备应包括耐磨强度测试仪、耐压强度测试仪、电子天平、电热鼓风干燥箱、干燥器、刷子、二分器、检验筛分机和长方孔试验筛。</w:t>
      </w:r>
    </w:p>
    <w:p>
      <w:pPr>
        <w:numPr>
          <w:ilvl w:val="0"/>
          <w:numId w:val="5"/>
        </w:numPr>
        <w:spacing w:line="360" w:lineRule="auto"/>
        <w:rPr>
          <w:color w:val="auto"/>
          <w:szCs w:val="21"/>
        </w:rPr>
      </w:pPr>
      <w:r>
        <w:rPr>
          <w:color w:val="auto"/>
          <w:szCs w:val="21"/>
        </w:rPr>
        <w:t>着火点测试仪器和设备应包括着火点测试仪、电热鼓风干燥箱、干燥器、刷子、检验筛分机和长方孔试验筛。</w:t>
      </w:r>
    </w:p>
    <w:p>
      <w:pPr>
        <w:numPr>
          <w:ilvl w:val="0"/>
          <w:numId w:val="5"/>
        </w:numPr>
        <w:spacing w:line="360" w:lineRule="auto"/>
        <w:rPr>
          <w:color w:val="auto"/>
          <w:szCs w:val="21"/>
        </w:rPr>
      </w:pPr>
      <w:r>
        <w:rPr>
          <w:color w:val="auto"/>
          <w:szCs w:val="21"/>
        </w:rPr>
        <w:t>水分测试仪器和设备应包括电子天平、电热鼓风干燥箱、干燥器和扁形称量瓶。</w:t>
      </w:r>
    </w:p>
    <w:p>
      <w:pPr>
        <w:numPr>
          <w:ilvl w:val="0"/>
          <w:numId w:val="5"/>
        </w:numPr>
        <w:spacing w:line="360" w:lineRule="auto"/>
        <w:rPr>
          <w:color w:val="auto"/>
          <w:szCs w:val="21"/>
        </w:rPr>
      </w:pPr>
      <w:r>
        <w:rPr>
          <w:color w:val="auto"/>
          <w:szCs w:val="21"/>
        </w:rPr>
        <w:t>灰分测试仪器和设备应包括分析天平、电热鼓风干燥箱、干燥器、马弗炉、灰皿和方孔试验筛。</w:t>
      </w:r>
    </w:p>
    <w:p>
      <w:pPr>
        <w:numPr>
          <w:ilvl w:val="0"/>
          <w:numId w:val="5"/>
        </w:numPr>
        <w:spacing w:line="360" w:lineRule="auto"/>
        <w:rPr>
          <w:color w:val="auto"/>
          <w:szCs w:val="21"/>
        </w:rPr>
      </w:pPr>
      <w:r>
        <w:rPr>
          <w:color w:val="auto"/>
          <w:szCs w:val="21"/>
        </w:rPr>
        <w:t>挥发分测试仪器和设备应包括分析天平、电热鼓风干燥箱、干燥器、马弗炉、管式炉、灰皿和方孔试验筛。</w:t>
      </w:r>
    </w:p>
    <w:p>
      <w:pPr>
        <w:numPr>
          <w:ilvl w:val="0"/>
          <w:numId w:val="5"/>
        </w:numPr>
        <w:spacing w:line="360" w:lineRule="auto"/>
        <w:rPr>
          <w:color w:val="auto"/>
          <w:szCs w:val="21"/>
        </w:rPr>
      </w:pPr>
      <w:r>
        <w:rPr>
          <w:color w:val="auto"/>
          <w:szCs w:val="21"/>
        </w:rPr>
        <w:t>水容量测试仪器和设备应包括循环水式多用真空泵、布氏漏斗、抽滤瓶、电子天平、电子秒表、电热鼓风干燥箱和干燥器。</w:t>
      </w:r>
    </w:p>
    <w:p>
      <w:pPr>
        <w:numPr>
          <w:ilvl w:val="0"/>
          <w:numId w:val="5"/>
        </w:numPr>
        <w:spacing w:line="360" w:lineRule="auto"/>
        <w:rPr>
          <w:color w:val="auto"/>
          <w:szCs w:val="21"/>
        </w:rPr>
      </w:pPr>
      <w:r>
        <w:rPr>
          <w:color w:val="auto"/>
          <w:szCs w:val="21"/>
        </w:rPr>
        <w:t>SO</w:t>
      </w:r>
      <w:r>
        <w:rPr>
          <w:color w:val="auto"/>
          <w:szCs w:val="21"/>
          <w:vertAlign w:val="subscript"/>
        </w:rPr>
        <w:t>2</w:t>
      </w:r>
      <w:r>
        <w:rPr>
          <w:color w:val="auto"/>
          <w:szCs w:val="21"/>
        </w:rPr>
        <w:t>吸附值测试仪器和设备应包括电热鼓风干燥箱、电子天平、方孔试验筛和SO</w:t>
      </w:r>
      <w:r>
        <w:rPr>
          <w:color w:val="auto"/>
          <w:szCs w:val="21"/>
          <w:vertAlign w:val="subscript"/>
        </w:rPr>
        <w:t>2</w:t>
      </w:r>
      <w:r>
        <w:rPr>
          <w:color w:val="auto"/>
          <w:szCs w:val="21"/>
        </w:rPr>
        <w:t>吸附值测试系统。</w:t>
      </w:r>
    </w:p>
    <w:p>
      <w:pPr>
        <w:numPr>
          <w:ilvl w:val="0"/>
          <w:numId w:val="5"/>
        </w:numPr>
        <w:spacing w:line="360" w:lineRule="auto"/>
        <w:rPr>
          <w:color w:val="auto"/>
          <w:szCs w:val="21"/>
        </w:rPr>
      </w:pPr>
      <w:r>
        <w:rPr>
          <w:color w:val="auto"/>
          <w:szCs w:val="21"/>
        </w:rPr>
        <w:t>SO</w:t>
      </w:r>
      <w:r>
        <w:rPr>
          <w:color w:val="auto"/>
          <w:szCs w:val="21"/>
          <w:vertAlign w:val="subscript"/>
        </w:rPr>
        <w:t>2</w:t>
      </w:r>
      <w:r>
        <w:rPr>
          <w:color w:val="auto"/>
          <w:szCs w:val="21"/>
        </w:rPr>
        <w:t>循环吸附值测试仪器和设备应包括电热鼓风干燥箱、电子天平、方孔试验筛和SO</w:t>
      </w:r>
      <w:r>
        <w:rPr>
          <w:color w:val="auto"/>
          <w:szCs w:val="21"/>
          <w:vertAlign w:val="subscript"/>
        </w:rPr>
        <w:t>2</w:t>
      </w:r>
      <w:r>
        <w:rPr>
          <w:color w:val="auto"/>
          <w:szCs w:val="21"/>
        </w:rPr>
        <w:t>循环吸附值测试系统。</w:t>
      </w:r>
    </w:p>
    <w:p>
      <w:pPr>
        <w:numPr>
          <w:ilvl w:val="0"/>
          <w:numId w:val="5"/>
        </w:numPr>
        <w:spacing w:line="360" w:lineRule="auto"/>
        <w:rPr>
          <w:color w:val="auto"/>
          <w:szCs w:val="21"/>
        </w:rPr>
      </w:pPr>
      <w:r>
        <w:rPr>
          <w:color w:val="auto"/>
          <w:szCs w:val="21"/>
        </w:rPr>
        <w:t>脱硝率测试仪器和设备应包括电热鼓风干燥箱、标准无塞量筒、方孔试验筛和脱硝率测试系统。</w:t>
      </w:r>
    </w:p>
    <w:p>
      <w:pPr>
        <w:numPr>
          <w:ilvl w:val="0"/>
          <w:numId w:val="5"/>
        </w:numPr>
        <w:spacing w:line="360" w:lineRule="auto"/>
        <w:rPr>
          <w:color w:val="auto"/>
          <w:szCs w:val="21"/>
        </w:rPr>
      </w:pPr>
      <w:r>
        <w:rPr>
          <w:color w:val="auto"/>
          <w:szCs w:val="21"/>
        </w:rPr>
        <w:t>循环脱硫脱硝性能测试仪器和设备应包括电热鼓风干燥箱、量筒、电子天平、方孔试验筛和循环脱硫脱硝性能测试系统。</w:t>
      </w:r>
    </w:p>
    <w:p>
      <w:pPr>
        <w:numPr>
          <w:ilvl w:val="0"/>
          <w:numId w:val="5"/>
        </w:numPr>
        <w:spacing w:line="360" w:lineRule="auto"/>
        <w:rPr>
          <w:color w:val="auto"/>
          <w:szCs w:val="21"/>
        </w:rPr>
      </w:pPr>
      <w:r>
        <w:rPr>
          <w:color w:val="auto"/>
          <w:szCs w:val="21"/>
        </w:rPr>
        <w:t>电热鼓风干燥箱</w:t>
      </w:r>
      <w:r>
        <w:rPr>
          <w:rFonts w:hint="eastAsia"/>
          <w:color w:val="auto"/>
          <w:szCs w:val="21"/>
        </w:rPr>
        <w:t>的温度可设置范围宜为室温~</w:t>
      </w:r>
      <w:r>
        <w:rPr>
          <w:color w:val="auto"/>
          <w:szCs w:val="21"/>
        </w:rPr>
        <w:t>300℃。</w:t>
      </w:r>
    </w:p>
    <w:p>
      <w:pPr>
        <w:numPr>
          <w:ilvl w:val="0"/>
          <w:numId w:val="5"/>
        </w:numPr>
        <w:spacing w:line="360" w:lineRule="auto"/>
        <w:rPr>
          <w:color w:val="auto"/>
        </w:rPr>
      </w:pPr>
      <w:r>
        <w:rPr>
          <w:color w:val="auto"/>
        </w:rPr>
        <w:t>干燥器应采用玻璃器皿，且</w:t>
      </w:r>
      <w:r>
        <w:rPr>
          <w:rFonts w:hint="eastAsia"/>
          <w:color w:val="auto"/>
        </w:rPr>
        <w:t>应</w:t>
      </w:r>
      <w:r>
        <w:rPr>
          <w:color w:val="auto"/>
        </w:rPr>
        <w:t>内装无毒无害干燥剂。</w:t>
      </w:r>
    </w:p>
    <w:p>
      <w:pPr>
        <w:numPr>
          <w:ilvl w:val="0"/>
          <w:numId w:val="5"/>
        </w:numPr>
        <w:spacing w:line="360" w:lineRule="auto"/>
        <w:rPr>
          <w:color w:val="auto"/>
          <w:szCs w:val="21"/>
        </w:rPr>
      </w:pPr>
      <w:r>
        <w:rPr>
          <w:color w:val="auto"/>
          <w:szCs w:val="21"/>
        </w:rPr>
        <w:t>电子天平的称量范围宜为0g~1000g，精密度应为0.01g。</w:t>
      </w:r>
    </w:p>
    <w:p>
      <w:pPr>
        <w:numPr>
          <w:ilvl w:val="0"/>
          <w:numId w:val="5"/>
        </w:numPr>
        <w:spacing w:line="360" w:lineRule="auto"/>
        <w:rPr>
          <w:color w:val="auto"/>
          <w:szCs w:val="21"/>
        </w:rPr>
      </w:pPr>
      <w:r>
        <w:rPr>
          <w:color w:val="auto"/>
          <w:szCs w:val="21"/>
        </w:rPr>
        <w:t>分析天平的称量范围宜为0g~120g，精密度应为0.0001g。</w:t>
      </w:r>
    </w:p>
    <w:p>
      <w:pPr>
        <w:numPr>
          <w:ilvl w:val="0"/>
          <w:numId w:val="5"/>
        </w:numPr>
        <w:spacing w:line="360" w:lineRule="auto"/>
        <w:rPr>
          <w:color w:val="auto"/>
          <w:szCs w:val="21"/>
        </w:rPr>
      </w:pPr>
      <w:r>
        <w:rPr>
          <w:color w:val="auto"/>
          <w:szCs w:val="21"/>
        </w:rPr>
        <w:t>堆积密度测试仪（图4.0.17）应包括进料漏斗、直口锥形瓶和垂直振动试验台。</w:t>
      </w:r>
    </w:p>
    <w:p>
      <w:pPr>
        <w:spacing w:beforeLines="50" w:line="360" w:lineRule="auto"/>
        <w:jc w:val="center"/>
        <w:rPr>
          <w:color w:val="auto"/>
          <w:szCs w:val="21"/>
        </w:rPr>
      </w:pPr>
      <w:r>
        <w:rPr>
          <w:color w:val="auto"/>
        </w:rPr>
        <w:drawing>
          <wp:inline distT="0" distB="0" distL="0" distR="0">
            <wp:extent cx="2159635" cy="2378075"/>
            <wp:effectExtent l="0" t="0" r="12065"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3" cstate="print"/>
                    <a:stretch>
                      <a:fillRect/>
                    </a:stretch>
                  </pic:blipFill>
                  <pic:spPr>
                    <a:xfrm>
                      <a:off x="0" y="0"/>
                      <a:ext cx="2160000" cy="2378272"/>
                    </a:xfrm>
                    <a:prstGeom prst="rect">
                      <a:avLst/>
                    </a:prstGeom>
                  </pic:spPr>
                </pic:pic>
              </a:graphicData>
            </a:graphic>
          </wp:inline>
        </w:drawing>
      </w:r>
    </w:p>
    <w:p>
      <w:pPr>
        <w:keepNext/>
        <w:keepLines/>
        <w:tabs>
          <w:tab w:val="left" w:pos="397"/>
        </w:tabs>
        <w:spacing w:beforeLines="50" w:afterLines="50" w:line="360" w:lineRule="auto"/>
        <w:jc w:val="center"/>
        <w:rPr>
          <w:color w:val="auto"/>
          <w:sz w:val="18"/>
          <w:szCs w:val="18"/>
        </w:rPr>
      </w:pPr>
      <w:r>
        <w:rPr>
          <w:color w:val="auto"/>
          <w:sz w:val="18"/>
          <w:szCs w:val="18"/>
        </w:rPr>
        <w:t>图4.0.17  堆积密度测试仪示意图</w:t>
      </w:r>
    </w:p>
    <w:p>
      <w:pPr>
        <w:keepNext/>
        <w:keepLines/>
        <w:tabs>
          <w:tab w:val="left" w:pos="397"/>
        </w:tabs>
        <w:spacing w:beforeLines="50" w:line="360" w:lineRule="auto"/>
        <w:jc w:val="center"/>
        <w:rPr>
          <w:color w:val="auto"/>
          <w:sz w:val="18"/>
          <w:szCs w:val="18"/>
        </w:rPr>
      </w:pPr>
      <w:r>
        <w:rPr>
          <w:color w:val="auto"/>
          <w:sz w:val="18"/>
          <w:szCs w:val="18"/>
        </w:rPr>
        <w:t>1-进料漏斗；2-直口锥形瓶；3-垂直振动试验台；4-垂直振动试验台开关；5-垂直振动试验台支架</w:t>
      </w:r>
    </w:p>
    <w:p>
      <w:pPr>
        <w:numPr>
          <w:ilvl w:val="0"/>
          <w:numId w:val="5"/>
        </w:numPr>
        <w:spacing w:line="360" w:lineRule="auto"/>
        <w:rPr>
          <w:color w:val="auto"/>
          <w:szCs w:val="21"/>
        </w:rPr>
      </w:pPr>
      <w:r>
        <w:rPr>
          <w:color w:val="auto"/>
          <w:szCs w:val="21"/>
        </w:rPr>
        <w:t>进料漏斗</w:t>
      </w:r>
      <w:r>
        <w:rPr>
          <w:rFonts w:hint="eastAsia"/>
          <w:color w:val="auto"/>
          <w:szCs w:val="21"/>
        </w:rPr>
        <w:t>的</w:t>
      </w:r>
      <w:r>
        <w:rPr>
          <w:color w:val="auto"/>
          <w:szCs w:val="21"/>
        </w:rPr>
        <w:t>进料口内径宜为150mm</w:t>
      </w:r>
      <w:r>
        <w:rPr>
          <w:rFonts w:hint="eastAsia"/>
          <w:color w:val="auto"/>
          <w:szCs w:val="21"/>
        </w:rPr>
        <w:t>，</w:t>
      </w:r>
      <w:r>
        <w:rPr>
          <w:color w:val="auto"/>
          <w:szCs w:val="21"/>
        </w:rPr>
        <w:t>出料口内径宜为35mm</w:t>
      </w:r>
      <w:r>
        <w:rPr>
          <w:rFonts w:hint="eastAsia"/>
          <w:color w:val="auto"/>
          <w:szCs w:val="21"/>
        </w:rPr>
        <w:t>，</w:t>
      </w:r>
      <w:r>
        <w:rPr>
          <w:color w:val="auto"/>
          <w:szCs w:val="21"/>
        </w:rPr>
        <w:t>漏斗高度宜为130mm。</w:t>
      </w:r>
    </w:p>
    <w:p>
      <w:pPr>
        <w:numPr>
          <w:ilvl w:val="0"/>
          <w:numId w:val="5"/>
        </w:numPr>
        <w:spacing w:line="360" w:lineRule="auto"/>
        <w:rPr>
          <w:color w:val="auto"/>
          <w:szCs w:val="21"/>
        </w:rPr>
      </w:pPr>
      <w:r>
        <w:rPr>
          <w:color w:val="auto"/>
          <w:szCs w:val="21"/>
        </w:rPr>
        <w:t>直口锥形瓶宜选取1000ml标准规格。</w:t>
      </w:r>
    </w:p>
    <w:p>
      <w:pPr>
        <w:numPr>
          <w:ilvl w:val="0"/>
          <w:numId w:val="5"/>
        </w:numPr>
        <w:spacing w:line="360" w:lineRule="auto"/>
        <w:rPr>
          <w:color w:val="auto"/>
          <w:szCs w:val="21"/>
        </w:rPr>
      </w:pPr>
      <w:r>
        <w:rPr>
          <w:color w:val="auto"/>
          <w:szCs w:val="21"/>
        </w:rPr>
        <w:t>垂直振动试验台</w:t>
      </w:r>
      <w:r>
        <w:rPr>
          <w:rFonts w:hint="eastAsia"/>
          <w:color w:val="auto"/>
          <w:szCs w:val="21"/>
        </w:rPr>
        <w:t>的</w:t>
      </w:r>
      <w:r>
        <w:rPr>
          <w:color w:val="auto"/>
          <w:szCs w:val="21"/>
        </w:rPr>
        <w:t>台面</w:t>
      </w:r>
      <w:r>
        <w:rPr>
          <w:rFonts w:hint="eastAsia"/>
          <w:color w:val="auto"/>
          <w:szCs w:val="21"/>
        </w:rPr>
        <w:t>应</w:t>
      </w:r>
      <w:r>
        <w:rPr>
          <w:color w:val="auto"/>
          <w:szCs w:val="21"/>
        </w:rPr>
        <w:t>带可拆卸式支架</w:t>
      </w:r>
      <w:r>
        <w:rPr>
          <w:rFonts w:hint="eastAsia"/>
          <w:color w:val="auto"/>
          <w:szCs w:val="21"/>
        </w:rPr>
        <w:t>，</w:t>
      </w:r>
      <w:r>
        <w:rPr>
          <w:color w:val="auto"/>
          <w:szCs w:val="21"/>
        </w:rPr>
        <w:t>振动频率应为50Hz</w:t>
      </w:r>
      <w:r>
        <w:rPr>
          <w:rFonts w:hint="eastAsia"/>
          <w:color w:val="auto"/>
          <w:szCs w:val="21"/>
        </w:rPr>
        <w:t>，</w:t>
      </w:r>
      <w:r>
        <w:rPr>
          <w:color w:val="auto"/>
          <w:szCs w:val="21"/>
        </w:rPr>
        <w:t>振幅可设置范围宜为0mm~5mm。</w:t>
      </w:r>
    </w:p>
    <w:p>
      <w:pPr>
        <w:numPr>
          <w:ilvl w:val="0"/>
          <w:numId w:val="5"/>
        </w:numPr>
        <w:spacing w:line="360" w:lineRule="auto"/>
        <w:rPr>
          <w:color w:val="auto"/>
          <w:szCs w:val="21"/>
        </w:rPr>
      </w:pPr>
      <w:r>
        <w:rPr>
          <w:color w:val="auto"/>
          <w:szCs w:val="21"/>
        </w:rPr>
        <w:t>耐磨强度测试仪应符合下列规定：</w:t>
      </w:r>
    </w:p>
    <w:p>
      <w:pPr>
        <w:numPr>
          <w:ilvl w:val="0"/>
          <w:numId w:val="6"/>
        </w:numPr>
        <w:tabs>
          <w:tab w:val="clear" w:pos="0"/>
        </w:tabs>
        <w:spacing w:line="360" w:lineRule="auto"/>
        <w:ind w:firstLine="420" w:firstLineChars="200"/>
        <w:rPr>
          <w:color w:val="auto"/>
          <w:szCs w:val="21"/>
        </w:rPr>
      </w:pPr>
      <w:r>
        <w:rPr>
          <w:color w:val="auto"/>
          <w:szCs w:val="21"/>
        </w:rPr>
        <w:t>转鼓转速应为（50±2）r/min；</w:t>
      </w:r>
    </w:p>
    <w:p>
      <w:pPr>
        <w:numPr>
          <w:ilvl w:val="0"/>
          <w:numId w:val="6"/>
        </w:numPr>
        <w:tabs>
          <w:tab w:val="clear" w:pos="0"/>
        </w:tabs>
        <w:spacing w:line="360" w:lineRule="auto"/>
        <w:ind w:firstLine="420" w:firstLineChars="200"/>
        <w:rPr>
          <w:color w:val="auto"/>
          <w:szCs w:val="21"/>
        </w:rPr>
      </w:pPr>
      <w:r>
        <w:rPr>
          <w:color w:val="auto"/>
          <w:szCs w:val="21"/>
        </w:rPr>
        <w:t>内径应为200mm；</w:t>
      </w:r>
    </w:p>
    <w:p>
      <w:pPr>
        <w:numPr>
          <w:ilvl w:val="0"/>
          <w:numId w:val="6"/>
        </w:numPr>
        <w:tabs>
          <w:tab w:val="clear" w:pos="0"/>
        </w:tabs>
        <w:spacing w:line="360" w:lineRule="auto"/>
        <w:ind w:firstLine="420" w:firstLineChars="200"/>
        <w:rPr>
          <w:color w:val="auto"/>
          <w:szCs w:val="21"/>
        </w:rPr>
      </w:pPr>
      <w:r>
        <w:rPr>
          <w:color w:val="auto"/>
          <w:szCs w:val="21"/>
        </w:rPr>
        <w:t>有效深度应为70mm；</w:t>
      </w:r>
    </w:p>
    <w:p>
      <w:pPr>
        <w:numPr>
          <w:ilvl w:val="0"/>
          <w:numId w:val="6"/>
        </w:numPr>
        <w:tabs>
          <w:tab w:val="clear" w:pos="0"/>
        </w:tabs>
        <w:spacing w:line="360" w:lineRule="auto"/>
        <w:ind w:firstLine="420" w:firstLineChars="200"/>
        <w:rPr>
          <w:color w:val="auto"/>
          <w:szCs w:val="21"/>
        </w:rPr>
      </w:pPr>
      <w:r>
        <w:rPr>
          <w:color w:val="auto"/>
          <w:szCs w:val="21"/>
        </w:rPr>
        <w:t>内壁两块挡板对称分布，且挡板高应为30mm，厚宜为3mm~4mm，长应为70mm。</w:t>
      </w:r>
    </w:p>
    <w:p>
      <w:pPr>
        <w:numPr>
          <w:ilvl w:val="0"/>
          <w:numId w:val="5"/>
        </w:numPr>
        <w:spacing w:line="360" w:lineRule="auto"/>
        <w:rPr>
          <w:color w:val="auto"/>
          <w:szCs w:val="21"/>
        </w:rPr>
      </w:pPr>
      <w:r>
        <w:rPr>
          <w:color w:val="auto"/>
          <w:szCs w:val="21"/>
        </w:rPr>
        <w:t>耐压强度测试仪应符合下列规定：</w:t>
      </w:r>
    </w:p>
    <w:p>
      <w:pPr>
        <w:numPr>
          <w:ilvl w:val="0"/>
          <w:numId w:val="7"/>
        </w:numPr>
        <w:tabs>
          <w:tab w:val="clear" w:pos="0"/>
        </w:tabs>
        <w:spacing w:line="360" w:lineRule="auto"/>
        <w:ind w:firstLine="420" w:firstLineChars="200"/>
        <w:rPr>
          <w:color w:val="auto"/>
          <w:szCs w:val="21"/>
        </w:rPr>
      </w:pPr>
      <w:r>
        <w:rPr>
          <w:rFonts w:hint="eastAsia"/>
          <w:color w:val="auto"/>
          <w:szCs w:val="21"/>
        </w:rPr>
        <w:t>上夹具</w:t>
      </w:r>
      <w:r>
        <w:rPr>
          <w:color w:val="auto"/>
          <w:szCs w:val="21"/>
        </w:rPr>
        <w:t>压柱直径宜为</w:t>
      </w:r>
      <w:r>
        <w:rPr>
          <w:rFonts w:hint="eastAsia"/>
          <w:color w:val="auto"/>
          <w:szCs w:val="21"/>
        </w:rPr>
        <w:t>6.1</w:t>
      </w:r>
      <w:r>
        <w:rPr>
          <w:rFonts w:hint="eastAsia"/>
          <w:color w:val="auto"/>
          <w:position w:val="-12"/>
          <w:szCs w:val="21"/>
        </w:rPr>
        <w:object>
          <v:shape id="_x0000_i1025" o:spt="75" type="#_x0000_t75" style="height:18.8pt;width:20.05pt;" o:ole="t" filled="f" o:preferrelative="t" stroked="f" coordsize="21600,21600">
            <v:path/>
            <v:fill on="f" focussize="0,0"/>
            <v:stroke on="f" joinstyle="miter"/>
            <v:imagedata r:id="rId25" o:title=""/>
            <o:lock v:ext="edit" aspectratio="t"/>
            <w10:wrap type="none"/>
            <w10:anchorlock/>
          </v:shape>
          <o:OLEObject Type="Embed" ProgID="Equations" ShapeID="_x0000_i1025" DrawAspect="Content" ObjectID="_1468075725" r:id="rId24">
            <o:LockedField>false</o:LockedField>
          </o:OLEObject>
        </w:object>
      </w:r>
      <w:r>
        <w:rPr>
          <w:color w:val="auto"/>
          <w:szCs w:val="21"/>
        </w:rPr>
        <w:t>mm；</w:t>
      </w:r>
    </w:p>
    <w:p>
      <w:pPr>
        <w:numPr>
          <w:ilvl w:val="0"/>
          <w:numId w:val="7"/>
        </w:numPr>
        <w:tabs>
          <w:tab w:val="clear" w:pos="0"/>
        </w:tabs>
        <w:spacing w:line="360" w:lineRule="auto"/>
        <w:ind w:firstLine="420" w:firstLineChars="200"/>
        <w:rPr>
          <w:color w:val="auto"/>
          <w:szCs w:val="21"/>
        </w:rPr>
      </w:pPr>
      <w:r>
        <w:rPr>
          <w:rFonts w:hint="eastAsia"/>
          <w:color w:val="auto"/>
          <w:szCs w:val="21"/>
        </w:rPr>
        <w:t>下夹具V型槽下口宽应为2mm，上口宽应为5mm，槽深应为2mm;</w:t>
      </w:r>
    </w:p>
    <w:p>
      <w:pPr>
        <w:numPr>
          <w:ilvl w:val="0"/>
          <w:numId w:val="7"/>
        </w:numPr>
        <w:tabs>
          <w:tab w:val="clear" w:pos="0"/>
        </w:tabs>
        <w:spacing w:line="360" w:lineRule="auto"/>
        <w:ind w:firstLine="420" w:firstLineChars="200"/>
        <w:rPr>
          <w:color w:val="auto"/>
          <w:szCs w:val="21"/>
        </w:rPr>
      </w:pPr>
      <w:r>
        <w:rPr>
          <w:color w:val="auto"/>
          <w:szCs w:val="21"/>
        </w:rPr>
        <w:t>测力仪压力表量程应为0N~2000N；</w:t>
      </w:r>
    </w:p>
    <w:p>
      <w:pPr>
        <w:numPr>
          <w:ilvl w:val="0"/>
          <w:numId w:val="7"/>
        </w:numPr>
        <w:tabs>
          <w:tab w:val="clear" w:pos="0"/>
        </w:tabs>
        <w:spacing w:line="360" w:lineRule="auto"/>
        <w:ind w:firstLine="420" w:firstLineChars="200"/>
        <w:rPr>
          <w:color w:val="auto"/>
          <w:szCs w:val="21"/>
        </w:rPr>
      </w:pPr>
      <w:r>
        <w:rPr>
          <w:color w:val="auto"/>
          <w:szCs w:val="21"/>
        </w:rPr>
        <w:t>测试准确度应为±1%，最小分辨值应为0.1N；</w:t>
      </w:r>
    </w:p>
    <w:p>
      <w:pPr>
        <w:numPr>
          <w:ilvl w:val="0"/>
          <w:numId w:val="7"/>
        </w:numPr>
        <w:tabs>
          <w:tab w:val="clear" w:pos="0"/>
        </w:tabs>
        <w:spacing w:line="360" w:lineRule="auto"/>
        <w:ind w:firstLine="420" w:firstLineChars="200"/>
        <w:rPr>
          <w:color w:val="auto"/>
          <w:szCs w:val="21"/>
        </w:rPr>
      </w:pPr>
      <w:r>
        <w:rPr>
          <w:color w:val="auto"/>
          <w:szCs w:val="21"/>
        </w:rPr>
        <w:t>测试速度可调范围宜控制在0mm/min~500mm/min；</w:t>
      </w:r>
    </w:p>
    <w:p>
      <w:pPr>
        <w:numPr>
          <w:ilvl w:val="0"/>
          <w:numId w:val="7"/>
        </w:numPr>
        <w:tabs>
          <w:tab w:val="clear" w:pos="0"/>
        </w:tabs>
        <w:spacing w:line="360" w:lineRule="auto"/>
        <w:ind w:firstLine="420" w:firstLineChars="200"/>
        <w:rPr>
          <w:color w:val="auto"/>
          <w:sz w:val="18"/>
          <w:szCs w:val="18"/>
        </w:rPr>
      </w:pPr>
      <w:r>
        <w:rPr>
          <w:color w:val="auto"/>
          <w:szCs w:val="21"/>
        </w:rPr>
        <w:t>位移分辨率应为0.01mm。</w:t>
      </w:r>
      <w:r>
        <w:rPr>
          <w:rFonts w:hint="eastAsia"/>
          <w:color w:val="auto"/>
        </w:rPr>
        <w:t xml:space="preserve">        </w:t>
      </w:r>
    </w:p>
    <w:p>
      <w:pPr>
        <w:numPr>
          <w:ilvl w:val="0"/>
          <w:numId w:val="5"/>
        </w:numPr>
        <w:spacing w:line="360" w:lineRule="auto"/>
        <w:rPr>
          <w:color w:val="auto"/>
          <w:szCs w:val="21"/>
        </w:rPr>
      </w:pPr>
      <w:r>
        <w:rPr>
          <w:color w:val="auto"/>
          <w:szCs w:val="21"/>
        </w:rPr>
        <w:t>二分器应选择分样粒度小于或等于13mm、格槽个数为16个、格槽宽度为32.5mm的大号二分器。</w:t>
      </w:r>
    </w:p>
    <w:p>
      <w:pPr>
        <w:numPr>
          <w:ilvl w:val="0"/>
          <w:numId w:val="5"/>
        </w:numPr>
        <w:spacing w:line="360" w:lineRule="auto"/>
        <w:rPr>
          <w:color w:val="auto"/>
          <w:szCs w:val="21"/>
        </w:rPr>
      </w:pPr>
      <w:r>
        <w:rPr>
          <w:color w:val="auto"/>
          <w:szCs w:val="21"/>
        </w:rPr>
        <w:t>着火点测试仪（图4.0.24</w:t>
      </w:r>
      <w:r>
        <w:rPr>
          <w:rFonts w:hint="eastAsia"/>
          <w:color w:val="auto"/>
          <w:szCs w:val="21"/>
        </w:rPr>
        <w:t>-1，</w:t>
      </w:r>
      <w:r>
        <w:rPr>
          <w:color w:val="auto"/>
          <w:szCs w:val="21"/>
        </w:rPr>
        <w:t>4.0.24</w:t>
      </w:r>
      <w:r>
        <w:rPr>
          <w:rFonts w:hint="eastAsia"/>
          <w:color w:val="auto"/>
          <w:szCs w:val="21"/>
        </w:rPr>
        <w:t>-2</w:t>
      </w:r>
      <w:r>
        <w:rPr>
          <w:color w:val="auto"/>
          <w:szCs w:val="21"/>
        </w:rPr>
        <w:t>）应符合下列规定：</w:t>
      </w:r>
    </w:p>
    <w:p>
      <w:pPr>
        <w:numPr>
          <w:ilvl w:val="0"/>
          <w:numId w:val="8"/>
        </w:numPr>
        <w:tabs>
          <w:tab w:val="clear" w:pos="0"/>
        </w:tabs>
        <w:spacing w:line="360" w:lineRule="auto"/>
        <w:ind w:firstLine="420" w:firstLineChars="200"/>
        <w:rPr>
          <w:color w:val="auto"/>
          <w:szCs w:val="21"/>
        </w:rPr>
      </w:pPr>
      <w:r>
        <w:rPr>
          <w:color w:val="auto"/>
          <w:szCs w:val="21"/>
        </w:rPr>
        <w:t>碳基材料填装杯材质应为石英；</w:t>
      </w:r>
    </w:p>
    <w:p>
      <w:pPr>
        <w:numPr>
          <w:ilvl w:val="0"/>
          <w:numId w:val="8"/>
        </w:numPr>
        <w:tabs>
          <w:tab w:val="clear" w:pos="0"/>
        </w:tabs>
        <w:spacing w:line="360" w:lineRule="auto"/>
        <w:ind w:firstLine="420" w:firstLineChars="200"/>
        <w:rPr>
          <w:color w:val="auto"/>
          <w:szCs w:val="21"/>
        </w:rPr>
      </w:pPr>
      <w:r>
        <w:rPr>
          <w:color w:val="auto"/>
          <w:szCs w:val="21"/>
        </w:rPr>
        <w:t>灼管材质应为石英；</w:t>
      </w:r>
    </w:p>
    <w:p>
      <w:pPr>
        <w:numPr>
          <w:ilvl w:val="0"/>
          <w:numId w:val="8"/>
        </w:numPr>
        <w:tabs>
          <w:tab w:val="clear" w:pos="0"/>
        </w:tabs>
        <w:spacing w:line="360" w:lineRule="auto"/>
        <w:ind w:firstLine="420" w:firstLineChars="200"/>
        <w:rPr>
          <w:color w:val="auto"/>
          <w:szCs w:val="21"/>
        </w:rPr>
      </w:pPr>
      <w:r>
        <w:rPr>
          <w:color w:val="auto"/>
          <w:szCs w:val="21"/>
        </w:rPr>
        <w:t>均匀布风石英筛板孔径范围宜为1mm ~2mm；</w:t>
      </w:r>
    </w:p>
    <w:p>
      <w:pPr>
        <w:numPr>
          <w:ilvl w:val="0"/>
          <w:numId w:val="8"/>
        </w:numPr>
        <w:tabs>
          <w:tab w:val="clear" w:pos="0"/>
        </w:tabs>
        <w:spacing w:line="360" w:lineRule="auto"/>
        <w:ind w:firstLine="420" w:firstLineChars="200"/>
        <w:rPr>
          <w:color w:val="auto"/>
          <w:szCs w:val="21"/>
        </w:rPr>
      </w:pPr>
      <w:r>
        <w:rPr>
          <w:color w:val="auto"/>
          <w:szCs w:val="21"/>
        </w:rPr>
        <w:t>加热炉体最高工作温度应为1000℃，温度波动度限值应为±1℃；</w:t>
      </w:r>
    </w:p>
    <w:p>
      <w:pPr>
        <w:numPr>
          <w:ilvl w:val="0"/>
          <w:numId w:val="8"/>
        </w:numPr>
        <w:tabs>
          <w:tab w:val="clear" w:pos="0"/>
        </w:tabs>
        <w:spacing w:line="360" w:lineRule="auto"/>
        <w:ind w:firstLine="420" w:firstLineChars="200"/>
        <w:rPr>
          <w:color w:val="auto"/>
          <w:szCs w:val="21"/>
        </w:rPr>
      </w:pPr>
      <w:r>
        <w:rPr>
          <w:color w:val="auto"/>
          <w:szCs w:val="21"/>
        </w:rPr>
        <w:t>质量流量计量程宜为0SLM ~30SLM，精度为满量程的±1.0 %；</w:t>
      </w:r>
    </w:p>
    <w:p>
      <w:pPr>
        <w:numPr>
          <w:ilvl w:val="0"/>
          <w:numId w:val="8"/>
        </w:numPr>
        <w:tabs>
          <w:tab w:val="clear" w:pos="0"/>
        </w:tabs>
        <w:spacing w:line="360" w:lineRule="auto"/>
        <w:ind w:firstLine="420" w:firstLineChars="200"/>
        <w:rPr>
          <w:color w:val="auto"/>
          <w:szCs w:val="21"/>
        </w:rPr>
      </w:pPr>
      <w:r>
        <w:rPr>
          <w:color w:val="auto"/>
          <w:szCs w:val="21"/>
        </w:rPr>
        <w:t>氮气的纯度应不小于99.99 %（体积分数）；</w:t>
      </w:r>
    </w:p>
    <w:p>
      <w:pPr>
        <w:numPr>
          <w:ilvl w:val="0"/>
          <w:numId w:val="8"/>
        </w:numPr>
        <w:tabs>
          <w:tab w:val="clear" w:pos="0"/>
        </w:tabs>
        <w:spacing w:line="360" w:lineRule="auto"/>
        <w:ind w:firstLine="420" w:firstLineChars="200"/>
        <w:rPr>
          <w:color w:val="auto"/>
          <w:szCs w:val="21"/>
        </w:rPr>
      </w:pPr>
      <w:r>
        <w:rPr>
          <w:color w:val="auto"/>
          <w:szCs w:val="21"/>
        </w:rPr>
        <w:t>热电偶测温范围宜为室温~1000℃；</w:t>
      </w:r>
    </w:p>
    <w:p>
      <w:pPr>
        <w:numPr>
          <w:ilvl w:val="0"/>
          <w:numId w:val="8"/>
        </w:numPr>
        <w:tabs>
          <w:tab w:val="clear" w:pos="0"/>
        </w:tabs>
        <w:spacing w:line="360" w:lineRule="auto"/>
        <w:ind w:firstLine="420" w:firstLineChars="200"/>
        <w:rPr>
          <w:color w:val="auto"/>
          <w:szCs w:val="21"/>
        </w:rPr>
      </w:pPr>
      <w:r>
        <w:rPr>
          <w:color w:val="auto"/>
          <w:szCs w:val="21"/>
        </w:rPr>
        <w:t>温度记录频率应为1Hz；</w:t>
      </w:r>
    </w:p>
    <w:p>
      <w:pPr>
        <w:numPr>
          <w:ilvl w:val="0"/>
          <w:numId w:val="8"/>
        </w:numPr>
        <w:tabs>
          <w:tab w:val="clear" w:pos="0"/>
        </w:tabs>
        <w:spacing w:line="360" w:lineRule="auto"/>
        <w:ind w:firstLine="420" w:firstLineChars="200"/>
        <w:rPr>
          <w:color w:val="auto"/>
          <w:szCs w:val="21"/>
        </w:rPr>
      </w:pPr>
      <w:r>
        <w:rPr>
          <w:color w:val="auto"/>
          <w:szCs w:val="21"/>
        </w:rPr>
        <w:t>智能判定程序</w:t>
      </w:r>
      <w:r>
        <w:rPr>
          <w:rFonts w:hint="eastAsia"/>
          <w:color w:val="auto"/>
          <w:szCs w:val="21"/>
        </w:rPr>
        <w:t>应</w:t>
      </w:r>
      <w:r>
        <w:rPr>
          <w:color w:val="auto"/>
          <w:szCs w:val="21"/>
        </w:rPr>
        <w:t xml:space="preserve">可自动甄别着火点和启动灭火程序。       </w:t>
      </w:r>
    </w:p>
    <w:p>
      <w:pPr>
        <w:tabs>
          <w:tab w:val="left" w:pos="0"/>
        </w:tabs>
        <w:spacing w:beforeLines="50" w:line="360" w:lineRule="auto"/>
        <w:ind w:left="420"/>
        <w:rPr>
          <w:color w:val="auto"/>
          <w:szCs w:val="21"/>
        </w:rPr>
      </w:pPr>
      <w:r>
        <w:rPr>
          <w:color w:val="auto"/>
          <w:szCs w:val="21"/>
        </w:rPr>
        <w:t xml:space="preserve">      </w:t>
      </w:r>
      <w:r>
        <w:rPr>
          <w:color w:val="auto"/>
          <w:szCs w:val="21"/>
        </w:rPr>
        <w:drawing>
          <wp:inline distT="0" distB="0" distL="0" distR="0">
            <wp:extent cx="4679950" cy="1918335"/>
            <wp:effectExtent l="0" t="0" r="0" b="1206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4679950" cy="1918335"/>
                    </a:xfrm>
                    <a:prstGeom prst="rect">
                      <a:avLst/>
                    </a:prstGeom>
                    <a:noFill/>
                  </pic:spPr>
                </pic:pic>
              </a:graphicData>
            </a:graphic>
          </wp:inline>
        </w:drawing>
      </w:r>
    </w:p>
    <w:p>
      <w:pPr>
        <w:keepLines/>
        <w:tabs>
          <w:tab w:val="left" w:pos="397"/>
        </w:tabs>
        <w:spacing w:beforeLines="50" w:afterLines="50" w:line="360" w:lineRule="auto"/>
        <w:jc w:val="center"/>
        <w:rPr>
          <w:color w:val="auto"/>
          <w:sz w:val="18"/>
          <w:szCs w:val="18"/>
        </w:rPr>
      </w:pPr>
      <w:r>
        <w:rPr>
          <w:color w:val="auto"/>
          <w:sz w:val="18"/>
          <w:szCs w:val="18"/>
        </w:rPr>
        <w:t>图4.0.24-1  测试装置系统示意图</w:t>
      </w:r>
    </w:p>
    <w:p>
      <w:pPr>
        <w:spacing w:beforeLines="50" w:afterLines="50" w:line="360" w:lineRule="auto"/>
        <w:jc w:val="center"/>
        <w:rPr>
          <w:color w:val="auto"/>
          <w:szCs w:val="21"/>
        </w:rPr>
      </w:pPr>
      <w:r>
        <w:rPr>
          <w:color w:val="auto"/>
        </w:rPr>
        <w:drawing>
          <wp:inline distT="0" distB="0" distL="0" distR="0">
            <wp:extent cx="4582160" cy="1851025"/>
            <wp:effectExtent l="0" t="0" r="254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27" cstate="print"/>
                    <a:srcRect b="28902"/>
                    <a:stretch>
                      <a:fillRect/>
                    </a:stretch>
                  </pic:blipFill>
                  <pic:spPr>
                    <a:xfrm>
                      <a:off x="0" y="0"/>
                      <a:ext cx="4589328" cy="1851025"/>
                    </a:xfrm>
                    <a:prstGeom prst="rect">
                      <a:avLst/>
                    </a:prstGeom>
                  </pic:spPr>
                </pic:pic>
              </a:graphicData>
            </a:graphic>
          </wp:inline>
        </w:drawing>
      </w:r>
    </w:p>
    <w:p>
      <w:pPr>
        <w:keepLines/>
        <w:tabs>
          <w:tab w:val="left" w:pos="397"/>
        </w:tabs>
        <w:spacing w:beforeLines="50" w:line="360" w:lineRule="auto"/>
        <w:jc w:val="center"/>
        <w:rPr>
          <w:color w:val="auto"/>
          <w:sz w:val="18"/>
          <w:szCs w:val="18"/>
        </w:rPr>
      </w:pPr>
      <w:r>
        <w:rPr>
          <w:color w:val="auto"/>
          <w:sz w:val="18"/>
          <w:szCs w:val="18"/>
        </w:rPr>
        <w:t>图4.0.24-2 炉体反应器示意图</w:t>
      </w:r>
    </w:p>
    <w:p>
      <w:pPr>
        <w:keepLines/>
        <w:tabs>
          <w:tab w:val="left" w:pos="397"/>
        </w:tabs>
        <w:spacing w:afterLines="50" w:line="360" w:lineRule="auto"/>
        <w:jc w:val="center"/>
        <w:rPr>
          <w:color w:val="auto"/>
          <w:sz w:val="18"/>
          <w:szCs w:val="18"/>
        </w:rPr>
      </w:pPr>
      <w:r>
        <w:rPr>
          <w:color w:val="auto"/>
          <w:sz w:val="18"/>
          <w:szCs w:val="18"/>
        </w:rPr>
        <w:t>1、2—多孔石英板；3—碳基材料样品；4—空气入口；5—石英套管；6—多点热电偶；7—多孔石英盖板；8—多孔石英杯</w:t>
      </w:r>
    </w:p>
    <w:p>
      <w:pPr>
        <w:numPr>
          <w:ilvl w:val="0"/>
          <w:numId w:val="5"/>
        </w:numPr>
        <w:spacing w:line="360" w:lineRule="auto"/>
        <w:rPr>
          <w:color w:val="auto"/>
          <w:szCs w:val="21"/>
        </w:rPr>
      </w:pPr>
      <w:r>
        <w:rPr>
          <w:color w:val="auto"/>
          <w:szCs w:val="21"/>
        </w:rPr>
        <w:t>刷子宜采用普通鬃刷。</w:t>
      </w:r>
    </w:p>
    <w:p>
      <w:pPr>
        <w:numPr>
          <w:ilvl w:val="0"/>
          <w:numId w:val="5"/>
        </w:numPr>
        <w:spacing w:line="360" w:lineRule="auto"/>
        <w:rPr>
          <w:color w:val="auto"/>
          <w:szCs w:val="21"/>
        </w:rPr>
      </w:pPr>
      <w:r>
        <w:rPr>
          <w:color w:val="auto"/>
          <w:szCs w:val="21"/>
        </w:rPr>
        <w:t>检验筛分机可装加1 ~8层筛框，且宜符合下列规定：</w:t>
      </w:r>
    </w:p>
    <w:p>
      <w:pPr>
        <w:numPr>
          <w:ilvl w:val="0"/>
          <w:numId w:val="9"/>
        </w:numPr>
        <w:tabs>
          <w:tab w:val="clear" w:pos="0"/>
        </w:tabs>
        <w:spacing w:line="360" w:lineRule="auto"/>
        <w:ind w:firstLine="420" w:firstLineChars="200"/>
        <w:rPr>
          <w:color w:val="auto"/>
          <w:szCs w:val="21"/>
        </w:rPr>
      </w:pPr>
      <w:r>
        <w:rPr>
          <w:color w:val="auto"/>
          <w:szCs w:val="21"/>
        </w:rPr>
        <w:t>筛框直径宜为200mm；</w:t>
      </w:r>
    </w:p>
    <w:p>
      <w:pPr>
        <w:numPr>
          <w:ilvl w:val="0"/>
          <w:numId w:val="9"/>
        </w:numPr>
        <w:tabs>
          <w:tab w:val="clear" w:pos="0"/>
        </w:tabs>
        <w:spacing w:line="360" w:lineRule="auto"/>
        <w:ind w:firstLine="420" w:firstLineChars="200"/>
        <w:rPr>
          <w:color w:val="auto"/>
          <w:szCs w:val="21"/>
        </w:rPr>
      </w:pPr>
      <w:r>
        <w:rPr>
          <w:color w:val="auto"/>
          <w:szCs w:val="21"/>
        </w:rPr>
        <w:t>拍击次数宜为（156±3）次/min；</w:t>
      </w:r>
    </w:p>
    <w:p>
      <w:pPr>
        <w:numPr>
          <w:ilvl w:val="0"/>
          <w:numId w:val="9"/>
        </w:numPr>
        <w:tabs>
          <w:tab w:val="clear" w:pos="0"/>
        </w:tabs>
        <w:spacing w:line="360" w:lineRule="auto"/>
        <w:ind w:firstLine="420" w:firstLineChars="200"/>
        <w:rPr>
          <w:color w:val="auto"/>
          <w:szCs w:val="21"/>
        </w:rPr>
      </w:pPr>
      <w:r>
        <w:rPr>
          <w:color w:val="auto"/>
          <w:szCs w:val="21"/>
        </w:rPr>
        <w:t>拍击高度宜为（38±6）mm；</w:t>
      </w:r>
    </w:p>
    <w:p>
      <w:pPr>
        <w:numPr>
          <w:ilvl w:val="0"/>
          <w:numId w:val="9"/>
        </w:numPr>
        <w:tabs>
          <w:tab w:val="clear" w:pos="0"/>
        </w:tabs>
        <w:spacing w:line="360" w:lineRule="auto"/>
        <w:ind w:firstLine="420" w:firstLineChars="200"/>
        <w:rPr>
          <w:color w:val="auto"/>
          <w:szCs w:val="21"/>
        </w:rPr>
      </w:pPr>
      <w:r>
        <w:rPr>
          <w:color w:val="auto"/>
          <w:szCs w:val="21"/>
        </w:rPr>
        <w:t>旋转次数宜为（290±6）次/min；</w:t>
      </w:r>
    </w:p>
    <w:p>
      <w:pPr>
        <w:numPr>
          <w:ilvl w:val="0"/>
          <w:numId w:val="9"/>
        </w:numPr>
        <w:tabs>
          <w:tab w:val="clear" w:pos="0"/>
        </w:tabs>
        <w:spacing w:line="360" w:lineRule="auto"/>
        <w:ind w:firstLine="420" w:firstLineChars="200"/>
        <w:rPr>
          <w:color w:val="auto"/>
          <w:szCs w:val="21"/>
        </w:rPr>
      </w:pPr>
      <w:r>
        <w:rPr>
          <w:color w:val="auto"/>
          <w:szCs w:val="21"/>
        </w:rPr>
        <w:t>旋转行程宜为25mm。</w:t>
      </w:r>
    </w:p>
    <w:p>
      <w:pPr>
        <w:numPr>
          <w:ilvl w:val="0"/>
          <w:numId w:val="5"/>
        </w:numPr>
        <w:spacing w:line="360" w:lineRule="auto"/>
        <w:rPr>
          <w:color w:val="auto"/>
          <w:szCs w:val="21"/>
        </w:rPr>
      </w:pPr>
      <w:r>
        <w:rPr>
          <w:rFonts w:hint="eastAsia"/>
          <w:color w:val="auto"/>
          <w:szCs w:val="21"/>
        </w:rPr>
        <w:t>检测用长方孔试验筛</w:t>
      </w:r>
      <w:r>
        <w:rPr>
          <w:color w:val="auto"/>
          <w:szCs w:val="21"/>
        </w:rPr>
        <w:t>（图4.0.27）</w:t>
      </w:r>
      <w:r>
        <w:rPr>
          <w:rFonts w:hint="eastAsia"/>
          <w:color w:val="auto"/>
          <w:szCs w:val="21"/>
        </w:rPr>
        <w:t>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堆积密度测试</w:t>
      </w:r>
      <w:r>
        <w:rPr>
          <w:rFonts w:hint="eastAsia"/>
          <w:color w:val="auto"/>
          <w:szCs w:val="21"/>
        </w:rPr>
        <w:t>用</w:t>
      </w:r>
      <w:r>
        <w:rPr>
          <w:color w:val="auto"/>
          <w:szCs w:val="21"/>
        </w:rPr>
        <w:t>长方孔试验筛</w:t>
      </w:r>
      <w:r>
        <w:rPr>
          <w:rFonts w:hint="eastAsia"/>
          <w:color w:val="auto"/>
          <w:szCs w:val="21"/>
        </w:rPr>
        <w:t>规格应为</w:t>
      </w:r>
      <w:r>
        <w:rPr>
          <w:i/>
          <w:iCs/>
          <w:color w:val="auto"/>
          <w:szCs w:val="21"/>
        </w:rPr>
        <w:sym w:font="Symbol" w:char="F066"/>
      </w:r>
      <w:r>
        <w:rPr>
          <w:color w:val="auto"/>
          <w:szCs w:val="21"/>
        </w:rPr>
        <w:t>200×50-1.6×12.5/4×16和</w:t>
      </w:r>
      <w:r>
        <w:rPr>
          <w:i/>
          <w:iCs/>
          <w:color w:val="auto"/>
          <w:szCs w:val="21"/>
        </w:rPr>
        <w:sym w:font="Symbol" w:char="F066"/>
      </w:r>
      <w:r>
        <w:rPr>
          <w:color w:val="auto"/>
          <w:szCs w:val="21"/>
        </w:rPr>
        <w:t>200×50-10×32/16×40；</w:t>
      </w:r>
    </w:p>
    <w:p>
      <w:pPr>
        <w:tabs>
          <w:tab w:val="left" w:pos="0"/>
        </w:tabs>
        <w:spacing w:line="360" w:lineRule="auto"/>
        <w:ind w:firstLine="420" w:firstLineChars="200"/>
        <w:rPr>
          <w:color w:val="auto"/>
          <w:szCs w:val="21"/>
        </w:rPr>
      </w:pPr>
      <w:r>
        <w:rPr>
          <w:rFonts w:hint="eastAsia"/>
          <w:color w:val="auto"/>
          <w:szCs w:val="21"/>
        </w:rPr>
        <w:t xml:space="preserve">2 </w:t>
      </w:r>
      <w:r>
        <w:rPr>
          <w:color w:val="auto"/>
          <w:szCs w:val="21"/>
        </w:rPr>
        <w:t>粒度分布测试</w:t>
      </w:r>
      <w:r>
        <w:rPr>
          <w:rFonts w:hint="eastAsia"/>
          <w:color w:val="auto"/>
          <w:szCs w:val="21"/>
        </w:rPr>
        <w:t>用</w:t>
      </w:r>
      <w:r>
        <w:rPr>
          <w:color w:val="auto"/>
          <w:szCs w:val="21"/>
        </w:rPr>
        <w:t>长方孔试验筛</w:t>
      </w:r>
      <w:r>
        <w:rPr>
          <w:rFonts w:hint="eastAsia"/>
          <w:color w:val="auto"/>
          <w:szCs w:val="21"/>
        </w:rPr>
        <w:t>规格应为</w:t>
      </w:r>
      <w:r>
        <w:rPr>
          <w:i/>
          <w:iCs/>
          <w:color w:val="auto"/>
          <w:szCs w:val="21"/>
        </w:rPr>
        <w:sym w:font="Symbol" w:char="F066"/>
      </w:r>
      <w:r>
        <w:rPr>
          <w:color w:val="auto"/>
          <w:szCs w:val="21"/>
        </w:rPr>
        <w:t>200×50-1.6×12.5/4×16、</w:t>
      </w:r>
      <w:r>
        <w:rPr>
          <w:i/>
          <w:iCs/>
          <w:color w:val="auto"/>
          <w:szCs w:val="21"/>
        </w:rPr>
        <w:sym w:font="Symbol" w:char="F066"/>
      </w:r>
      <w:r>
        <w:rPr>
          <w:color w:val="auto"/>
          <w:szCs w:val="21"/>
        </w:rPr>
        <w:t>200×50-6.3×25/11×32和</w:t>
      </w:r>
      <w:r>
        <w:rPr>
          <w:i/>
          <w:iCs/>
          <w:color w:val="auto"/>
          <w:szCs w:val="21"/>
        </w:rPr>
        <w:sym w:font="Symbol" w:char="F066"/>
      </w:r>
      <w:r>
        <w:rPr>
          <w:color w:val="auto"/>
          <w:szCs w:val="21"/>
        </w:rPr>
        <w:t>200×50-10×32/16×40；</w:t>
      </w:r>
    </w:p>
    <w:p>
      <w:pPr>
        <w:tabs>
          <w:tab w:val="left" w:pos="0"/>
        </w:tabs>
        <w:spacing w:line="360" w:lineRule="auto"/>
        <w:ind w:firstLine="420" w:firstLineChars="200"/>
        <w:rPr>
          <w:color w:val="auto"/>
          <w:szCs w:val="21"/>
        </w:rPr>
      </w:pPr>
      <w:r>
        <w:rPr>
          <w:rFonts w:hint="eastAsia"/>
          <w:color w:val="auto"/>
          <w:szCs w:val="21"/>
        </w:rPr>
        <w:t xml:space="preserve">3 </w:t>
      </w:r>
      <w:r>
        <w:rPr>
          <w:color w:val="auto"/>
          <w:szCs w:val="21"/>
        </w:rPr>
        <w:t>耐磨强度和耐压强度测试</w:t>
      </w:r>
      <w:r>
        <w:rPr>
          <w:rFonts w:hint="eastAsia"/>
          <w:color w:val="auto"/>
          <w:szCs w:val="21"/>
        </w:rPr>
        <w:t>用</w:t>
      </w:r>
      <w:r>
        <w:rPr>
          <w:color w:val="auto"/>
          <w:szCs w:val="21"/>
        </w:rPr>
        <w:t>长方孔试验筛</w:t>
      </w:r>
      <w:r>
        <w:rPr>
          <w:rFonts w:hint="eastAsia"/>
          <w:color w:val="auto"/>
          <w:szCs w:val="21"/>
        </w:rPr>
        <w:t>规格应为</w:t>
      </w:r>
      <w:r>
        <w:rPr>
          <w:i/>
          <w:iCs/>
          <w:color w:val="auto"/>
          <w:szCs w:val="21"/>
        </w:rPr>
        <w:sym w:font="Symbol" w:char="F066"/>
      </w:r>
      <w:r>
        <w:rPr>
          <w:color w:val="auto"/>
          <w:szCs w:val="21"/>
        </w:rPr>
        <w:t>200×50-1.6×12.5/4×16、</w:t>
      </w:r>
      <w:r>
        <w:rPr>
          <w:i/>
          <w:iCs/>
          <w:color w:val="auto"/>
          <w:szCs w:val="21"/>
        </w:rPr>
        <w:sym w:font="Symbol" w:char="F066"/>
      </w:r>
      <w:r>
        <w:rPr>
          <w:color w:val="auto"/>
          <w:szCs w:val="21"/>
        </w:rPr>
        <w:t>200×50-6.3×25/11×32和</w:t>
      </w:r>
      <w:r>
        <w:rPr>
          <w:i/>
          <w:iCs/>
          <w:color w:val="auto"/>
          <w:szCs w:val="21"/>
        </w:rPr>
        <w:sym w:font="Symbol" w:char="F066"/>
      </w:r>
      <w:r>
        <w:rPr>
          <w:color w:val="auto"/>
          <w:szCs w:val="21"/>
        </w:rPr>
        <w:t>200×50-10×32/16×40；</w:t>
      </w:r>
    </w:p>
    <w:p>
      <w:pPr>
        <w:tabs>
          <w:tab w:val="left" w:pos="0"/>
        </w:tabs>
        <w:spacing w:line="360" w:lineRule="auto"/>
        <w:ind w:firstLine="420" w:firstLineChars="200"/>
        <w:rPr>
          <w:color w:val="auto"/>
          <w:szCs w:val="21"/>
        </w:rPr>
      </w:pPr>
      <w:r>
        <w:rPr>
          <w:rFonts w:hint="eastAsia"/>
          <w:color w:val="auto"/>
          <w:szCs w:val="21"/>
        </w:rPr>
        <w:t xml:space="preserve">4 </w:t>
      </w:r>
      <w:r>
        <w:rPr>
          <w:color w:val="auto"/>
          <w:szCs w:val="21"/>
        </w:rPr>
        <w:t>着火点测试</w:t>
      </w:r>
      <w:r>
        <w:rPr>
          <w:rFonts w:hint="eastAsia"/>
          <w:color w:val="auto"/>
          <w:szCs w:val="21"/>
        </w:rPr>
        <w:t>用</w:t>
      </w:r>
      <w:r>
        <w:rPr>
          <w:color w:val="auto"/>
          <w:szCs w:val="21"/>
        </w:rPr>
        <w:t>长方孔试验筛</w:t>
      </w:r>
      <w:r>
        <w:rPr>
          <w:rFonts w:hint="eastAsia"/>
          <w:color w:val="auto"/>
          <w:szCs w:val="21"/>
        </w:rPr>
        <w:t>规格应为</w:t>
      </w:r>
      <w:r>
        <w:rPr>
          <w:i/>
          <w:iCs/>
          <w:color w:val="auto"/>
          <w:szCs w:val="21"/>
        </w:rPr>
        <w:sym w:font="Symbol" w:char="F066"/>
      </w:r>
      <w:r>
        <w:rPr>
          <w:color w:val="auto"/>
          <w:szCs w:val="21"/>
        </w:rPr>
        <w:t>200×50-1.6×12.5/4×16。</w:t>
      </w:r>
    </w:p>
    <w:p>
      <w:pPr>
        <w:spacing w:beforeLines="50" w:line="360" w:lineRule="auto"/>
        <w:jc w:val="center"/>
        <w:rPr>
          <w:color w:val="auto"/>
        </w:rPr>
      </w:pPr>
      <w:r>
        <w:rPr>
          <w:color w:val="auto"/>
        </w:rPr>
        <w:drawing>
          <wp:inline distT="0" distB="0" distL="0" distR="0">
            <wp:extent cx="1799590" cy="1847850"/>
            <wp:effectExtent l="0" t="0" r="3810" b="6350"/>
            <wp:docPr id="2" name="图片 2" descr="C:\Users\11631\AppData\Local\Temp\WeChat Files\c5193ec666e1d55922570894b5545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11631\AppData\Local\Temp\WeChat Files\c5193ec666e1d55922570894b554570.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1800000" cy="1848116"/>
                    </a:xfrm>
                    <a:prstGeom prst="rect">
                      <a:avLst/>
                    </a:prstGeom>
                    <a:noFill/>
                    <a:ln>
                      <a:noFill/>
                    </a:ln>
                  </pic:spPr>
                </pic:pic>
              </a:graphicData>
            </a:graphic>
          </wp:inline>
        </w:drawing>
      </w:r>
      <w:r>
        <w:rPr>
          <w:color w:val="auto"/>
        </w:rPr>
        <w:t xml:space="preserve"> </w:t>
      </w:r>
      <w:r>
        <w:rPr>
          <w:color w:val="auto"/>
        </w:rPr>
        <w:drawing>
          <wp:inline distT="0" distB="0" distL="0" distR="0">
            <wp:extent cx="1799590" cy="1968500"/>
            <wp:effectExtent l="0" t="0" r="3810" b="0"/>
            <wp:docPr id="3" name="图片 3" descr="C:\Users\11631\AppData\Local\Temp\WeChat Files\71af2ab5e21b392ea0e04d7af03d6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11631\AppData\Local\Temp\WeChat Files\71af2ab5e21b392ea0e04d7af03d6af.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1800000" cy="1968681"/>
                    </a:xfrm>
                    <a:prstGeom prst="rect">
                      <a:avLst/>
                    </a:prstGeom>
                    <a:noFill/>
                    <a:ln>
                      <a:noFill/>
                    </a:ln>
                  </pic:spPr>
                </pic:pic>
              </a:graphicData>
            </a:graphic>
          </wp:inline>
        </w:drawing>
      </w:r>
      <w:r>
        <w:rPr>
          <w:color w:val="auto"/>
        </w:rPr>
        <w:t xml:space="preserve"> </w:t>
      </w:r>
      <w:r>
        <w:rPr>
          <w:color w:val="auto"/>
        </w:rPr>
        <w:drawing>
          <wp:inline distT="0" distB="0" distL="0" distR="0">
            <wp:extent cx="1907540" cy="1858645"/>
            <wp:effectExtent l="0" t="0" r="10160" b="8255"/>
            <wp:docPr id="15" name="图片 15" descr="C:\Users\11631\AppData\Local\Temp\WeChat Files\977a60a44d60f9611c8f4dc1e694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Users\11631\AppData\Local\Temp\WeChat Files\977a60a44d60f9611c8f4dc1e694164.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1908000" cy="1859134"/>
                    </a:xfrm>
                    <a:prstGeom prst="rect">
                      <a:avLst/>
                    </a:prstGeom>
                    <a:noFill/>
                    <a:ln>
                      <a:noFill/>
                    </a:ln>
                  </pic:spPr>
                </pic:pic>
              </a:graphicData>
            </a:graphic>
          </wp:inline>
        </w:drawing>
      </w:r>
    </w:p>
    <w:p>
      <w:pPr>
        <w:keepNext/>
        <w:keepLines/>
        <w:tabs>
          <w:tab w:val="left" w:pos="397"/>
        </w:tabs>
        <w:spacing w:beforeLines="50" w:afterLines="50" w:line="360" w:lineRule="auto"/>
        <w:jc w:val="center"/>
        <w:rPr>
          <w:color w:val="auto"/>
          <w:sz w:val="18"/>
          <w:szCs w:val="18"/>
        </w:rPr>
      </w:pPr>
      <w:r>
        <w:rPr>
          <w:color w:val="auto"/>
          <w:sz w:val="18"/>
          <w:szCs w:val="18"/>
        </w:rPr>
        <w:t>（a）</w:t>
      </w:r>
      <w:r>
        <w:rPr>
          <w:i/>
          <w:iCs/>
          <w:color w:val="auto"/>
          <w:sz w:val="18"/>
          <w:szCs w:val="18"/>
        </w:rPr>
        <w:sym w:font="Symbol" w:char="F066"/>
      </w:r>
      <w:r>
        <w:rPr>
          <w:i/>
          <w:iCs/>
          <w:color w:val="auto"/>
          <w:sz w:val="18"/>
          <w:szCs w:val="18"/>
        </w:rPr>
        <w:t xml:space="preserve"> </w:t>
      </w:r>
      <w:r>
        <w:rPr>
          <w:color w:val="auto"/>
          <w:sz w:val="18"/>
          <w:szCs w:val="18"/>
        </w:rPr>
        <w:t>200×50-1.6×12.5/4×16        （b）</w:t>
      </w:r>
      <w:r>
        <w:rPr>
          <w:i/>
          <w:iCs/>
          <w:color w:val="auto"/>
          <w:sz w:val="18"/>
          <w:szCs w:val="18"/>
        </w:rPr>
        <w:sym w:font="Symbol" w:char="F066"/>
      </w:r>
      <w:r>
        <w:rPr>
          <w:color w:val="auto"/>
          <w:sz w:val="18"/>
          <w:szCs w:val="18"/>
        </w:rPr>
        <w:t xml:space="preserve"> 200×50-6.3×25/11×32      （c）</w:t>
      </w:r>
      <w:r>
        <w:rPr>
          <w:i/>
          <w:iCs/>
          <w:color w:val="auto"/>
          <w:sz w:val="18"/>
          <w:szCs w:val="18"/>
        </w:rPr>
        <w:sym w:font="Symbol" w:char="F066"/>
      </w:r>
      <w:r>
        <w:rPr>
          <w:color w:val="auto"/>
          <w:sz w:val="18"/>
          <w:szCs w:val="18"/>
        </w:rPr>
        <w:t xml:space="preserve"> 200×50-10×32/16×40</w:t>
      </w:r>
    </w:p>
    <w:p>
      <w:pPr>
        <w:keepNext/>
        <w:keepLines/>
        <w:tabs>
          <w:tab w:val="left" w:pos="397"/>
        </w:tabs>
        <w:spacing w:beforeLines="50" w:afterLines="50" w:line="360" w:lineRule="auto"/>
        <w:jc w:val="center"/>
        <w:rPr>
          <w:color w:val="auto"/>
          <w:sz w:val="18"/>
          <w:szCs w:val="18"/>
        </w:rPr>
      </w:pPr>
      <w:r>
        <w:rPr>
          <w:color w:val="auto"/>
          <w:sz w:val="18"/>
          <w:szCs w:val="18"/>
        </w:rPr>
        <w:t>图4.0.27 长方孔试验筛示意图</w:t>
      </w:r>
    </w:p>
    <w:p>
      <w:pPr>
        <w:numPr>
          <w:ilvl w:val="0"/>
          <w:numId w:val="5"/>
        </w:numPr>
        <w:spacing w:line="360" w:lineRule="auto"/>
        <w:rPr>
          <w:color w:val="auto"/>
          <w:szCs w:val="21"/>
        </w:rPr>
      </w:pPr>
      <w:r>
        <w:rPr>
          <w:color w:val="auto"/>
          <w:szCs w:val="21"/>
        </w:rPr>
        <w:t>扁形称量瓶应带严密磨口盖</w:t>
      </w:r>
      <w:r>
        <w:rPr>
          <w:rFonts w:hint="eastAsia"/>
          <w:color w:val="auto"/>
          <w:szCs w:val="21"/>
        </w:rPr>
        <w:t>，</w:t>
      </w:r>
      <w:r>
        <w:rPr>
          <w:color w:val="auto"/>
          <w:szCs w:val="21"/>
        </w:rPr>
        <w:t>瓶身直径应为70mm</w:t>
      </w:r>
      <w:r>
        <w:rPr>
          <w:rFonts w:hint="eastAsia"/>
          <w:color w:val="auto"/>
          <w:szCs w:val="21"/>
        </w:rPr>
        <w:t>，</w:t>
      </w:r>
      <w:r>
        <w:rPr>
          <w:color w:val="auto"/>
          <w:szCs w:val="21"/>
        </w:rPr>
        <w:t>瓶身高度应为40mm。</w:t>
      </w:r>
    </w:p>
    <w:p>
      <w:pPr>
        <w:numPr>
          <w:ilvl w:val="0"/>
          <w:numId w:val="5"/>
        </w:numPr>
        <w:spacing w:line="360" w:lineRule="auto"/>
        <w:rPr>
          <w:color w:val="auto"/>
          <w:szCs w:val="21"/>
        </w:rPr>
      </w:pPr>
      <w:r>
        <w:rPr>
          <w:color w:val="auto"/>
          <w:szCs w:val="21"/>
        </w:rPr>
        <w:t>马弗炉</w:t>
      </w:r>
      <w:r>
        <w:rPr>
          <w:rFonts w:hint="eastAsia"/>
          <w:color w:val="auto"/>
          <w:szCs w:val="21"/>
        </w:rPr>
        <w:t>的</w:t>
      </w:r>
      <w:r>
        <w:rPr>
          <w:color w:val="auto"/>
          <w:szCs w:val="21"/>
        </w:rPr>
        <w:t>温度</w:t>
      </w:r>
      <w:r>
        <w:rPr>
          <w:rFonts w:hint="eastAsia"/>
          <w:color w:val="auto"/>
          <w:szCs w:val="21"/>
        </w:rPr>
        <w:t>可设置范围</w:t>
      </w:r>
      <w:r>
        <w:rPr>
          <w:color w:val="auto"/>
          <w:szCs w:val="21"/>
        </w:rPr>
        <w:t>应为</w:t>
      </w:r>
      <w:r>
        <w:rPr>
          <w:rFonts w:hint="eastAsia"/>
          <w:color w:val="auto"/>
          <w:szCs w:val="21"/>
        </w:rPr>
        <w:t>室温~</w:t>
      </w:r>
      <w:r>
        <w:rPr>
          <w:color w:val="auto"/>
          <w:szCs w:val="21"/>
        </w:rPr>
        <w:t>1200℃。</w:t>
      </w:r>
    </w:p>
    <w:p>
      <w:pPr>
        <w:numPr>
          <w:ilvl w:val="0"/>
          <w:numId w:val="5"/>
        </w:numPr>
        <w:spacing w:line="360" w:lineRule="auto"/>
        <w:rPr>
          <w:color w:val="auto"/>
          <w:szCs w:val="21"/>
        </w:rPr>
      </w:pPr>
      <w:r>
        <w:rPr>
          <w:color w:val="auto"/>
          <w:szCs w:val="21"/>
        </w:rPr>
        <w:t>管式炉</w:t>
      </w:r>
      <w:r>
        <w:rPr>
          <w:rFonts w:hint="eastAsia"/>
          <w:color w:val="auto"/>
          <w:szCs w:val="21"/>
        </w:rPr>
        <w:t>的温度可设置范围</w:t>
      </w:r>
      <w:r>
        <w:rPr>
          <w:color w:val="auto"/>
          <w:szCs w:val="21"/>
        </w:rPr>
        <w:t>应为</w:t>
      </w:r>
      <w:r>
        <w:rPr>
          <w:rFonts w:hint="eastAsia"/>
          <w:color w:val="auto"/>
          <w:szCs w:val="21"/>
        </w:rPr>
        <w:t>室温~</w:t>
      </w:r>
      <w:r>
        <w:rPr>
          <w:color w:val="auto"/>
          <w:szCs w:val="21"/>
        </w:rPr>
        <w:t>1200℃</w:t>
      </w:r>
      <w:r>
        <w:rPr>
          <w:rFonts w:hint="eastAsia"/>
          <w:color w:val="auto"/>
          <w:szCs w:val="21"/>
        </w:rPr>
        <w:t>，</w:t>
      </w:r>
      <w:r>
        <w:rPr>
          <w:color w:val="auto"/>
          <w:szCs w:val="21"/>
        </w:rPr>
        <w:t>石英管内径应为43mm</w:t>
      </w:r>
      <w:r>
        <w:rPr>
          <w:rFonts w:hint="eastAsia"/>
          <w:color w:val="auto"/>
          <w:szCs w:val="21"/>
        </w:rPr>
        <w:t>，</w:t>
      </w:r>
      <w:r>
        <w:rPr>
          <w:color w:val="auto"/>
          <w:szCs w:val="21"/>
        </w:rPr>
        <w:t>炉膛恒温区不应小于200mm。</w:t>
      </w:r>
    </w:p>
    <w:p>
      <w:pPr>
        <w:numPr>
          <w:ilvl w:val="0"/>
          <w:numId w:val="5"/>
        </w:numPr>
        <w:spacing w:line="360" w:lineRule="auto"/>
        <w:rPr>
          <w:color w:val="auto"/>
          <w:szCs w:val="21"/>
        </w:rPr>
      </w:pPr>
      <w:r>
        <w:rPr>
          <w:color w:val="auto"/>
          <w:szCs w:val="21"/>
        </w:rPr>
        <w:drawing>
          <wp:anchor distT="0" distB="0" distL="114300" distR="114300" simplePos="0" relativeHeight="251662336" behindDoc="0" locked="0" layoutInCell="1" allowOverlap="1">
            <wp:simplePos x="0" y="0"/>
            <wp:positionH relativeFrom="margin">
              <wp:posOffset>932815</wp:posOffset>
            </wp:positionH>
            <wp:positionV relativeFrom="paragraph">
              <wp:posOffset>300355</wp:posOffset>
            </wp:positionV>
            <wp:extent cx="3599815" cy="1153160"/>
            <wp:effectExtent l="0" t="0" r="6985" b="2540"/>
            <wp:wrapTopAndBottom/>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3599815" cy="1153160"/>
                    </a:xfrm>
                    <a:prstGeom prst="rect">
                      <a:avLst/>
                    </a:prstGeom>
                  </pic:spPr>
                </pic:pic>
              </a:graphicData>
            </a:graphic>
          </wp:anchor>
        </w:drawing>
      </w:r>
      <w:r>
        <w:rPr>
          <w:color w:val="auto"/>
          <w:szCs w:val="21"/>
        </w:rPr>
        <w:t>挥发分测试装置</w:t>
      </w:r>
      <w:r>
        <w:rPr>
          <w:rFonts w:hint="eastAsia"/>
          <w:color w:val="auto"/>
          <w:szCs w:val="21"/>
        </w:rPr>
        <w:t>（</w:t>
      </w:r>
      <w:r>
        <w:rPr>
          <w:color w:val="auto"/>
          <w:szCs w:val="21"/>
        </w:rPr>
        <w:t>图4.0.31</w:t>
      </w:r>
      <w:r>
        <w:rPr>
          <w:rFonts w:hint="eastAsia"/>
          <w:color w:val="auto"/>
          <w:szCs w:val="21"/>
        </w:rPr>
        <w:t>）应包括转子流量计、进气阀、管式炉、隔热炉塞和排气阀</w:t>
      </w:r>
      <w:r>
        <w:rPr>
          <w:color w:val="auto"/>
          <w:szCs w:val="21"/>
        </w:rPr>
        <w:t>。</w:t>
      </w:r>
    </w:p>
    <w:p>
      <w:pPr>
        <w:keepNext/>
        <w:keepLines/>
        <w:tabs>
          <w:tab w:val="left" w:pos="397"/>
        </w:tabs>
        <w:spacing w:beforeLines="50" w:afterLines="50" w:line="360" w:lineRule="auto"/>
        <w:jc w:val="center"/>
        <w:rPr>
          <w:color w:val="auto"/>
          <w:sz w:val="18"/>
          <w:szCs w:val="18"/>
        </w:rPr>
      </w:pPr>
      <w:r>
        <w:rPr>
          <w:color w:val="auto"/>
          <w:sz w:val="18"/>
          <w:szCs w:val="18"/>
        </w:rPr>
        <w:t>图4.0.31  挥发分测试装置示意图</w:t>
      </w:r>
    </w:p>
    <w:p>
      <w:pPr>
        <w:keepNext/>
        <w:keepLines/>
        <w:tabs>
          <w:tab w:val="left" w:pos="397"/>
        </w:tabs>
        <w:spacing w:beforeLines="50" w:afterLines="50" w:line="360" w:lineRule="auto"/>
        <w:jc w:val="center"/>
        <w:rPr>
          <w:color w:val="auto"/>
          <w:sz w:val="18"/>
          <w:szCs w:val="18"/>
        </w:rPr>
      </w:pPr>
      <w:r>
        <w:rPr>
          <w:color w:val="auto"/>
          <w:sz w:val="18"/>
          <w:szCs w:val="18"/>
        </w:rPr>
        <w:t>1-转子流量计；2-进气阀；3-管式炉；4-隔热炉塞；5-排气阀</w:t>
      </w:r>
    </w:p>
    <w:p>
      <w:pPr>
        <w:numPr>
          <w:ilvl w:val="0"/>
          <w:numId w:val="5"/>
        </w:numPr>
        <w:spacing w:line="360" w:lineRule="auto"/>
        <w:rPr>
          <w:color w:val="auto"/>
          <w:szCs w:val="21"/>
        </w:rPr>
      </w:pPr>
      <w:r>
        <w:rPr>
          <w:color w:val="auto"/>
          <w:szCs w:val="21"/>
        </w:rPr>
        <w:t>灰皿材质应为瓷质或刚玉</w:t>
      </w:r>
      <w:r>
        <w:rPr>
          <w:rFonts w:hint="eastAsia"/>
          <w:color w:val="auto"/>
          <w:szCs w:val="21"/>
        </w:rPr>
        <w:t>，</w:t>
      </w:r>
      <w:r>
        <w:rPr>
          <w:color w:val="auto"/>
          <w:szCs w:val="21"/>
        </w:rPr>
        <w:t>长度应为45mm</w:t>
      </w:r>
      <w:r>
        <w:rPr>
          <w:rFonts w:hint="eastAsia"/>
          <w:color w:val="auto"/>
          <w:szCs w:val="21"/>
        </w:rPr>
        <w:t>，</w:t>
      </w:r>
      <w:r>
        <w:rPr>
          <w:color w:val="auto"/>
          <w:szCs w:val="21"/>
        </w:rPr>
        <w:t>宽度应为22mm</w:t>
      </w:r>
      <w:r>
        <w:rPr>
          <w:rFonts w:hint="eastAsia"/>
          <w:color w:val="auto"/>
          <w:szCs w:val="21"/>
        </w:rPr>
        <w:t>，</w:t>
      </w:r>
      <w:r>
        <w:rPr>
          <w:color w:val="auto"/>
          <w:szCs w:val="21"/>
        </w:rPr>
        <w:t>高度应为14mm。</w:t>
      </w:r>
    </w:p>
    <w:p>
      <w:pPr>
        <w:numPr>
          <w:ilvl w:val="0"/>
          <w:numId w:val="5"/>
        </w:numPr>
        <w:spacing w:line="360" w:lineRule="auto"/>
        <w:rPr>
          <w:color w:val="auto"/>
          <w:szCs w:val="21"/>
        </w:rPr>
      </w:pPr>
      <w:r>
        <w:rPr>
          <w:color w:val="auto"/>
          <w:szCs w:val="21"/>
        </w:rPr>
        <w:t>方孔试验筛的尺寸应为</w:t>
      </w:r>
      <w:r>
        <w:rPr>
          <w:i/>
          <w:iCs/>
          <w:color w:val="auto"/>
          <w:szCs w:val="21"/>
        </w:rPr>
        <w:sym w:font="Symbol" w:char="F066"/>
      </w:r>
      <w:r>
        <w:rPr>
          <w:i/>
          <w:iCs/>
          <w:color w:val="auto"/>
          <w:szCs w:val="21"/>
        </w:rPr>
        <w:t xml:space="preserve"> </w:t>
      </w:r>
      <w:r>
        <w:rPr>
          <w:color w:val="auto"/>
          <w:szCs w:val="21"/>
        </w:rPr>
        <w:t>200×50-1.0/0.71。</w:t>
      </w:r>
    </w:p>
    <w:p>
      <w:pPr>
        <w:numPr>
          <w:ilvl w:val="0"/>
          <w:numId w:val="5"/>
        </w:numPr>
        <w:spacing w:line="360" w:lineRule="auto"/>
        <w:rPr>
          <w:color w:val="auto"/>
          <w:szCs w:val="21"/>
        </w:rPr>
      </w:pPr>
      <w:r>
        <w:rPr>
          <w:color w:val="auto"/>
          <w:szCs w:val="21"/>
        </w:rPr>
        <w:t>水容量测试装置</w:t>
      </w:r>
      <w:r>
        <w:rPr>
          <w:rFonts w:hint="eastAsia"/>
          <w:color w:val="auto"/>
          <w:szCs w:val="21"/>
        </w:rPr>
        <w:t>（</w:t>
      </w:r>
      <w:r>
        <w:rPr>
          <w:color w:val="auto"/>
          <w:szCs w:val="21"/>
        </w:rPr>
        <w:t>图4.0.34</w:t>
      </w:r>
      <w:r>
        <w:rPr>
          <w:rFonts w:hint="eastAsia"/>
          <w:color w:val="auto"/>
          <w:szCs w:val="21"/>
        </w:rPr>
        <w:t>）应包括循环水多用真空泵、活塞、安全瓶、布氏漏斗和抽滤瓶，且应符合下列规定：</w:t>
      </w:r>
    </w:p>
    <w:p>
      <w:pPr>
        <w:keepNext/>
        <w:keepLines/>
        <w:tabs>
          <w:tab w:val="left" w:pos="397"/>
        </w:tabs>
        <w:spacing w:beforeLines="50" w:afterLines="50" w:line="360" w:lineRule="auto"/>
        <w:jc w:val="center"/>
        <w:rPr>
          <w:color w:val="auto"/>
          <w:sz w:val="18"/>
          <w:szCs w:val="18"/>
        </w:rPr>
      </w:pPr>
      <w:r>
        <w:rPr>
          <w:color w:val="auto"/>
          <w:sz w:val="18"/>
          <w:szCs w:val="18"/>
        </w:rPr>
        <w:drawing>
          <wp:anchor distT="0" distB="0" distL="114300" distR="114300" simplePos="0" relativeHeight="251666432" behindDoc="0" locked="0" layoutInCell="1" allowOverlap="1">
            <wp:simplePos x="0" y="0"/>
            <wp:positionH relativeFrom="margin">
              <wp:posOffset>1193165</wp:posOffset>
            </wp:positionH>
            <wp:positionV relativeFrom="paragraph">
              <wp:posOffset>353060</wp:posOffset>
            </wp:positionV>
            <wp:extent cx="3239770" cy="1936115"/>
            <wp:effectExtent l="0" t="0" r="11430" b="6985"/>
            <wp:wrapTopAndBottom/>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3239770" cy="1936115"/>
                    </a:xfrm>
                    <a:prstGeom prst="rect">
                      <a:avLst/>
                    </a:prstGeom>
                    <a:noFill/>
                    <a:ln>
                      <a:noFill/>
                    </a:ln>
                  </pic:spPr>
                </pic:pic>
              </a:graphicData>
            </a:graphic>
          </wp:anchor>
        </w:drawing>
      </w:r>
      <w:r>
        <w:rPr>
          <w:color w:val="auto"/>
          <w:sz w:val="18"/>
          <w:szCs w:val="18"/>
        </w:rPr>
        <w:t>图4.0.34  水容量测试装置示意图</w:t>
      </w:r>
    </w:p>
    <w:p>
      <w:pPr>
        <w:spacing w:beforeLines="50" w:afterLines="50" w:line="360" w:lineRule="auto"/>
        <w:jc w:val="center"/>
        <w:rPr>
          <w:color w:val="auto"/>
          <w:sz w:val="18"/>
          <w:szCs w:val="18"/>
        </w:rPr>
      </w:pPr>
      <w:r>
        <w:rPr>
          <w:color w:val="auto"/>
          <w:sz w:val="18"/>
          <w:szCs w:val="18"/>
        </w:rPr>
        <w:t>1-循环水式多用真空泵；2-活塞；3-安全瓶；4-布氏漏斗；5-抽滤瓶</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循环水式多用真空泵的单头抽气量应为10L/min，极限真空度应为0.098MPa</w:t>
      </w:r>
      <w:r>
        <w:rPr>
          <w:rFonts w:hint="eastAsia"/>
          <w:color w:val="auto"/>
          <w:szCs w:val="21"/>
        </w:rPr>
        <w:t>；</w:t>
      </w:r>
    </w:p>
    <w:p>
      <w:pPr>
        <w:tabs>
          <w:tab w:val="left" w:pos="0"/>
        </w:tabs>
        <w:spacing w:line="360" w:lineRule="auto"/>
        <w:ind w:firstLine="420" w:firstLineChars="200"/>
        <w:rPr>
          <w:color w:val="auto"/>
          <w:szCs w:val="21"/>
        </w:rPr>
      </w:pPr>
      <w:r>
        <w:rPr>
          <w:rFonts w:hint="eastAsia"/>
          <w:color w:val="auto"/>
          <w:szCs w:val="21"/>
        </w:rPr>
        <w:t xml:space="preserve">2  </w:t>
      </w:r>
      <w:r>
        <w:rPr>
          <w:color w:val="auto"/>
          <w:szCs w:val="21"/>
        </w:rPr>
        <w:t>布氏漏斗的外径应为80mm，内径应为70mm ~75mm</w:t>
      </w:r>
      <w:r>
        <w:rPr>
          <w:rFonts w:hint="eastAsia"/>
          <w:color w:val="auto"/>
          <w:szCs w:val="21"/>
        </w:rPr>
        <w:t>；</w:t>
      </w:r>
    </w:p>
    <w:p>
      <w:pPr>
        <w:tabs>
          <w:tab w:val="left" w:pos="0"/>
        </w:tabs>
        <w:spacing w:line="360" w:lineRule="auto"/>
        <w:ind w:firstLine="420" w:firstLineChars="200"/>
        <w:rPr>
          <w:color w:val="auto"/>
          <w:szCs w:val="21"/>
        </w:rPr>
      </w:pPr>
      <w:r>
        <w:rPr>
          <w:rFonts w:hint="eastAsia"/>
          <w:color w:val="auto"/>
          <w:szCs w:val="21"/>
        </w:rPr>
        <w:t xml:space="preserve">3  </w:t>
      </w:r>
      <w:r>
        <w:rPr>
          <w:color w:val="auto"/>
          <w:szCs w:val="21"/>
        </w:rPr>
        <w:t>抽滤瓶的容量宜为2500mL。</w:t>
      </w:r>
    </w:p>
    <w:p>
      <w:pPr>
        <w:numPr>
          <w:ilvl w:val="0"/>
          <w:numId w:val="5"/>
        </w:numPr>
        <w:spacing w:line="360" w:lineRule="auto"/>
        <w:rPr>
          <w:color w:val="auto"/>
          <w:szCs w:val="21"/>
        </w:rPr>
      </w:pPr>
      <w:r>
        <w:rPr>
          <w:color w:val="auto"/>
          <w:szCs w:val="21"/>
        </w:rPr>
        <w:t>电子秒表的精度应为0.01s。</w:t>
      </w:r>
    </w:p>
    <w:p>
      <w:pPr>
        <w:numPr>
          <w:ilvl w:val="0"/>
          <w:numId w:val="5"/>
        </w:numPr>
        <w:spacing w:line="360" w:lineRule="auto"/>
        <w:rPr>
          <w:color w:val="auto"/>
          <w:szCs w:val="21"/>
        </w:rPr>
      </w:pPr>
      <w:r>
        <w:rPr>
          <w:color w:val="auto"/>
          <w:szCs w:val="21"/>
        </w:rPr>
        <w:t>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循环吸附值、脱硝率和循环脱硫脱硝性能测试系统（图4.0.39）应由模拟烟气配气装置及烟气分析系统组成。</w:t>
      </w:r>
    </w:p>
    <w:p>
      <w:pPr>
        <w:keepNext/>
        <w:keepLines/>
        <w:tabs>
          <w:tab w:val="left" w:pos="397"/>
        </w:tabs>
        <w:spacing w:beforeLines="50" w:afterLines="50" w:line="360" w:lineRule="auto"/>
        <w:jc w:val="center"/>
        <w:rPr>
          <w:color w:val="auto"/>
        </w:rPr>
      </w:pPr>
      <w:r>
        <w:rPr>
          <w:color w:val="auto"/>
        </w:rPr>
        <w:drawing>
          <wp:inline distT="0" distB="0" distL="114300" distR="114300">
            <wp:extent cx="5709285" cy="2945765"/>
            <wp:effectExtent l="0" t="0" r="0" b="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33" cstate="print"/>
                    <a:stretch>
                      <a:fillRect/>
                    </a:stretch>
                  </pic:blipFill>
                  <pic:spPr>
                    <a:xfrm>
                      <a:off x="0" y="0"/>
                      <a:ext cx="5722110" cy="2952475"/>
                    </a:xfrm>
                    <a:prstGeom prst="rect">
                      <a:avLst/>
                    </a:prstGeom>
                  </pic:spPr>
                </pic:pic>
              </a:graphicData>
            </a:graphic>
          </wp:inline>
        </w:drawing>
      </w:r>
    </w:p>
    <w:p>
      <w:pPr>
        <w:keepNext/>
        <w:keepLines/>
        <w:tabs>
          <w:tab w:val="left" w:pos="397"/>
        </w:tabs>
        <w:spacing w:beforeLines="50" w:afterLines="50" w:line="360" w:lineRule="auto"/>
        <w:jc w:val="center"/>
        <w:rPr>
          <w:color w:val="auto"/>
          <w:sz w:val="18"/>
          <w:szCs w:val="18"/>
        </w:rPr>
      </w:pPr>
      <w:r>
        <w:rPr>
          <w:color w:val="auto"/>
          <w:sz w:val="18"/>
          <w:szCs w:val="18"/>
        </w:rPr>
        <w:t>图4.0.39  SO</w:t>
      </w:r>
      <w:r>
        <w:rPr>
          <w:color w:val="auto"/>
          <w:sz w:val="18"/>
          <w:szCs w:val="18"/>
          <w:vertAlign w:val="subscript"/>
        </w:rPr>
        <w:t>2</w:t>
      </w:r>
      <w:r>
        <w:rPr>
          <w:color w:val="auto"/>
          <w:sz w:val="18"/>
          <w:szCs w:val="18"/>
        </w:rPr>
        <w:t>吸附值、SO</w:t>
      </w:r>
      <w:r>
        <w:rPr>
          <w:color w:val="auto"/>
          <w:sz w:val="18"/>
          <w:szCs w:val="18"/>
          <w:vertAlign w:val="subscript"/>
        </w:rPr>
        <w:t>2</w:t>
      </w:r>
      <w:r>
        <w:rPr>
          <w:color w:val="auto"/>
          <w:sz w:val="18"/>
          <w:szCs w:val="18"/>
        </w:rPr>
        <w:t>循环吸附值、脱硝率和循环脱硫脱硝性能测试系统示意图</w:t>
      </w:r>
    </w:p>
    <w:p>
      <w:pPr>
        <w:numPr>
          <w:ilvl w:val="0"/>
          <w:numId w:val="5"/>
        </w:numPr>
        <w:spacing w:line="360" w:lineRule="auto"/>
        <w:rPr>
          <w:color w:val="auto"/>
          <w:szCs w:val="21"/>
        </w:rPr>
      </w:pPr>
      <w:r>
        <w:rPr>
          <w:color w:val="auto"/>
          <w:szCs w:val="21"/>
        </w:rPr>
        <w:t>模拟烟气配气装置应包括气源部分、计量单元、预热单元、反应单元和控制单元，且应符合下列规定：</w:t>
      </w:r>
    </w:p>
    <w:p>
      <w:pPr>
        <w:numPr>
          <w:ilvl w:val="0"/>
          <w:numId w:val="10"/>
        </w:numPr>
        <w:tabs>
          <w:tab w:val="clear" w:pos="0"/>
        </w:tabs>
        <w:spacing w:line="360" w:lineRule="auto"/>
        <w:ind w:firstLine="420" w:firstLineChars="200"/>
        <w:rPr>
          <w:color w:val="auto"/>
          <w:szCs w:val="21"/>
        </w:rPr>
      </w:pPr>
      <w:r>
        <w:rPr>
          <w:color w:val="auto"/>
          <w:szCs w:val="21"/>
        </w:rPr>
        <w:t>氧气、二氧化硫、一氧化氮、氨气、和氮气应采用质量流量计计量输入，去离子水经蠕动泵按量抽取，且应符合下列规定：</w:t>
      </w:r>
    </w:p>
    <w:p>
      <w:pPr>
        <w:numPr>
          <w:ilvl w:val="0"/>
          <w:numId w:val="11"/>
        </w:numPr>
        <w:tabs>
          <w:tab w:val="left" w:pos="840"/>
        </w:tabs>
        <w:spacing w:line="360" w:lineRule="auto"/>
        <w:ind w:left="420" w:leftChars="200" w:firstLine="0"/>
        <w:rPr>
          <w:color w:val="auto"/>
          <w:szCs w:val="21"/>
        </w:rPr>
      </w:pPr>
      <w:r>
        <w:rPr>
          <w:color w:val="auto"/>
          <w:szCs w:val="21"/>
        </w:rPr>
        <w:t>氧气质量流量计的量程宜为0 SLM~5 SLM，精度应为满量程的±1.0 %；</w:t>
      </w:r>
    </w:p>
    <w:p>
      <w:pPr>
        <w:numPr>
          <w:ilvl w:val="0"/>
          <w:numId w:val="11"/>
        </w:numPr>
        <w:tabs>
          <w:tab w:val="left" w:pos="840"/>
        </w:tabs>
        <w:spacing w:line="360" w:lineRule="auto"/>
        <w:ind w:left="420" w:leftChars="200" w:firstLine="0"/>
        <w:rPr>
          <w:color w:val="auto"/>
          <w:szCs w:val="21"/>
        </w:rPr>
      </w:pPr>
      <w:r>
        <w:rPr>
          <w:color w:val="auto"/>
          <w:szCs w:val="21"/>
        </w:rPr>
        <w:t>蠕动泵额定流量宜为3 mL/ min，且实际流量与额定流量的误差应小于0.5%；</w:t>
      </w:r>
    </w:p>
    <w:p>
      <w:pPr>
        <w:numPr>
          <w:ilvl w:val="0"/>
          <w:numId w:val="11"/>
        </w:numPr>
        <w:tabs>
          <w:tab w:val="left" w:pos="840"/>
        </w:tabs>
        <w:spacing w:line="360" w:lineRule="auto"/>
        <w:ind w:left="420" w:leftChars="200" w:firstLine="0"/>
        <w:rPr>
          <w:color w:val="auto"/>
          <w:szCs w:val="21"/>
        </w:rPr>
      </w:pPr>
      <w:r>
        <w:rPr>
          <w:color w:val="auto"/>
          <w:szCs w:val="21"/>
        </w:rPr>
        <w:t>二氧化硫质量流量计的量程宜为0 SLM~3 SLM，精度应为满量程的±1.0 %；</w:t>
      </w:r>
    </w:p>
    <w:p>
      <w:pPr>
        <w:numPr>
          <w:ilvl w:val="0"/>
          <w:numId w:val="11"/>
        </w:numPr>
        <w:tabs>
          <w:tab w:val="left" w:pos="840"/>
        </w:tabs>
        <w:spacing w:line="360" w:lineRule="auto"/>
        <w:ind w:left="420" w:leftChars="200" w:firstLine="0"/>
        <w:rPr>
          <w:color w:val="auto"/>
          <w:szCs w:val="21"/>
        </w:rPr>
      </w:pPr>
      <w:r>
        <w:rPr>
          <w:color w:val="auto"/>
          <w:szCs w:val="21"/>
        </w:rPr>
        <w:t>一氧化氮质量流量计的量程宜为0 SCCM~200 SCCM，精度应为满量程的±1.0 %；</w:t>
      </w:r>
    </w:p>
    <w:p>
      <w:pPr>
        <w:numPr>
          <w:ilvl w:val="0"/>
          <w:numId w:val="11"/>
        </w:numPr>
        <w:tabs>
          <w:tab w:val="left" w:pos="840"/>
        </w:tabs>
        <w:spacing w:line="360" w:lineRule="auto"/>
        <w:ind w:left="420" w:leftChars="200" w:firstLine="0"/>
        <w:rPr>
          <w:color w:val="auto"/>
          <w:szCs w:val="21"/>
        </w:rPr>
      </w:pPr>
      <w:r>
        <w:rPr>
          <w:color w:val="auto"/>
          <w:szCs w:val="21"/>
        </w:rPr>
        <w:t>氨气质量流量计的量程宜为0 SCCM~200 SCCM，精度应为满量程的±1.0 %；</w:t>
      </w:r>
    </w:p>
    <w:p>
      <w:pPr>
        <w:numPr>
          <w:ilvl w:val="0"/>
          <w:numId w:val="11"/>
        </w:numPr>
        <w:tabs>
          <w:tab w:val="left" w:pos="840"/>
        </w:tabs>
        <w:spacing w:line="360" w:lineRule="auto"/>
        <w:ind w:left="420" w:leftChars="200" w:firstLine="0"/>
        <w:rPr>
          <w:color w:val="auto"/>
          <w:szCs w:val="21"/>
        </w:rPr>
      </w:pPr>
      <w:r>
        <w:rPr>
          <w:color w:val="auto"/>
          <w:szCs w:val="21"/>
        </w:rPr>
        <w:t>氮气质量流量计的量程宜为0 SLM~30 SLM，精度应为满量程的±1.0 %。</w:t>
      </w:r>
    </w:p>
    <w:p>
      <w:pPr>
        <w:numPr>
          <w:ilvl w:val="0"/>
          <w:numId w:val="10"/>
        </w:numPr>
        <w:tabs>
          <w:tab w:val="clear" w:pos="0"/>
        </w:tabs>
        <w:spacing w:line="360" w:lineRule="auto"/>
        <w:ind w:firstLine="420" w:firstLineChars="200"/>
        <w:rPr>
          <w:color w:val="auto"/>
          <w:szCs w:val="21"/>
        </w:rPr>
      </w:pPr>
      <w:r>
        <w:rPr>
          <w:color w:val="auto"/>
          <w:szCs w:val="21"/>
        </w:rPr>
        <w:t>预热炉的最高工作温度宜为500℃；</w:t>
      </w:r>
    </w:p>
    <w:p>
      <w:pPr>
        <w:numPr>
          <w:ilvl w:val="0"/>
          <w:numId w:val="10"/>
        </w:numPr>
        <w:tabs>
          <w:tab w:val="clear" w:pos="0"/>
        </w:tabs>
        <w:spacing w:line="360" w:lineRule="auto"/>
        <w:ind w:firstLine="420" w:firstLineChars="200"/>
        <w:rPr>
          <w:color w:val="auto"/>
          <w:szCs w:val="21"/>
        </w:rPr>
      </w:pPr>
      <w:r>
        <w:rPr>
          <w:color w:val="auto"/>
          <w:szCs w:val="21"/>
        </w:rPr>
        <w:t>反应单元由反应器和烟气旁路组成，反应器炉管应为316 L不锈钢管，内径应为50 mm，反应器炉体的最高工作温度宜为500℃，恒温段应不小于300 mm；</w:t>
      </w:r>
    </w:p>
    <w:p>
      <w:pPr>
        <w:numPr>
          <w:ilvl w:val="0"/>
          <w:numId w:val="10"/>
        </w:numPr>
        <w:tabs>
          <w:tab w:val="clear" w:pos="0"/>
        </w:tabs>
        <w:spacing w:line="360" w:lineRule="auto"/>
        <w:ind w:firstLine="420" w:firstLineChars="200"/>
        <w:rPr>
          <w:color w:val="auto"/>
          <w:szCs w:val="21"/>
        </w:rPr>
      </w:pPr>
      <w:r>
        <w:rPr>
          <w:color w:val="auto"/>
          <w:szCs w:val="21"/>
        </w:rPr>
        <w:t>氨气应在反应器入口喷入。</w:t>
      </w:r>
    </w:p>
    <w:p>
      <w:pPr>
        <w:numPr>
          <w:ilvl w:val="0"/>
          <w:numId w:val="5"/>
        </w:numPr>
        <w:spacing w:line="360" w:lineRule="auto"/>
        <w:rPr>
          <w:color w:val="auto"/>
          <w:szCs w:val="21"/>
        </w:rPr>
      </w:pPr>
      <w:r>
        <w:rPr>
          <w:color w:val="auto"/>
          <w:szCs w:val="21"/>
        </w:rPr>
        <w:t>烟气分析系统应由氧气分析仪、湿度分析仪、二氧化硫分析仪、一氧化氮分析仪和氨气分析仪组成，且应符合下列规定：</w:t>
      </w:r>
    </w:p>
    <w:p>
      <w:pPr>
        <w:numPr>
          <w:ilvl w:val="0"/>
          <w:numId w:val="12"/>
        </w:numPr>
        <w:tabs>
          <w:tab w:val="clear" w:pos="0"/>
        </w:tabs>
        <w:spacing w:line="360" w:lineRule="auto"/>
        <w:ind w:firstLine="420" w:firstLineChars="200"/>
        <w:rPr>
          <w:color w:val="auto"/>
          <w:szCs w:val="21"/>
        </w:rPr>
      </w:pPr>
      <w:r>
        <w:rPr>
          <w:color w:val="auto"/>
          <w:szCs w:val="21"/>
        </w:rPr>
        <w:t>氧气分析仪的量程宜为0 ~ 25 %（体积分数），精度应为满量程的±2.0 %；</w:t>
      </w:r>
    </w:p>
    <w:p>
      <w:pPr>
        <w:numPr>
          <w:ilvl w:val="0"/>
          <w:numId w:val="12"/>
        </w:numPr>
        <w:tabs>
          <w:tab w:val="clear" w:pos="0"/>
        </w:tabs>
        <w:spacing w:line="360" w:lineRule="auto"/>
        <w:ind w:firstLine="420" w:firstLineChars="200"/>
        <w:rPr>
          <w:color w:val="auto"/>
          <w:szCs w:val="21"/>
        </w:rPr>
      </w:pPr>
      <w:r>
        <w:rPr>
          <w:color w:val="auto"/>
          <w:szCs w:val="21"/>
        </w:rPr>
        <w:t>湿度分析仪的量程宜为0 ~ 25 %（体积分数），精度应为满量程的±2.0 %；</w:t>
      </w:r>
    </w:p>
    <w:p>
      <w:pPr>
        <w:numPr>
          <w:ilvl w:val="0"/>
          <w:numId w:val="12"/>
        </w:numPr>
        <w:tabs>
          <w:tab w:val="clear" w:pos="0"/>
        </w:tabs>
        <w:spacing w:line="360" w:lineRule="auto"/>
        <w:ind w:firstLine="420" w:firstLineChars="200"/>
        <w:rPr>
          <w:color w:val="auto"/>
          <w:szCs w:val="21"/>
        </w:rPr>
      </w:pPr>
      <w:r>
        <w:rPr>
          <w:color w:val="auto"/>
          <w:szCs w:val="21"/>
        </w:rPr>
        <w:t>二氧化硫分析仪的量程宜为0 ppm ~ 1500 ppm，精度应为满量程的±2.0 %；</w:t>
      </w:r>
    </w:p>
    <w:p>
      <w:pPr>
        <w:numPr>
          <w:ilvl w:val="0"/>
          <w:numId w:val="12"/>
        </w:numPr>
        <w:tabs>
          <w:tab w:val="clear" w:pos="0"/>
        </w:tabs>
        <w:spacing w:line="360" w:lineRule="auto"/>
        <w:ind w:firstLine="420" w:firstLineChars="200"/>
        <w:rPr>
          <w:color w:val="auto"/>
          <w:szCs w:val="21"/>
        </w:rPr>
      </w:pPr>
      <w:r>
        <w:rPr>
          <w:color w:val="auto"/>
          <w:szCs w:val="21"/>
        </w:rPr>
        <w:t>一氧化氮分析仪的量程宜为0 ppm ~ 1000 ppm，精度应为满量程的±2.0 %；</w:t>
      </w:r>
    </w:p>
    <w:p>
      <w:pPr>
        <w:numPr>
          <w:ilvl w:val="0"/>
          <w:numId w:val="12"/>
        </w:numPr>
        <w:tabs>
          <w:tab w:val="clear" w:pos="0"/>
        </w:tabs>
        <w:spacing w:line="360" w:lineRule="auto"/>
        <w:ind w:firstLine="420" w:firstLineChars="200"/>
        <w:rPr>
          <w:color w:val="auto"/>
          <w:szCs w:val="21"/>
        </w:rPr>
      </w:pPr>
      <w:r>
        <w:rPr>
          <w:color w:val="auto"/>
          <w:szCs w:val="21"/>
        </w:rPr>
        <w:t>氨气分析仪的量程宜为0 ppm ~ 1000 ppm，精度应为满量程的±2.0 %。</w:t>
      </w:r>
    </w:p>
    <w:p>
      <w:pPr>
        <w:numPr>
          <w:ilvl w:val="0"/>
          <w:numId w:val="5"/>
        </w:numPr>
        <w:spacing w:line="360" w:lineRule="auto"/>
        <w:rPr>
          <w:color w:val="auto"/>
          <w:szCs w:val="21"/>
        </w:rPr>
      </w:pPr>
      <w:r>
        <w:rPr>
          <w:color w:val="auto"/>
          <w:szCs w:val="21"/>
        </w:rPr>
        <w:t>标准无塞量筒的容量应为1000 mL。</w:t>
      </w:r>
    </w:p>
    <w:p>
      <w:pPr>
        <w:pStyle w:val="2"/>
        <w:spacing w:before="120" w:after="120" w:line="360" w:lineRule="auto"/>
        <w:jc w:val="center"/>
        <w:rPr>
          <w:color w:val="auto"/>
          <w:sz w:val="28"/>
          <w:szCs w:val="28"/>
        </w:rPr>
        <w:sectPr>
          <w:footerReference r:id="rId15" w:type="default"/>
          <w:pgSz w:w="11906" w:h="16838"/>
          <w:pgMar w:top="1134" w:right="1134" w:bottom="1134" w:left="1134" w:header="851" w:footer="992" w:gutter="0"/>
          <w:cols w:space="0" w:num="1"/>
          <w:docGrid w:type="lines" w:linePitch="312" w:charSpace="0"/>
        </w:sectPr>
      </w:pPr>
      <w:bookmarkStart w:id="76" w:name="_Toc31441"/>
      <w:bookmarkStart w:id="77" w:name="_Toc15000"/>
      <w:bookmarkStart w:id="78" w:name="_Toc10740"/>
    </w:p>
    <w:p>
      <w:pPr>
        <w:pStyle w:val="2"/>
        <w:spacing w:before="120" w:after="120" w:line="360" w:lineRule="auto"/>
        <w:jc w:val="center"/>
        <w:rPr>
          <w:color w:val="auto"/>
          <w:sz w:val="28"/>
          <w:szCs w:val="28"/>
        </w:rPr>
      </w:pPr>
      <w:bookmarkStart w:id="79" w:name="_Toc6231"/>
      <w:bookmarkStart w:id="80" w:name="_Toc325"/>
      <w:r>
        <w:rPr>
          <w:color w:val="auto"/>
          <w:sz w:val="28"/>
          <w:szCs w:val="28"/>
        </w:rPr>
        <w:t>5 测试试样和试剂</w:t>
      </w:r>
      <w:bookmarkEnd w:id="76"/>
      <w:bookmarkEnd w:id="77"/>
      <w:bookmarkEnd w:id="78"/>
      <w:bookmarkEnd w:id="79"/>
      <w:bookmarkEnd w:id="80"/>
    </w:p>
    <w:p>
      <w:pPr>
        <w:numPr>
          <w:ilvl w:val="0"/>
          <w:numId w:val="13"/>
        </w:numPr>
        <w:spacing w:line="360" w:lineRule="auto"/>
        <w:rPr>
          <w:color w:val="auto"/>
          <w:szCs w:val="21"/>
        </w:rPr>
      </w:pPr>
      <w:r>
        <w:rPr>
          <w:color w:val="auto"/>
          <w:szCs w:val="21"/>
        </w:rPr>
        <w:t>堆积密度测试</w:t>
      </w:r>
      <w:r>
        <w:rPr>
          <w:rFonts w:hint="eastAsia"/>
          <w:color w:val="auto"/>
          <w:szCs w:val="21"/>
        </w:rPr>
        <w:t>用试样应符合下列规定：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应采用四分法将测试样缩分至1000g~2000g</w:t>
      </w:r>
      <w:r>
        <w:rPr>
          <w:rFonts w:hint="eastAsia"/>
          <w:color w:val="auto"/>
          <w:szCs w:val="21"/>
        </w:rPr>
        <w:t>；</w:t>
      </w:r>
    </w:p>
    <w:p>
      <w:pPr>
        <w:tabs>
          <w:tab w:val="left" w:pos="0"/>
        </w:tabs>
        <w:spacing w:line="360" w:lineRule="auto"/>
        <w:ind w:firstLine="420" w:firstLineChars="200"/>
        <w:rPr>
          <w:color w:val="auto"/>
          <w:szCs w:val="21"/>
        </w:rPr>
      </w:pPr>
      <w:r>
        <w:rPr>
          <w:rFonts w:hint="eastAsia"/>
          <w:color w:val="auto"/>
          <w:szCs w:val="21"/>
        </w:rPr>
        <w:t>2 应</w:t>
      </w:r>
      <w:r>
        <w:rPr>
          <w:color w:val="auto"/>
          <w:szCs w:val="21"/>
        </w:rPr>
        <w:t>准备规格为</w:t>
      </w:r>
      <w:r>
        <w:rPr>
          <w:i/>
          <w:iCs/>
          <w:color w:val="auto"/>
          <w:szCs w:val="21"/>
        </w:rPr>
        <w:t>φ</w:t>
      </w:r>
      <w:r>
        <w:rPr>
          <w:color w:val="auto"/>
          <w:szCs w:val="21"/>
        </w:rPr>
        <w:t>200×50-1.6×12.5/11×32和</w:t>
      </w:r>
      <w:r>
        <w:rPr>
          <w:i/>
          <w:iCs/>
          <w:color w:val="auto"/>
          <w:szCs w:val="21"/>
        </w:rPr>
        <w:t>φ</w:t>
      </w:r>
      <w:r>
        <w:rPr>
          <w:color w:val="auto"/>
          <w:szCs w:val="21"/>
        </w:rPr>
        <w:t>200×50-10×32/16×40的长方孔试验筛，测试试样过筛</w:t>
      </w:r>
      <w:r>
        <w:rPr>
          <w:rFonts w:hint="eastAsia"/>
          <w:color w:val="auto"/>
          <w:szCs w:val="21"/>
        </w:rPr>
        <w:t>时间宜为</w:t>
      </w:r>
      <w:r>
        <w:rPr>
          <w:color w:val="auto"/>
          <w:szCs w:val="21"/>
        </w:rPr>
        <w:t>60s</w:t>
      </w:r>
      <w:r>
        <w:rPr>
          <w:rFonts w:hint="eastAsia"/>
          <w:color w:val="auto"/>
          <w:szCs w:val="21"/>
        </w:rPr>
        <w:t>；</w:t>
      </w:r>
    </w:p>
    <w:p>
      <w:pPr>
        <w:spacing w:line="360" w:lineRule="auto"/>
        <w:ind w:firstLine="420" w:firstLineChars="200"/>
        <w:rPr>
          <w:color w:val="auto"/>
          <w:szCs w:val="21"/>
        </w:rPr>
      </w:pPr>
      <w:r>
        <w:rPr>
          <w:rFonts w:hint="eastAsia"/>
          <w:color w:val="auto"/>
          <w:szCs w:val="21"/>
        </w:rPr>
        <w:t>3 应</w:t>
      </w:r>
      <w:r>
        <w:rPr>
          <w:color w:val="auto"/>
          <w:szCs w:val="21"/>
        </w:rPr>
        <w:t>取</w:t>
      </w:r>
      <w:r>
        <w:rPr>
          <w:i/>
          <w:iCs/>
          <w:color w:val="auto"/>
          <w:szCs w:val="21"/>
        </w:rPr>
        <w:t>φ</w:t>
      </w:r>
      <w:r>
        <w:rPr>
          <w:color w:val="auto"/>
          <w:szCs w:val="21"/>
        </w:rPr>
        <w:t>200×50-1.6×12.5/11×32</w:t>
      </w:r>
      <w:r>
        <w:rPr>
          <w:rFonts w:hint="eastAsia"/>
          <w:color w:val="auto"/>
          <w:szCs w:val="21"/>
        </w:rPr>
        <w:t>的</w:t>
      </w:r>
      <w:r>
        <w:rPr>
          <w:color w:val="auto"/>
          <w:szCs w:val="21"/>
        </w:rPr>
        <w:t>筛上试样</w:t>
      </w:r>
      <w:r>
        <w:rPr>
          <w:rFonts w:hint="eastAsia"/>
          <w:color w:val="auto"/>
          <w:szCs w:val="21"/>
        </w:rPr>
        <w:t>为测试试样</w:t>
      </w:r>
      <w:r>
        <w:rPr>
          <w:color w:val="auto"/>
          <w:szCs w:val="21"/>
        </w:rPr>
        <w:t>。</w:t>
      </w:r>
    </w:p>
    <w:p>
      <w:pPr>
        <w:numPr>
          <w:ilvl w:val="0"/>
          <w:numId w:val="13"/>
        </w:numPr>
        <w:spacing w:line="360" w:lineRule="auto"/>
        <w:rPr>
          <w:color w:val="auto"/>
          <w:szCs w:val="21"/>
        </w:rPr>
      </w:pPr>
      <w:r>
        <w:rPr>
          <w:color w:val="auto"/>
          <w:szCs w:val="21"/>
        </w:rPr>
        <w:t>粒度分布测试</w:t>
      </w:r>
      <w:r>
        <w:rPr>
          <w:rFonts w:hint="eastAsia"/>
          <w:color w:val="auto"/>
          <w:szCs w:val="21"/>
        </w:rPr>
        <w:t>用试样应符合下列规定：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应采用四分法将测试样缩分至300g~600g</w:t>
      </w:r>
      <w:r>
        <w:rPr>
          <w:rFonts w:hint="eastAsia"/>
          <w:color w:val="auto"/>
          <w:szCs w:val="21"/>
        </w:rPr>
        <w:t>；</w:t>
      </w:r>
    </w:p>
    <w:p>
      <w:pPr>
        <w:spacing w:line="360" w:lineRule="auto"/>
        <w:ind w:firstLine="420" w:firstLineChars="200"/>
        <w:rPr>
          <w:color w:val="auto"/>
          <w:szCs w:val="21"/>
        </w:rPr>
      </w:pPr>
      <w:r>
        <w:rPr>
          <w:rFonts w:hint="eastAsia"/>
          <w:color w:val="auto"/>
          <w:szCs w:val="21"/>
        </w:rPr>
        <w:t>2 应</w:t>
      </w:r>
      <w:r>
        <w:rPr>
          <w:color w:val="auto"/>
          <w:szCs w:val="21"/>
        </w:rPr>
        <w:t>准备规格为</w:t>
      </w:r>
      <w:r>
        <w:rPr>
          <w:i/>
          <w:iCs/>
          <w:color w:val="auto"/>
          <w:szCs w:val="21"/>
        </w:rPr>
        <w:t>φ</w:t>
      </w:r>
      <w:r>
        <w:rPr>
          <w:color w:val="auto"/>
          <w:szCs w:val="21"/>
        </w:rPr>
        <w:t>200×50-1.6×12.5/4×16的长方孔试验筛，测试试样过筛</w:t>
      </w:r>
      <w:r>
        <w:rPr>
          <w:rFonts w:hint="eastAsia"/>
          <w:color w:val="auto"/>
          <w:szCs w:val="21"/>
        </w:rPr>
        <w:t>时间宜为</w:t>
      </w:r>
      <w:r>
        <w:rPr>
          <w:color w:val="auto"/>
          <w:szCs w:val="21"/>
        </w:rPr>
        <w:t>60s，</w:t>
      </w:r>
      <w:r>
        <w:rPr>
          <w:rFonts w:hint="eastAsia"/>
          <w:color w:val="auto"/>
          <w:szCs w:val="21"/>
        </w:rPr>
        <w:t>取</w:t>
      </w:r>
      <w:r>
        <w:rPr>
          <w:color w:val="auto"/>
          <w:szCs w:val="21"/>
        </w:rPr>
        <w:t>筛上试样</w:t>
      </w:r>
      <w:r>
        <w:rPr>
          <w:rFonts w:hint="eastAsia"/>
          <w:color w:val="auto"/>
          <w:szCs w:val="21"/>
        </w:rPr>
        <w:t>为测试试样</w:t>
      </w:r>
      <w:r>
        <w:rPr>
          <w:color w:val="auto"/>
          <w:szCs w:val="21"/>
        </w:rPr>
        <w:t>。</w:t>
      </w:r>
    </w:p>
    <w:p>
      <w:pPr>
        <w:numPr>
          <w:ilvl w:val="0"/>
          <w:numId w:val="13"/>
        </w:numPr>
        <w:spacing w:line="360" w:lineRule="auto"/>
        <w:rPr>
          <w:color w:val="auto"/>
          <w:szCs w:val="21"/>
        </w:rPr>
      </w:pPr>
      <w:r>
        <w:rPr>
          <w:color w:val="auto"/>
          <w:szCs w:val="21"/>
        </w:rPr>
        <w:t>耐磨强度测试</w:t>
      </w:r>
      <w:r>
        <w:rPr>
          <w:rFonts w:hint="eastAsia"/>
          <w:color w:val="auto"/>
          <w:szCs w:val="21"/>
        </w:rPr>
        <w:t>用试样应符合下列规定：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应采用四分法将测试样缩分至50g～100g</w:t>
      </w:r>
      <w:r>
        <w:rPr>
          <w:rFonts w:hint="eastAsia"/>
          <w:color w:val="auto"/>
          <w:szCs w:val="21"/>
        </w:rPr>
        <w:t>；</w:t>
      </w:r>
    </w:p>
    <w:p>
      <w:pPr>
        <w:spacing w:line="360" w:lineRule="auto"/>
        <w:ind w:firstLine="420" w:firstLineChars="200"/>
        <w:rPr>
          <w:color w:val="auto"/>
          <w:szCs w:val="21"/>
        </w:rPr>
      </w:pPr>
      <w:r>
        <w:rPr>
          <w:rFonts w:hint="eastAsia"/>
          <w:color w:val="auto"/>
          <w:szCs w:val="21"/>
        </w:rPr>
        <w:t>2 应</w:t>
      </w:r>
      <w:r>
        <w:rPr>
          <w:color w:val="auto"/>
          <w:szCs w:val="21"/>
        </w:rPr>
        <w:t>准备规格为</w:t>
      </w:r>
      <w:r>
        <w:rPr>
          <w:i/>
          <w:iCs/>
          <w:color w:val="auto"/>
          <w:szCs w:val="21"/>
        </w:rPr>
        <w:t>φ</w:t>
      </w:r>
      <w:r>
        <w:rPr>
          <w:color w:val="auto"/>
          <w:szCs w:val="21"/>
        </w:rPr>
        <w:t>200×50-1.6×12.5/4×16的长方孔试验筛，测试试样过筛</w:t>
      </w:r>
      <w:r>
        <w:rPr>
          <w:rFonts w:hint="eastAsia"/>
          <w:color w:val="auto"/>
          <w:szCs w:val="21"/>
        </w:rPr>
        <w:t>时间宜为</w:t>
      </w:r>
      <w:r>
        <w:rPr>
          <w:color w:val="auto"/>
          <w:szCs w:val="21"/>
        </w:rPr>
        <w:t>60s，</w:t>
      </w:r>
      <w:r>
        <w:rPr>
          <w:rFonts w:hint="eastAsia"/>
          <w:color w:val="auto"/>
          <w:szCs w:val="21"/>
        </w:rPr>
        <w:t>取</w:t>
      </w:r>
      <w:r>
        <w:rPr>
          <w:color w:val="auto"/>
          <w:szCs w:val="21"/>
        </w:rPr>
        <w:t>筛上试样</w:t>
      </w:r>
      <w:r>
        <w:rPr>
          <w:rFonts w:hint="eastAsia"/>
          <w:color w:val="auto"/>
          <w:szCs w:val="21"/>
        </w:rPr>
        <w:t>为测试试样</w:t>
      </w:r>
      <w:r>
        <w:rPr>
          <w:color w:val="auto"/>
          <w:szCs w:val="21"/>
        </w:rPr>
        <w:t>。</w:t>
      </w:r>
    </w:p>
    <w:p>
      <w:pPr>
        <w:numPr>
          <w:ilvl w:val="0"/>
          <w:numId w:val="13"/>
        </w:numPr>
        <w:spacing w:line="360" w:lineRule="auto"/>
        <w:rPr>
          <w:color w:val="auto"/>
          <w:szCs w:val="21"/>
        </w:rPr>
      </w:pPr>
      <w:r>
        <w:rPr>
          <w:color w:val="auto"/>
          <w:szCs w:val="21"/>
        </w:rPr>
        <w:t>耐压强度测试</w:t>
      </w:r>
      <w:r>
        <w:rPr>
          <w:rFonts w:hint="eastAsia"/>
          <w:color w:val="auto"/>
          <w:szCs w:val="21"/>
        </w:rPr>
        <w:t>用试样应符合下列规定：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应采用四分法将测试样缩分至20粒～40粒</w:t>
      </w:r>
      <w:r>
        <w:rPr>
          <w:rFonts w:hint="eastAsia"/>
          <w:color w:val="auto"/>
          <w:szCs w:val="21"/>
        </w:rPr>
        <w:t>；</w:t>
      </w:r>
    </w:p>
    <w:p>
      <w:pPr>
        <w:tabs>
          <w:tab w:val="left" w:pos="0"/>
        </w:tabs>
        <w:spacing w:line="360" w:lineRule="auto"/>
        <w:ind w:firstLine="420" w:firstLineChars="200"/>
        <w:rPr>
          <w:color w:val="auto"/>
          <w:szCs w:val="21"/>
        </w:rPr>
      </w:pPr>
      <w:r>
        <w:rPr>
          <w:rFonts w:hint="eastAsia"/>
          <w:color w:val="auto"/>
          <w:szCs w:val="21"/>
        </w:rPr>
        <w:t>2 应</w:t>
      </w:r>
      <w:r>
        <w:rPr>
          <w:color w:val="auto"/>
          <w:szCs w:val="21"/>
        </w:rPr>
        <w:t>准备规格为</w:t>
      </w:r>
      <w:r>
        <w:rPr>
          <w:i/>
          <w:iCs/>
          <w:color w:val="auto"/>
          <w:szCs w:val="21"/>
        </w:rPr>
        <w:t>φ</w:t>
      </w:r>
      <w:r>
        <w:rPr>
          <w:color w:val="auto"/>
          <w:szCs w:val="21"/>
        </w:rPr>
        <w:t>200×50-6.3×25/11×32和</w:t>
      </w:r>
      <w:r>
        <w:rPr>
          <w:i/>
          <w:iCs/>
          <w:color w:val="auto"/>
          <w:szCs w:val="21"/>
        </w:rPr>
        <w:t>φ</w:t>
      </w:r>
      <w:r>
        <w:rPr>
          <w:color w:val="auto"/>
          <w:szCs w:val="21"/>
        </w:rPr>
        <w:t>200×50-10×32/16×40的长方孔试验筛，测试试样过筛</w:t>
      </w:r>
      <w:r>
        <w:rPr>
          <w:rFonts w:hint="eastAsia"/>
          <w:color w:val="auto"/>
          <w:szCs w:val="21"/>
        </w:rPr>
        <w:t>时间宜为</w:t>
      </w:r>
      <w:r>
        <w:rPr>
          <w:color w:val="auto"/>
          <w:szCs w:val="21"/>
        </w:rPr>
        <w:t>60s</w:t>
      </w:r>
      <w:r>
        <w:rPr>
          <w:rFonts w:hint="eastAsia"/>
          <w:color w:val="auto"/>
          <w:szCs w:val="21"/>
        </w:rPr>
        <w:t>；</w:t>
      </w:r>
    </w:p>
    <w:p>
      <w:pPr>
        <w:spacing w:line="360" w:lineRule="auto"/>
        <w:ind w:firstLine="420" w:firstLineChars="200"/>
        <w:rPr>
          <w:color w:val="auto"/>
          <w:szCs w:val="21"/>
        </w:rPr>
      </w:pPr>
      <w:r>
        <w:rPr>
          <w:rFonts w:hint="eastAsia"/>
          <w:color w:val="auto"/>
          <w:szCs w:val="21"/>
        </w:rPr>
        <w:t>3 应取</w:t>
      </w:r>
      <w:r>
        <w:rPr>
          <w:i/>
          <w:iCs/>
          <w:color w:val="auto"/>
          <w:szCs w:val="21"/>
        </w:rPr>
        <w:t>φ</w:t>
      </w:r>
      <w:r>
        <w:rPr>
          <w:color w:val="auto"/>
          <w:szCs w:val="21"/>
        </w:rPr>
        <w:t>200×50-6.3×25/11×32</w:t>
      </w:r>
      <w:r>
        <w:rPr>
          <w:rFonts w:hint="eastAsia"/>
          <w:color w:val="auto"/>
          <w:szCs w:val="21"/>
        </w:rPr>
        <w:t>的</w:t>
      </w:r>
      <w:r>
        <w:rPr>
          <w:color w:val="auto"/>
          <w:szCs w:val="21"/>
        </w:rPr>
        <w:t>筛上试样</w:t>
      </w:r>
      <w:r>
        <w:rPr>
          <w:rFonts w:hint="eastAsia"/>
          <w:color w:val="auto"/>
          <w:szCs w:val="21"/>
        </w:rPr>
        <w:t>为测试试样</w:t>
      </w:r>
      <w:r>
        <w:rPr>
          <w:color w:val="auto"/>
          <w:szCs w:val="21"/>
        </w:rPr>
        <w:t>。</w:t>
      </w:r>
    </w:p>
    <w:p>
      <w:pPr>
        <w:numPr>
          <w:ilvl w:val="0"/>
          <w:numId w:val="13"/>
        </w:numPr>
        <w:spacing w:line="360" w:lineRule="auto"/>
        <w:rPr>
          <w:color w:val="auto"/>
          <w:szCs w:val="21"/>
        </w:rPr>
      </w:pPr>
      <w:r>
        <w:rPr>
          <w:color w:val="auto"/>
          <w:szCs w:val="21"/>
        </w:rPr>
        <w:t>着火点测试</w:t>
      </w:r>
      <w:r>
        <w:rPr>
          <w:rFonts w:hint="eastAsia"/>
          <w:color w:val="auto"/>
          <w:szCs w:val="21"/>
        </w:rPr>
        <w:t>用试样应符合下列规定：</w:t>
      </w:r>
    </w:p>
    <w:p>
      <w:pPr>
        <w:tabs>
          <w:tab w:val="left" w:pos="0"/>
        </w:tabs>
        <w:spacing w:line="360" w:lineRule="auto"/>
        <w:ind w:firstLine="420" w:firstLineChars="200"/>
        <w:rPr>
          <w:color w:val="auto"/>
          <w:szCs w:val="21"/>
        </w:rPr>
      </w:pPr>
      <w:r>
        <w:rPr>
          <w:rFonts w:hint="eastAsia"/>
          <w:color w:val="auto"/>
          <w:szCs w:val="21"/>
        </w:rPr>
        <w:t xml:space="preserve">1 </w:t>
      </w:r>
      <w:r>
        <w:rPr>
          <w:color w:val="auto"/>
          <w:szCs w:val="21"/>
        </w:rPr>
        <w:t>应采用四分法将测试试样缩分至15g~30g</w:t>
      </w:r>
      <w:r>
        <w:rPr>
          <w:rFonts w:hint="eastAsia"/>
          <w:color w:val="auto"/>
          <w:szCs w:val="21"/>
        </w:rPr>
        <w:t>；</w:t>
      </w:r>
    </w:p>
    <w:p>
      <w:pPr>
        <w:spacing w:line="360" w:lineRule="auto"/>
        <w:ind w:firstLine="420" w:firstLineChars="200"/>
        <w:rPr>
          <w:color w:val="auto"/>
          <w:szCs w:val="21"/>
        </w:rPr>
      </w:pPr>
      <w:r>
        <w:rPr>
          <w:rFonts w:hint="eastAsia"/>
          <w:color w:val="auto"/>
          <w:szCs w:val="21"/>
        </w:rPr>
        <w:t>2 应</w:t>
      </w:r>
      <w:r>
        <w:rPr>
          <w:color w:val="auto"/>
          <w:szCs w:val="21"/>
        </w:rPr>
        <w:t>准备规格为</w:t>
      </w:r>
      <w:r>
        <w:rPr>
          <w:i/>
          <w:iCs/>
          <w:color w:val="auto"/>
          <w:szCs w:val="21"/>
        </w:rPr>
        <w:t>φ</w:t>
      </w:r>
      <w:r>
        <w:rPr>
          <w:color w:val="auto"/>
          <w:szCs w:val="21"/>
        </w:rPr>
        <w:t>200×50-1.6×12.5/4×16的长方孔试验筛</w:t>
      </w:r>
      <w:r>
        <w:rPr>
          <w:rFonts w:hint="eastAsia"/>
          <w:color w:val="auto"/>
          <w:szCs w:val="21"/>
        </w:rPr>
        <w:t>，</w:t>
      </w:r>
      <w:r>
        <w:rPr>
          <w:color w:val="auto"/>
          <w:szCs w:val="21"/>
        </w:rPr>
        <w:t>测试试样过筛</w:t>
      </w:r>
      <w:r>
        <w:rPr>
          <w:rFonts w:hint="eastAsia"/>
          <w:color w:val="auto"/>
          <w:szCs w:val="21"/>
        </w:rPr>
        <w:t>时间宜为</w:t>
      </w:r>
      <w:r>
        <w:rPr>
          <w:color w:val="auto"/>
          <w:szCs w:val="21"/>
        </w:rPr>
        <w:t>60s，</w:t>
      </w:r>
      <w:r>
        <w:rPr>
          <w:rFonts w:hint="eastAsia"/>
          <w:color w:val="auto"/>
          <w:szCs w:val="21"/>
        </w:rPr>
        <w:t>取</w:t>
      </w:r>
      <w:r>
        <w:rPr>
          <w:color w:val="auto"/>
          <w:szCs w:val="21"/>
        </w:rPr>
        <w:t>筛上试样</w:t>
      </w:r>
      <w:r>
        <w:rPr>
          <w:rFonts w:hint="eastAsia"/>
          <w:color w:val="auto"/>
          <w:szCs w:val="21"/>
        </w:rPr>
        <w:t>为测试试样</w:t>
      </w:r>
      <w:r>
        <w:rPr>
          <w:color w:val="auto"/>
          <w:szCs w:val="21"/>
        </w:rPr>
        <w:t>。</w:t>
      </w:r>
    </w:p>
    <w:p>
      <w:pPr>
        <w:numPr>
          <w:ilvl w:val="0"/>
          <w:numId w:val="13"/>
        </w:numPr>
        <w:spacing w:line="360" w:lineRule="auto"/>
        <w:rPr>
          <w:color w:val="auto"/>
          <w:szCs w:val="21"/>
        </w:rPr>
      </w:pPr>
      <w:r>
        <w:rPr>
          <w:color w:val="auto"/>
          <w:szCs w:val="21"/>
        </w:rPr>
        <w:t>水分测试应采用四分法将样品缩分至20g~40g，</w:t>
      </w:r>
      <w:r>
        <w:rPr>
          <w:rFonts w:hint="eastAsia"/>
          <w:color w:val="auto"/>
          <w:szCs w:val="21"/>
        </w:rPr>
        <w:t>应</w:t>
      </w:r>
      <w:r>
        <w:rPr>
          <w:color w:val="auto"/>
          <w:szCs w:val="21"/>
        </w:rPr>
        <w:t>取出（20±1）g试样</w:t>
      </w:r>
      <w:r>
        <w:rPr>
          <w:rFonts w:hint="eastAsia"/>
          <w:color w:val="auto"/>
          <w:szCs w:val="21"/>
        </w:rPr>
        <w:t>为测试试样</w:t>
      </w:r>
      <w:r>
        <w:rPr>
          <w:color w:val="auto"/>
          <w:szCs w:val="21"/>
        </w:rPr>
        <w:t>，</w:t>
      </w:r>
      <w:r>
        <w:rPr>
          <w:rFonts w:hint="eastAsia"/>
          <w:color w:val="auto"/>
          <w:szCs w:val="21"/>
        </w:rPr>
        <w:t>且应</w:t>
      </w:r>
      <w:r>
        <w:rPr>
          <w:color w:val="auto"/>
          <w:szCs w:val="21"/>
        </w:rPr>
        <w:t>精确至0.01g。</w:t>
      </w:r>
    </w:p>
    <w:p>
      <w:pPr>
        <w:numPr>
          <w:ilvl w:val="0"/>
          <w:numId w:val="13"/>
        </w:numPr>
        <w:spacing w:line="360" w:lineRule="auto"/>
        <w:rPr>
          <w:color w:val="auto"/>
          <w:szCs w:val="21"/>
        </w:rPr>
      </w:pPr>
      <w:r>
        <w:rPr>
          <w:color w:val="auto"/>
          <w:szCs w:val="21"/>
        </w:rPr>
        <w:t>灰分和挥发分测试应采用四分法将样品缩分至20g~40g，</w:t>
      </w:r>
      <w:r>
        <w:rPr>
          <w:rFonts w:hint="eastAsia"/>
          <w:color w:val="auto"/>
          <w:szCs w:val="21"/>
        </w:rPr>
        <w:t>并应</w:t>
      </w:r>
      <w:r>
        <w:rPr>
          <w:color w:val="auto"/>
          <w:szCs w:val="21"/>
        </w:rPr>
        <w:t>将样品破碎至粒径小于1mm。</w:t>
      </w:r>
    </w:p>
    <w:p>
      <w:pPr>
        <w:numPr>
          <w:ilvl w:val="0"/>
          <w:numId w:val="13"/>
        </w:numPr>
        <w:spacing w:line="360" w:lineRule="auto"/>
        <w:rPr>
          <w:color w:val="auto"/>
          <w:szCs w:val="21"/>
        </w:rPr>
      </w:pPr>
      <w:r>
        <w:rPr>
          <w:color w:val="auto"/>
          <w:szCs w:val="21"/>
        </w:rPr>
        <w:t>水容量测试应采用四分法将样品缩分至50g~100g。</w:t>
      </w:r>
    </w:p>
    <w:p>
      <w:pPr>
        <w:numPr>
          <w:ilvl w:val="0"/>
          <w:numId w:val="13"/>
        </w:numPr>
        <w:spacing w:line="360" w:lineRule="auto"/>
        <w:rPr>
          <w:color w:val="auto"/>
          <w:szCs w:val="21"/>
        </w:rPr>
      </w:pPr>
      <w:r>
        <w:rPr>
          <w:color w:val="auto"/>
          <w:szCs w:val="21"/>
        </w:rPr>
        <w:t>SO</w:t>
      </w:r>
      <w:r>
        <w:rPr>
          <w:color w:val="auto"/>
          <w:szCs w:val="21"/>
          <w:vertAlign w:val="subscript"/>
        </w:rPr>
        <w:t>2</w:t>
      </w:r>
      <w:r>
        <w:rPr>
          <w:color w:val="auto"/>
          <w:szCs w:val="21"/>
        </w:rPr>
        <w:t>吸附值和SO</w:t>
      </w:r>
      <w:r>
        <w:rPr>
          <w:color w:val="auto"/>
          <w:szCs w:val="21"/>
          <w:vertAlign w:val="subscript"/>
        </w:rPr>
        <w:t>2</w:t>
      </w:r>
      <w:r>
        <w:rPr>
          <w:color w:val="auto"/>
          <w:szCs w:val="21"/>
        </w:rPr>
        <w:t>循环吸附值测试应采用四分法将样品缩分至300g~350g。</w:t>
      </w:r>
    </w:p>
    <w:p>
      <w:pPr>
        <w:numPr>
          <w:ilvl w:val="0"/>
          <w:numId w:val="13"/>
        </w:numPr>
        <w:spacing w:line="360" w:lineRule="auto"/>
        <w:rPr>
          <w:color w:val="auto"/>
          <w:szCs w:val="21"/>
        </w:rPr>
      </w:pPr>
      <w:r>
        <w:rPr>
          <w:color w:val="auto"/>
          <w:szCs w:val="21"/>
        </w:rPr>
        <w:t>脱硝率和循环脱硫脱硝性能测试应采用四分法将样品缩分至1.1L~1.2L。</w:t>
      </w:r>
    </w:p>
    <w:p>
      <w:pPr>
        <w:numPr>
          <w:ilvl w:val="0"/>
          <w:numId w:val="13"/>
        </w:numPr>
        <w:spacing w:line="360" w:lineRule="auto"/>
        <w:rPr>
          <w:color w:val="auto"/>
          <w:szCs w:val="21"/>
        </w:rPr>
      </w:pPr>
      <w:r>
        <w:rPr>
          <w:color w:val="auto"/>
          <w:szCs w:val="21"/>
        </w:rPr>
        <w:t>脱硫测试气源部分应包括氧气、二氧化硫、氮气和去离子水</w:t>
      </w:r>
      <w:r>
        <w:rPr>
          <w:rFonts w:hint="eastAsia"/>
          <w:color w:val="auto"/>
          <w:szCs w:val="21"/>
        </w:rPr>
        <w:t>，</w:t>
      </w:r>
      <w:r>
        <w:rPr>
          <w:color w:val="auto"/>
          <w:szCs w:val="21"/>
        </w:rPr>
        <w:t>脱硝测试气源部分应包括氧气、一氧化氮、氨气、氮气和去离子水</w:t>
      </w:r>
      <w:r>
        <w:rPr>
          <w:rFonts w:hint="eastAsia"/>
          <w:color w:val="auto"/>
          <w:szCs w:val="21"/>
        </w:rPr>
        <w:t>，且应符合下列规定：</w:t>
      </w:r>
    </w:p>
    <w:p>
      <w:pPr>
        <w:spacing w:line="360" w:lineRule="auto"/>
        <w:ind w:firstLine="420" w:firstLineChars="200"/>
        <w:rPr>
          <w:color w:val="auto"/>
          <w:szCs w:val="21"/>
        </w:rPr>
      </w:pPr>
      <w:r>
        <w:rPr>
          <w:rFonts w:hint="eastAsia"/>
          <w:color w:val="auto"/>
          <w:szCs w:val="21"/>
        </w:rPr>
        <w:t xml:space="preserve">1 </w:t>
      </w:r>
      <w:r>
        <w:rPr>
          <w:color w:val="auto"/>
          <w:szCs w:val="21"/>
        </w:rPr>
        <w:t>氧气的纯度不应小于99.995 %（体积分数）</w:t>
      </w:r>
      <w:r>
        <w:rPr>
          <w:rFonts w:hint="eastAsia"/>
          <w:color w:val="auto"/>
          <w:szCs w:val="21"/>
        </w:rPr>
        <w:t>；</w:t>
      </w:r>
    </w:p>
    <w:p>
      <w:pPr>
        <w:spacing w:line="360" w:lineRule="auto"/>
        <w:ind w:firstLine="420" w:firstLineChars="200"/>
        <w:rPr>
          <w:color w:val="auto"/>
          <w:szCs w:val="21"/>
        </w:rPr>
      </w:pPr>
      <w:r>
        <w:rPr>
          <w:rFonts w:hint="eastAsia"/>
          <w:color w:val="auto"/>
          <w:szCs w:val="21"/>
        </w:rPr>
        <w:t xml:space="preserve">2 </w:t>
      </w:r>
      <w:r>
        <w:rPr>
          <w:color w:val="auto"/>
          <w:szCs w:val="21"/>
        </w:rPr>
        <w:t>氮气的纯度不应小于99.99 %（体积分数）</w:t>
      </w:r>
      <w:r>
        <w:rPr>
          <w:rFonts w:hint="eastAsia"/>
          <w:color w:val="auto"/>
          <w:szCs w:val="21"/>
        </w:rPr>
        <w:t>；</w:t>
      </w:r>
    </w:p>
    <w:p>
      <w:pPr>
        <w:spacing w:line="360" w:lineRule="auto"/>
        <w:ind w:firstLine="420" w:firstLineChars="200"/>
        <w:rPr>
          <w:color w:val="auto"/>
          <w:szCs w:val="21"/>
        </w:rPr>
      </w:pPr>
      <w:r>
        <w:rPr>
          <w:rFonts w:hint="eastAsia"/>
          <w:color w:val="auto"/>
          <w:szCs w:val="21"/>
        </w:rPr>
        <w:t xml:space="preserve">3 </w:t>
      </w:r>
      <w:r>
        <w:rPr>
          <w:color w:val="auto"/>
          <w:szCs w:val="21"/>
        </w:rPr>
        <w:t>去离子水的纯度应达到分析实验室用水三级水标准及以上</w:t>
      </w:r>
      <w:r>
        <w:rPr>
          <w:rFonts w:hint="eastAsia"/>
          <w:color w:val="auto"/>
          <w:szCs w:val="21"/>
        </w:rPr>
        <w:t>；</w:t>
      </w:r>
    </w:p>
    <w:p>
      <w:pPr>
        <w:spacing w:line="360" w:lineRule="auto"/>
        <w:ind w:firstLine="420" w:firstLineChars="200"/>
        <w:rPr>
          <w:color w:val="auto"/>
          <w:szCs w:val="21"/>
        </w:rPr>
      </w:pPr>
      <w:r>
        <w:rPr>
          <w:rFonts w:hint="eastAsia"/>
          <w:color w:val="auto"/>
          <w:szCs w:val="21"/>
        </w:rPr>
        <w:t xml:space="preserve">4 </w:t>
      </w:r>
      <w:r>
        <w:rPr>
          <w:color w:val="auto"/>
          <w:szCs w:val="21"/>
        </w:rPr>
        <w:t>二氧化硫宜采用(2±0.1) %（体积分数）标气</w:t>
      </w:r>
      <w:r>
        <w:rPr>
          <w:rFonts w:hint="eastAsia"/>
          <w:color w:val="auto"/>
          <w:szCs w:val="21"/>
        </w:rPr>
        <w:t>；</w:t>
      </w:r>
    </w:p>
    <w:p>
      <w:pPr>
        <w:spacing w:line="360" w:lineRule="auto"/>
        <w:ind w:firstLine="420" w:firstLineChars="200"/>
        <w:rPr>
          <w:color w:val="auto"/>
          <w:szCs w:val="21"/>
        </w:rPr>
      </w:pPr>
      <w:r>
        <w:rPr>
          <w:rFonts w:hint="eastAsia"/>
          <w:color w:val="auto"/>
          <w:szCs w:val="21"/>
        </w:rPr>
        <w:t xml:space="preserve">5 </w:t>
      </w:r>
      <w:r>
        <w:rPr>
          <w:color w:val="auto"/>
          <w:szCs w:val="21"/>
        </w:rPr>
        <w:t>一氧化氮宜采用(2±0.1) %（体积分数）标气。</w:t>
      </w:r>
    </w:p>
    <w:p>
      <w:pPr>
        <w:spacing w:line="360" w:lineRule="auto"/>
        <w:ind w:firstLine="420" w:firstLineChars="200"/>
        <w:rPr>
          <w:color w:val="auto"/>
          <w:szCs w:val="21"/>
        </w:rPr>
      </w:pPr>
      <w:r>
        <w:rPr>
          <w:rFonts w:hint="eastAsia"/>
          <w:color w:val="auto"/>
          <w:szCs w:val="21"/>
        </w:rPr>
        <w:t xml:space="preserve">6 </w:t>
      </w:r>
      <w:r>
        <w:rPr>
          <w:color w:val="auto"/>
          <w:szCs w:val="21"/>
        </w:rPr>
        <w:t>氨气宜采用(2±0.1) %（体积分数）标气。</w:t>
      </w:r>
    </w:p>
    <w:p>
      <w:pPr>
        <w:numPr>
          <w:ilvl w:val="0"/>
          <w:numId w:val="13"/>
        </w:numPr>
        <w:spacing w:line="360" w:lineRule="auto"/>
        <w:rPr>
          <w:color w:val="auto"/>
          <w:szCs w:val="21"/>
        </w:rPr>
      </w:pPr>
      <w:r>
        <w:rPr>
          <w:color w:val="auto"/>
          <w:szCs w:val="21"/>
        </w:rPr>
        <w:t>除水分测试</w:t>
      </w:r>
      <w:r>
        <w:rPr>
          <w:rFonts w:hint="eastAsia"/>
          <w:color w:val="auto"/>
          <w:szCs w:val="21"/>
        </w:rPr>
        <w:t>外</w:t>
      </w:r>
      <w:r>
        <w:rPr>
          <w:color w:val="auto"/>
          <w:szCs w:val="21"/>
        </w:rPr>
        <w:t>，其他性能测试样品均应置于150℃电热鼓风干燥箱中干燥2h</w:t>
      </w:r>
      <w:r>
        <w:rPr>
          <w:rFonts w:hint="eastAsia"/>
          <w:color w:val="auto"/>
          <w:szCs w:val="21"/>
        </w:rPr>
        <w:t>后</w:t>
      </w:r>
      <w:r>
        <w:rPr>
          <w:color w:val="auto"/>
          <w:szCs w:val="21"/>
        </w:rPr>
        <w:t>再放入干燥器中冷却至常温备用。</w:t>
      </w:r>
    </w:p>
    <w:p>
      <w:pPr>
        <w:tabs>
          <w:tab w:val="left" w:pos="0"/>
        </w:tabs>
        <w:spacing w:line="360" w:lineRule="auto"/>
        <w:rPr>
          <w:color w:val="auto"/>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81" w:name="_Toc26639"/>
      <w:bookmarkStart w:id="82" w:name="_Toc19473"/>
      <w:bookmarkStart w:id="83" w:name="_Toc14247"/>
      <w:bookmarkStart w:id="84" w:name="_Toc15295"/>
      <w:bookmarkStart w:id="85" w:name="_Toc27067"/>
      <w:r>
        <w:rPr>
          <w:color w:val="auto"/>
          <w:sz w:val="28"/>
          <w:szCs w:val="28"/>
        </w:rPr>
        <w:t>6 测试及计算</w:t>
      </w:r>
      <w:bookmarkEnd w:id="81"/>
      <w:bookmarkEnd w:id="82"/>
      <w:bookmarkEnd w:id="83"/>
      <w:bookmarkEnd w:id="84"/>
      <w:bookmarkEnd w:id="85"/>
    </w:p>
    <w:p>
      <w:pPr>
        <w:pStyle w:val="3"/>
        <w:spacing w:beforeLines="50" w:afterLines="50" w:line="360" w:lineRule="auto"/>
        <w:jc w:val="center"/>
        <w:rPr>
          <w:rFonts w:ascii="Times New Roman" w:hAnsi="Times New Roman" w:eastAsia="宋体"/>
          <w:b w:val="0"/>
          <w:color w:val="auto"/>
          <w:sz w:val="24"/>
          <w:szCs w:val="24"/>
        </w:rPr>
      </w:pPr>
      <w:bookmarkStart w:id="86" w:name="_Toc9058"/>
      <w:bookmarkStart w:id="87" w:name="_Toc16030"/>
      <w:bookmarkStart w:id="88" w:name="_Toc7075"/>
      <w:bookmarkStart w:id="89" w:name="_Toc1516"/>
      <w:bookmarkStart w:id="90" w:name="_Toc30977"/>
      <w:r>
        <w:rPr>
          <w:rFonts w:ascii="Times New Roman" w:hAnsi="Times New Roman" w:eastAsia="宋体"/>
          <w:b w:val="0"/>
          <w:color w:val="auto"/>
          <w:sz w:val="24"/>
          <w:szCs w:val="24"/>
        </w:rPr>
        <w:t>6.1 堆积密度</w:t>
      </w:r>
      <w:bookmarkEnd w:id="86"/>
      <w:bookmarkEnd w:id="87"/>
      <w:bookmarkEnd w:id="88"/>
    </w:p>
    <w:p>
      <w:pPr>
        <w:numPr>
          <w:ilvl w:val="0"/>
          <w:numId w:val="14"/>
        </w:numPr>
        <w:spacing w:line="360" w:lineRule="auto"/>
        <w:rPr>
          <w:color w:val="auto"/>
          <w:szCs w:val="21"/>
        </w:rPr>
      </w:pPr>
      <w:r>
        <w:rPr>
          <w:color w:val="auto"/>
          <w:szCs w:val="21"/>
        </w:rPr>
        <w:t>测试</w:t>
      </w:r>
      <w:r>
        <w:rPr>
          <w:rFonts w:hint="eastAsia"/>
          <w:color w:val="auto"/>
          <w:szCs w:val="21"/>
        </w:rPr>
        <w:t>用直口锥形瓶容积计算应符合下列规定：</w:t>
      </w:r>
    </w:p>
    <w:p>
      <w:pPr>
        <w:numPr>
          <w:ilvl w:val="0"/>
          <w:numId w:val="15"/>
        </w:numPr>
        <w:tabs>
          <w:tab w:val="clear" w:pos="0"/>
        </w:tabs>
        <w:spacing w:line="360" w:lineRule="auto"/>
        <w:ind w:firstLine="420" w:firstLineChars="200"/>
        <w:rPr>
          <w:color w:val="auto"/>
          <w:szCs w:val="21"/>
        </w:rPr>
      </w:pPr>
      <w:r>
        <w:rPr>
          <w:rFonts w:hint="eastAsia"/>
          <w:color w:val="auto"/>
          <w:szCs w:val="21"/>
        </w:rPr>
        <w:t>应将</w:t>
      </w:r>
      <w:r>
        <w:rPr>
          <w:color w:val="auto"/>
          <w:szCs w:val="21"/>
        </w:rPr>
        <w:t>直口锥形瓶盛满去离子水或蒸馏水</w:t>
      </w:r>
      <w:r>
        <w:rPr>
          <w:rFonts w:hint="eastAsia"/>
          <w:color w:val="auto"/>
          <w:szCs w:val="21"/>
        </w:rPr>
        <w:t>后</w:t>
      </w:r>
      <w:r>
        <w:rPr>
          <w:color w:val="auto"/>
          <w:szCs w:val="21"/>
        </w:rPr>
        <w:t>用称重法得到水的质量</w:t>
      </w:r>
      <w:r>
        <w:rPr>
          <w:rFonts w:hint="eastAsia"/>
          <w:color w:val="auto"/>
          <w:szCs w:val="21"/>
        </w:rPr>
        <w:t>；</w:t>
      </w:r>
    </w:p>
    <w:p>
      <w:pPr>
        <w:numPr>
          <w:ilvl w:val="0"/>
          <w:numId w:val="15"/>
        </w:numPr>
        <w:tabs>
          <w:tab w:val="clear" w:pos="0"/>
        </w:tabs>
        <w:spacing w:line="360" w:lineRule="auto"/>
        <w:ind w:firstLine="420" w:firstLineChars="200"/>
        <w:rPr>
          <w:color w:val="auto"/>
          <w:szCs w:val="21"/>
        </w:rPr>
      </w:pPr>
      <w:r>
        <w:rPr>
          <w:color w:val="auto"/>
          <w:szCs w:val="21"/>
        </w:rPr>
        <w:t>直口锥形瓶容积</w:t>
      </w:r>
      <w:r>
        <w:rPr>
          <w:rFonts w:hint="eastAsia"/>
          <w:color w:val="auto"/>
          <w:szCs w:val="21"/>
        </w:rPr>
        <w:t>应按下式进行计算：</w:t>
      </w:r>
    </w:p>
    <w:p>
      <w:pPr>
        <w:spacing w:line="360" w:lineRule="auto"/>
        <w:ind w:left="420" w:leftChars="200" w:firstLine="3150" w:firstLineChars="1500"/>
        <w:rPr>
          <w:color w:val="auto"/>
        </w:rPr>
      </w:pPr>
      <w:r>
        <w:rPr>
          <w:color w:val="auto"/>
          <w:position w:val="-32"/>
          <w:szCs w:val="21"/>
        </w:rPr>
        <w:object>
          <v:shape id="_x0000_i1026" o:spt="75" type="#_x0000_t75" style="height:35.05pt;width:63.85pt;" o:ole="t" filled="f" o:preferrelative="t" stroked="f" coordsize="21600,21600">
            <v:path/>
            <v:fill on="f" focussize="0,0"/>
            <v:stroke on="f" joinstyle="miter"/>
            <v:imagedata r:id="rId35" o:title=""/>
            <o:lock v:ext="edit" aspectratio="t"/>
            <w10:wrap type="none"/>
            <w10:anchorlock/>
          </v:shape>
          <o:OLEObject Type="Embed" ProgID="Equations" ShapeID="_x0000_i1026" DrawAspect="Content" ObjectID="_1468075726" r:id="rId34">
            <o:LockedField>false</o:LockedField>
          </o:OLEObject>
        </w:object>
      </w:r>
      <w:r>
        <w:rPr>
          <w:color w:val="auto"/>
        </w:rPr>
        <w:t>……………………</w:t>
      </w:r>
      <w:r>
        <w:rPr>
          <w:rFonts w:hint="eastAsia"/>
          <w:color w:val="auto"/>
        </w:rPr>
        <w:t>................................................</w:t>
      </w:r>
      <w:r>
        <w:rPr>
          <w:color w:val="auto"/>
        </w:rPr>
        <w:t>(6.1</w:t>
      </w:r>
      <w:r>
        <w:rPr>
          <w:rFonts w:hint="eastAsia"/>
          <w:color w:val="auto"/>
        </w:rPr>
        <w:t>.1)</w:t>
      </w:r>
    </w:p>
    <w:p>
      <w:pPr>
        <w:keepLines/>
        <w:tabs>
          <w:tab w:val="left" w:pos="0"/>
        </w:tabs>
        <w:spacing w:line="360" w:lineRule="auto"/>
        <w:rPr>
          <w:color w:val="auto"/>
        </w:rPr>
      </w:pPr>
      <w:r>
        <w:rPr>
          <w:color w:val="auto"/>
        </w:rPr>
        <w:t>式中：</w:t>
      </w:r>
      <w:r>
        <w:rPr>
          <w:color w:val="auto"/>
          <w:position w:val="-10"/>
          <w:szCs w:val="21"/>
        </w:rPr>
        <w:object>
          <v:shape id="_x0000_i1027" o:spt="75" type="#_x0000_t75" style="height:13.15pt;width:18.15pt;" o:ole="t" filled="f" o:preferrelative="t" stroked="f" coordsize="21600,21600">
            <v:path/>
            <v:fill on="f" focussize="0,0"/>
            <v:stroke on="f" joinstyle="miter"/>
            <v:imagedata r:id="rId37" o:title=""/>
            <o:lock v:ext="edit" aspectratio="t"/>
            <w10:wrap type="none"/>
            <w10:anchorlock/>
          </v:shape>
          <o:OLEObject Type="Embed" ProgID="Equations" ShapeID="_x0000_i1027" DrawAspect="Content" ObjectID="_1468075727" r:id="rId36">
            <o:LockedField>false</o:LockedField>
          </o:OLEObject>
        </w:object>
      </w:r>
      <w:r>
        <w:rPr>
          <w:rFonts w:hint="eastAsia"/>
          <w:color w:val="auto"/>
          <w:position w:val="-10"/>
          <w:szCs w:val="21"/>
        </w:rPr>
        <w:t xml:space="preserve"> </w:t>
      </w:r>
      <w:r>
        <w:rPr>
          <w:color w:val="auto"/>
          <w:szCs w:val="21"/>
        </w:rPr>
        <w:t>——</w:t>
      </w:r>
      <w:r>
        <w:rPr>
          <w:rFonts w:hint="eastAsia"/>
          <w:color w:val="auto"/>
          <w:szCs w:val="21"/>
        </w:rPr>
        <w:t>水的</w:t>
      </w:r>
      <w:r>
        <w:rPr>
          <w:color w:val="auto"/>
        </w:rPr>
        <w:t>密度（</w:t>
      </w:r>
      <w:r>
        <w:rPr>
          <w:rFonts w:hint="eastAsia"/>
          <w:color w:val="auto"/>
        </w:rPr>
        <w:t xml:space="preserve">1000 </w:t>
      </w:r>
      <w:r>
        <w:rPr>
          <w:color w:val="auto"/>
        </w:rPr>
        <w:t>g/L）；</w:t>
      </w:r>
    </w:p>
    <w:p>
      <w:pPr>
        <w:keepLines/>
        <w:spacing w:line="360" w:lineRule="auto"/>
        <w:rPr>
          <w:color w:val="auto"/>
        </w:rPr>
      </w:pPr>
      <w:r>
        <w:rPr>
          <w:color w:val="auto"/>
          <w:szCs w:val="21"/>
        </w:rPr>
        <w:t xml:space="preserve">   </w:t>
      </w:r>
      <w:r>
        <w:rPr>
          <w:rFonts w:hint="eastAsia"/>
          <w:color w:val="auto"/>
          <w:szCs w:val="21"/>
        </w:rPr>
        <w:t xml:space="preserve">   </w:t>
      </w:r>
      <w:r>
        <w:rPr>
          <w:color w:val="auto"/>
          <w:position w:val="-12"/>
          <w:szCs w:val="21"/>
        </w:rPr>
        <w:object>
          <v:shape id="_x0000_i1028" o:spt="75" type="#_x0000_t75" style="height:19.4pt;width:19.4pt;" o:ole="t" filled="f" o:preferrelative="t" stroked="f" coordsize="21600,21600">
            <v:path/>
            <v:fill on="f" focussize="0,0"/>
            <v:stroke on="f" joinstyle="miter"/>
            <v:imagedata r:id="rId39" o:title=""/>
            <o:lock v:ext="edit" aspectratio="t"/>
            <w10:wrap type="none"/>
            <w10:anchorlock/>
          </v:shape>
          <o:OLEObject Type="Embed" ProgID="Equations" ShapeID="_x0000_i1028" DrawAspect="Content" ObjectID="_1468075728" r:id="rId38">
            <o:LockedField>false</o:LockedField>
          </o:OLEObject>
        </w:object>
      </w:r>
      <w:r>
        <w:rPr>
          <w:color w:val="auto"/>
          <w:szCs w:val="21"/>
        </w:rPr>
        <w:t>——</w:t>
      </w:r>
      <w:r>
        <w:rPr>
          <w:rFonts w:hint="eastAsia"/>
          <w:color w:val="auto"/>
          <w:szCs w:val="21"/>
        </w:rPr>
        <w:t>水的</w:t>
      </w:r>
      <w:r>
        <w:rPr>
          <w:color w:val="auto"/>
        </w:rPr>
        <w:t>质量（g）；</w:t>
      </w:r>
    </w:p>
    <w:p>
      <w:pPr>
        <w:keepLines/>
        <w:spacing w:line="360" w:lineRule="auto"/>
        <w:ind w:firstLine="210" w:firstLineChars="100"/>
        <w:rPr>
          <w:color w:val="auto"/>
        </w:rPr>
      </w:pPr>
      <w:r>
        <w:rPr>
          <w:color w:val="auto"/>
          <w:szCs w:val="21"/>
        </w:rPr>
        <w:t xml:space="preserve"> </w:t>
      </w:r>
      <w:r>
        <w:rPr>
          <w:rFonts w:hint="eastAsia"/>
          <w:color w:val="auto"/>
          <w:szCs w:val="21"/>
        </w:rPr>
        <w:t xml:space="preserve">  </w:t>
      </w:r>
      <w:r>
        <w:rPr>
          <w:color w:val="auto"/>
          <w:szCs w:val="21"/>
        </w:rPr>
        <w:t xml:space="preserve"> </w:t>
      </w:r>
      <w:r>
        <w:rPr>
          <w:color w:val="auto"/>
          <w:position w:val="-12"/>
          <w:szCs w:val="21"/>
        </w:rPr>
        <w:object>
          <v:shape id="_x0000_i1029" o:spt="75" type="#_x0000_t75" style="height:18.15pt;width:31.3pt;" o:ole="t" filled="f" o:preferrelative="t" stroked="f" coordsize="21600,21600">
            <v:path/>
            <v:fill on="f" focussize="0,0"/>
            <v:stroke on="f" joinstyle="miter"/>
            <v:imagedata r:id="rId41" o:title=""/>
            <o:lock v:ext="edit" aspectratio="t"/>
            <w10:wrap type="none"/>
            <w10:anchorlock/>
          </v:shape>
          <o:OLEObject Type="Embed" ProgID="Equations" ShapeID="_x0000_i1029" DrawAspect="Content" ObjectID="_1468075729" r:id="rId40">
            <o:LockedField>false</o:LockedField>
          </o:OLEObject>
        </w:object>
      </w:r>
      <w:r>
        <w:rPr>
          <w:color w:val="auto"/>
          <w:szCs w:val="21"/>
        </w:rPr>
        <w:t>——</w:t>
      </w:r>
      <w:r>
        <w:rPr>
          <w:color w:val="auto"/>
          <w:lang w:val="zh-CN"/>
        </w:rPr>
        <w:t>直口锥形瓶</w:t>
      </w:r>
      <w:r>
        <w:rPr>
          <w:color w:val="auto"/>
        </w:rPr>
        <w:t>容积（L）</w:t>
      </w:r>
      <w:r>
        <w:rPr>
          <w:rFonts w:hint="eastAsia"/>
          <w:color w:val="auto"/>
        </w:rPr>
        <w:t>，精确至</w:t>
      </w:r>
      <w:r>
        <w:rPr>
          <w:color w:val="auto"/>
          <w:szCs w:val="21"/>
        </w:rPr>
        <w:t>1ml</w:t>
      </w:r>
      <w:r>
        <w:rPr>
          <w:rFonts w:hint="eastAsia"/>
          <w:color w:val="auto"/>
        </w:rPr>
        <w:t>。</w:t>
      </w:r>
    </w:p>
    <w:p>
      <w:pPr>
        <w:numPr>
          <w:ilvl w:val="0"/>
          <w:numId w:val="14"/>
        </w:numPr>
        <w:spacing w:line="360" w:lineRule="auto"/>
        <w:rPr>
          <w:color w:val="auto"/>
          <w:szCs w:val="21"/>
        </w:rPr>
      </w:pPr>
      <w:r>
        <w:rPr>
          <w:color w:val="auto"/>
          <w:szCs w:val="21"/>
        </w:rPr>
        <w:t>测试</w:t>
      </w:r>
      <w:r>
        <w:rPr>
          <w:rFonts w:hint="eastAsia"/>
          <w:color w:val="auto"/>
          <w:szCs w:val="21"/>
        </w:rPr>
        <w:t>用试样质量</w:t>
      </w:r>
      <w:r>
        <w:rPr>
          <w:rFonts w:hint="eastAsia"/>
          <w:color w:val="auto"/>
          <w:szCs w:val="21"/>
        </w:rPr>
        <w:t>检测</w:t>
      </w:r>
      <w:r>
        <w:rPr>
          <w:rFonts w:hint="eastAsia"/>
          <w:color w:val="auto"/>
          <w:szCs w:val="21"/>
        </w:rPr>
        <w:t>应符合下列规定：</w:t>
      </w:r>
    </w:p>
    <w:p>
      <w:pPr>
        <w:spacing w:line="360" w:lineRule="auto"/>
        <w:ind w:left="420" w:leftChars="200"/>
        <w:rPr>
          <w:color w:val="auto"/>
          <w:szCs w:val="21"/>
        </w:rPr>
      </w:pPr>
      <w:r>
        <w:rPr>
          <w:rFonts w:hint="eastAsia"/>
          <w:color w:val="auto"/>
          <w:szCs w:val="21"/>
        </w:rPr>
        <w:t>1  应</w:t>
      </w:r>
      <w:r>
        <w:rPr>
          <w:color w:val="auto"/>
          <w:szCs w:val="21"/>
        </w:rPr>
        <w:t>将干燥的直口锥形瓶放置于垂直振动试验台，进料漏斗出料口</w:t>
      </w:r>
      <w:r>
        <w:rPr>
          <w:rFonts w:hint="eastAsia"/>
          <w:color w:val="auto"/>
          <w:szCs w:val="21"/>
        </w:rPr>
        <w:t>应</w:t>
      </w:r>
      <w:r>
        <w:rPr>
          <w:color w:val="auto"/>
          <w:szCs w:val="21"/>
        </w:rPr>
        <w:t>调整距锥形瓶20mm～30mm；</w:t>
      </w:r>
    </w:p>
    <w:p>
      <w:pPr>
        <w:spacing w:line="360" w:lineRule="auto"/>
        <w:ind w:left="420" w:leftChars="200"/>
        <w:rPr>
          <w:color w:val="auto"/>
          <w:szCs w:val="21"/>
        </w:rPr>
      </w:pPr>
      <w:r>
        <w:rPr>
          <w:rFonts w:hint="eastAsia"/>
          <w:color w:val="auto"/>
          <w:szCs w:val="21"/>
        </w:rPr>
        <w:t xml:space="preserve">2  </w:t>
      </w:r>
      <w:r>
        <w:rPr>
          <w:color w:val="auto"/>
          <w:szCs w:val="21"/>
        </w:rPr>
        <w:t>试样</w:t>
      </w:r>
      <w:r>
        <w:rPr>
          <w:rFonts w:hint="eastAsia"/>
          <w:color w:val="auto"/>
          <w:szCs w:val="21"/>
        </w:rPr>
        <w:t>应</w:t>
      </w:r>
      <w:r>
        <w:rPr>
          <w:color w:val="auto"/>
          <w:szCs w:val="21"/>
        </w:rPr>
        <w:t>缓慢倾入进料漏斗中并顺流至直口锥形瓶中</w:t>
      </w:r>
      <w:r>
        <w:rPr>
          <w:rFonts w:hint="eastAsia"/>
          <w:color w:val="auto"/>
          <w:szCs w:val="21"/>
        </w:rPr>
        <w:t>，当试样与</w:t>
      </w:r>
      <w:r>
        <w:rPr>
          <w:color w:val="auto"/>
          <w:szCs w:val="21"/>
        </w:rPr>
        <w:t>瓶口齐平</w:t>
      </w:r>
      <w:r>
        <w:rPr>
          <w:rFonts w:hint="eastAsia"/>
          <w:color w:val="auto"/>
          <w:szCs w:val="21"/>
        </w:rPr>
        <w:t>时应</w:t>
      </w:r>
      <w:r>
        <w:rPr>
          <w:color w:val="auto"/>
          <w:szCs w:val="21"/>
        </w:rPr>
        <w:t>取下进料漏斗；</w:t>
      </w:r>
    </w:p>
    <w:p>
      <w:pPr>
        <w:spacing w:line="360" w:lineRule="auto"/>
        <w:ind w:left="420" w:leftChars="200"/>
        <w:rPr>
          <w:color w:val="auto"/>
          <w:szCs w:val="21"/>
        </w:rPr>
      </w:pPr>
      <w:r>
        <w:rPr>
          <w:rFonts w:hint="eastAsia"/>
          <w:color w:val="auto"/>
          <w:szCs w:val="21"/>
        </w:rPr>
        <w:t xml:space="preserve">3  </w:t>
      </w:r>
      <w:r>
        <w:rPr>
          <w:color w:val="auto"/>
          <w:szCs w:val="21"/>
        </w:rPr>
        <w:t>启动垂直振动试验台</w:t>
      </w:r>
      <w:r>
        <w:rPr>
          <w:rFonts w:hint="eastAsia"/>
          <w:color w:val="auto"/>
          <w:szCs w:val="21"/>
        </w:rPr>
        <w:t>前应</w:t>
      </w:r>
      <w:r>
        <w:rPr>
          <w:color w:val="auto"/>
          <w:szCs w:val="21"/>
        </w:rPr>
        <w:t>用支架将直口锥形瓶固定，垂直振动</w:t>
      </w:r>
      <w:r>
        <w:rPr>
          <w:rFonts w:hint="eastAsia"/>
          <w:color w:val="auto"/>
          <w:szCs w:val="21"/>
        </w:rPr>
        <w:t>时间应为</w:t>
      </w:r>
      <w:r>
        <w:rPr>
          <w:color w:val="auto"/>
          <w:szCs w:val="21"/>
        </w:rPr>
        <w:t>2min；</w:t>
      </w:r>
    </w:p>
    <w:p>
      <w:pPr>
        <w:numPr>
          <w:ilvl w:val="0"/>
          <w:numId w:val="15"/>
        </w:numPr>
        <w:tabs>
          <w:tab w:val="clear" w:pos="0"/>
        </w:tabs>
        <w:spacing w:line="360" w:lineRule="auto"/>
        <w:ind w:firstLine="420" w:firstLineChars="200"/>
        <w:rPr>
          <w:color w:val="auto"/>
          <w:szCs w:val="21"/>
        </w:rPr>
      </w:pPr>
      <w:r>
        <w:rPr>
          <w:rFonts w:hint="eastAsia"/>
          <w:color w:val="auto"/>
          <w:szCs w:val="21"/>
        </w:rPr>
        <w:t>振动结束后应将</w:t>
      </w:r>
      <w:r>
        <w:rPr>
          <w:color w:val="auto"/>
          <w:szCs w:val="21"/>
        </w:rPr>
        <w:t>进料漏斗</w:t>
      </w:r>
      <w:r>
        <w:rPr>
          <w:rFonts w:hint="eastAsia"/>
          <w:color w:val="auto"/>
          <w:szCs w:val="21"/>
        </w:rPr>
        <w:t>装回并</w:t>
      </w:r>
      <w:r>
        <w:rPr>
          <w:color w:val="auto"/>
          <w:szCs w:val="21"/>
        </w:rPr>
        <w:t>继续装填试样至与瓶口齐平；</w:t>
      </w:r>
    </w:p>
    <w:p>
      <w:pPr>
        <w:numPr>
          <w:ilvl w:val="0"/>
          <w:numId w:val="15"/>
        </w:numPr>
        <w:tabs>
          <w:tab w:val="clear" w:pos="0"/>
        </w:tabs>
        <w:spacing w:line="360" w:lineRule="auto"/>
        <w:ind w:firstLine="420" w:firstLineChars="200"/>
        <w:rPr>
          <w:color w:val="auto"/>
          <w:szCs w:val="21"/>
        </w:rPr>
      </w:pPr>
      <w:r>
        <w:rPr>
          <w:rFonts w:hint="eastAsia"/>
          <w:color w:val="auto"/>
          <w:szCs w:val="21"/>
        </w:rPr>
        <w:t>取下</w:t>
      </w:r>
      <w:r>
        <w:rPr>
          <w:color w:val="auto"/>
          <w:szCs w:val="21"/>
        </w:rPr>
        <w:t>直口锥形瓶</w:t>
      </w:r>
      <w:r>
        <w:rPr>
          <w:rFonts w:hint="eastAsia"/>
          <w:color w:val="auto"/>
          <w:szCs w:val="21"/>
        </w:rPr>
        <w:t>后所测瓶内试样</w:t>
      </w:r>
      <w:r>
        <w:rPr>
          <w:color w:val="auto"/>
          <w:szCs w:val="21"/>
        </w:rPr>
        <w:t>质量</w:t>
      </w:r>
      <w:r>
        <w:rPr>
          <w:rFonts w:hint="eastAsia"/>
          <w:color w:val="auto"/>
          <w:szCs w:val="21"/>
        </w:rPr>
        <w:t>应</w:t>
      </w:r>
      <w:r>
        <w:rPr>
          <w:color w:val="auto"/>
          <w:szCs w:val="21"/>
        </w:rPr>
        <w:t>精确至0.01g。</w:t>
      </w:r>
    </w:p>
    <w:p>
      <w:pPr>
        <w:numPr>
          <w:ilvl w:val="0"/>
          <w:numId w:val="14"/>
        </w:numPr>
        <w:spacing w:line="360" w:lineRule="auto"/>
        <w:rPr>
          <w:color w:val="auto"/>
          <w:szCs w:val="21"/>
        </w:rPr>
      </w:pPr>
      <w:r>
        <w:rPr>
          <w:color w:val="auto"/>
          <w:szCs w:val="21"/>
        </w:rPr>
        <w:t>堆积密度应</w:t>
      </w:r>
      <w:r>
        <w:rPr>
          <w:rFonts w:hint="eastAsia"/>
          <w:color w:val="auto"/>
          <w:szCs w:val="21"/>
        </w:rPr>
        <w:t>根据本标准第6.1.1条所测直口锥形瓶容积和第6.1.2条所测试样质量</w:t>
      </w:r>
      <w:r>
        <w:rPr>
          <w:color w:val="auto"/>
          <w:szCs w:val="21"/>
        </w:rPr>
        <w:t>按下式进行计算：</w:t>
      </w:r>
    </w:p>
    <w:p>
      <w:pPr>
        <w:keepLines/>
        <w:tabs>
          <w:tab w:val="left" w:pos="0"/>
        </w:tabs>
        <w:spacing w:line="360" w:lineRule="auto"/>
        <w:jc w:val="right"/>
        <w:rPr>
          <w:color w:val="auto"/>
          <w:szCs w:val="21"/>
        </w:rPr>
      </w:pPr>
      <w:r>
        <w:rPr>
          <w:color w:val="auto"/>
          <w:position w:val="-32"/>
          <w:szCs w:val="21"/>
        </w:rPr>
        <w:object>
          <v:shape id="_x0000_i1030" o:spt="75" type="#_x0000_t75" style="height:36.95pt;width:54.45pt;" o:ole="t" filled="f" o:preferrelative="t" stroked="f" coordsize="21600,21600">
            <v:path/>
            <v:fill on="f" focussize="0,0"/>
            <v:stroke on="f" joinstyle="miter"/>
            <v:imagedata r:id="rId43" o:title=""/>
            <o:lock v:ext="edit" aspectratio="t"/>
            <w10:wrap type="none"/>
            <w10:anchorlock/>
          </v:shape>
          <o:OLEObject Type="Embed" ProgID="Equations" ShapeID="_x0000_i1030" DrawAspect="Content" ObjectID="_1468075730" r:id="rId42">
            <o:LockedField>false</o:LockedField>
          </o:OLEObject>
        </w:object>
      </w:r>
      <w:r>
        <w:rPr>
          <w:color w:val="auto"/>
        </w:rPr>
        <w:t>…………………………………………………………(6.1.</w:t>
      </w:r>
      <w:r>
        <w:rPr>
          <w:rFonts w:hint="eastAsia"/>
          <w:color w:val="auto"/>
        </w:rPr>
        <w:t>3</w:t>
      </w:r>
      <w:r>
        <w:rPr>
          <w:color w:val="auto"/>
        </w:rPr>
        <w:t>)</w:t>
      </w:r>
    </w:p>
    <w:p>
      <w:pPr>
        <w:keepLines/>
        <w:tabs>
          <w:tab w:val="left" w:pos="0"/>
        </w:tabs>
        <w:spacing w:line="360" w:lineRule="auto"/>
        <w:rPr>
          <w:color w:val="auto"/>
        </w:rPr>
      </w:pPr>
      <w:r>
        <w:rPr>
          <w:color w:val="auto"/>
        </w:rPr>
        <w:t>式中：</w:t>
      </w:r>
      <w:r>
        <w:rPr>
          <w:color w:val="auto"/>
          <w:position w:val="-10"/>
          <w:szCs w:val="21"/>
        </w:rPr>
        <w:object>
          <v:shape id="_x0000_i1031" o:spt="75" type="#_x0000_t75" style="height:13.15pt;width:11.9pt;" o:ole="t" filled="f" o:preferrelative="t" stroked="f" coordsize="21600,21600">
            <v:path/>
            <v:fill on="f" focussize="0,0"/>
            <v:stroke on="f" joinstyle="miter"/>
            <v:imagedata r:id="rId45" o:title=""/>
            <o:lock v:ext="edit" aspectratio="t"/>
            <w10:wrap type="none"/>
            <w10:anchorlock/>
          </v:shape>
          <o:OLEObject Type="Embed" ProgID="Equations" ShapeID="_x0000_i1031" DrawAspect="Content" ObjectID="_1468075731" r:id="rId44">
            <o:LockedField>false</o:LockedField>
          </o:OLEObject>
        </w:object>
      </w:r>
      <w:r>
        <w:rPr>
          <w:color w:val="auto"/>
          <w:szCs w:val="21"/>
        </w:rPr>
        <w:t>——</w:t>
      </w:r>
      <w:r>
        <w:rPr>
          <w:color w:val="auto"/>
        </w:rPr>
        <w:t>堆积密度（g/L）；</w:t>
      </w:r>
    </w:p>
    <w:p>
      <w:pPr>
        <w:keepLines/>
        <w:spacing w:line="360" w:lineRule="auto"/>
        <w:rPr>
          <w:color w:val="auto"/>
        </w:rPr>
      </w:pPr>
      <w:r>
        <w:rPr>
          <w:color w:val="auto"/>
          <w:szCs w:val="21"/>
        </w:rPr>
        <w:t xml:space="preserve">   </w:t>
      </w:r>
      <w:r>
        <w:rPr>
          <w:rFonts w:hint="eastAsia"/>
          <w:color w:val="auto"/>
          <w:szCs w:val="21"/>
        </w:rPr>
        <w:t xml:space="preserve">   </w:t>
      </w:r>
      <w:r>
        <w:rPr>
          <w:color w:val="auto"/>
          <w:position w:val="-12"/>
          <w:szCs w:val="21"/>
        </w:rPr>
        <w:object>
          <v:shape id="_x0000_i1032" o:spt="75" type="#_x0000_t75" style="height:18.15pt;width:26.3pt;" o:ole="t" filled="f" o:preferrelative="t" stroked="f" coordsize="21600,21600">
            <v:path/>
            <v:fill on="f" focussize="0,0"/>
            <v:stroke on="f" joinstyle="miter"/>
            <v:imagedata r:id="rId47" o:title=""/>
            <o:lock v:ext="edit" aspectratio="t"/>
            <w10:wrap type="none"/>
            <w10:anchorlock/>
          </v:shape>
          <o:OLEObject Type="Embed" ProgID="Equations" ShapeID="_x0000_i1032" DrawAspect="Content" ObjectID="_1468075732" r:id="rId46">
            <o:LockedField>false</o:LockedField>
          </o:OLEObject>
        </w:object>
      </w:r>
      <w:r>
        <w:rPr>
          <w:color w:val="auto"/>
          <w:szCs w:val="21"/>
        </w:rPr>
        <w:t>——</w:t>
      </w:r>
      <w:r>
        <w:rPr>
          <w:color w:val="auto"/>
        </w:rPr>
        <w:t>试样质量（g）</w:t>
      </w:r>
      <w:r>
        <w:rPr>
          <w:rFonts w:hint="eastAsia"/>
          <w:color w:val="auto"/>
        </w:rPr>
        <w:t>。</w:t>
      </w:r>
    </w:p>
    <w:p>
      <w:pPr>
        <w:tabs>
          <w:tab w:val="left" w:pos="0"/>
        </w:tabs>
        <w:spacing w:line="360" w:lineRule="auto"/>
        <w:rPr>
          <w:color w:val="auto"/>
          <w:szCs w:val="21"/>
        </w:rPr>
      </w:pPr>
      <w:r>
        <w:rPr>
          <w:rFonts w:hint="eastAsia"/>
          <w:color w:val="auto"/>
          <w:szCs w:val="21"/>
        </w:rPr>
        <w:t>6.1.4  堆积密度测试应做两份平行样品测试，</w:t>
      </w:r>
      <w:r>
        <w:rPr>
          <w:rFonts w:hint="eastAsia"/>
          <w:color w:val="auto"/>
          <w:szCs w:val="21"/>
        </w:rPr>
        <w:t>计算</w:t>
      </w:r>
      <w:r>
        <w:rPr>
          <w:rFonts w:hint="eastAsia"/>
          <w:color w:val="auto"/>
          <w:szCs w:val="21"/>
        </w:rPr>
        <w:t>结果应以算术平均值表示，并应精确至整数位，且两次平行测试</w:t>
      </w:r>
      <w:r>
        <w:rPr>
          <w:rFonts w:hint="eastAsia"/>
          <w:color w:val="auto"/>
          <w:szCs w:val="21"/>
        </w:rPr>
        <w:t>计算</w:t>
      </w:r>
      <w:r>
        <w:rPr>
          <w:color w:val="auto"/>
          <w:szCs w:val="21"/>
        </w:rPr>
        <w:t>结果的差值不应大于10g/L。</w:t>
      </w:r>
    </w:p>
    <w:p>
      <w:pPr>
        <w:tabs>
          <w:tab w:val="left" w:pos="0"/>
        </w:tabs>
        <w:spacing w:line="360" w:lineRule="auto"/>
        <w:rPr>
          <w:color w:val="auto"/>
          <w:szCs w:val="21"/>
        </w:rPr>
      </w:pPr>
      <w:r>
        <w:rPr>
          <w:rFonts w:hint="eastAsia"/>
          <w:color w:val="auto"/>
          <w:szCs w:val="21"/>
        </w:rPr>
        <w:t>6.1.5  堆积密度测试报告应包括试样编号、测试标准、测试仪器和设备、测试项目、测试结果、测试人员</w:t>
      </w:r>
      <w:r>
        <w:rPr>
          <w:color w:val="auto"/>
          <w:szCs w:val="21"/>
        </w:rPr>
        <w:t>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91" w:name="_Toc14451"/>
      <w:r>
        <w:rPr>
          <w:rFonts w:ascii="Times New Roman" w:hAnsi="Times New Roman" w:eastAsia="宋体"/>
          <w:b w:val="0"/>
          <w:color w:val="auto"/>
          <w:sz w:val="24"/>
          <w:szCs w:val="24"/>
        </w:rPr>
        <w:t>6.2 粒度分布</w:t>
      </w:r>
      <w:bookmarkEnd w:id="89"/>
      <w:bookmarkEnd w:id="90"/>
      <w:bookmarkEnd w:id="91"/>
    </w:p>
    <w:p>
      <w:pPr>
        <w:numPr>
          <w:ilvl w:val="0"/>
          <w:numId w:val="16"/>
        </w:numPr>
        <w:spacing w:line="360" w:lineRule="auto"/>
        <w:rPr>
          <w:color w:val="auto"/>
          <w:szCs w:val="21"/>
        </w:rPr>
      </w:pPr>
      <w:r>
        <w:rPr>
          <w:color w:val="auto"/>
          <w:szCs w:val="21"/>
        </w:rPr>
        <w:t>测试</w:t>
      </w:r>
      <w:r>
        <w:rPr>
          <w:rFonts w:hint="eastAsia"/>
          <w:color w:val="auto"/>
          <w:szCs w:val="21"/>
        </w:rPr>
        <w:t>用筛层试样质量检测</w:t>
      </w:r>
      <w:r>
        <w:rPr>
          <w:color w:val="auto"/>
          <w:szCs w:val="21"/>
        </w:rPr>
        <w:t>应符合下列规定：</w:t>
      </w:r>
    </w:p>
    <w:p>
      <w:pPr>
        <w:numPr>
          <w:ilvl w:val="0"/>
          <w:numId w:val="17"/>
        </w:numPr>
        <w:tabs>
          <w:tab w:val="clear" w:pos="0"/>
        </w:tabs>
        <w:spacing w:line="360" w:lineRule="auto"/>
        <w:ind w:firstLine="420" w:firstLineChars="200"/>
        <w:rPr>
          <w:color w:val="auto"/>
          <w:szCs w:val="21"/>
        </w:rPr>
      </w:pPr>
      <w:r>
        <w:rPr>
          <w:rFonts w:hint="eastAsia"/>
          <w:color w:val="auto"/>
          <w:szCs w:val="21"/>
        </w:rPr>
        <w:t>应</w:t>
      </w:r>
      <w:r>
        <w:rPr>
          <w:color w:val="auto"/>
          <w:szCs w:val="21"/>
        </w:rPr>
        <w:t>根据产品技术要求选取一组相应的</w:t>
      </w:r>
      <w:r>
        <w:rPr>
          <w:rFonts w:hint="eastAsia"/>
          <w:color w:val="auto"/>
          <w:szCs w:val="21"/>
        </w:rPr>
        <w:t>长方孔</w:t>
      </w:r>
      <w:r>
        <w:rPr>
          <w:color w:val="auto"/>
          <w:szCs w:val="21"/>
        </w:rPr>
        <w:t>试验筛按筛孔大小置于检验筛分机上；</w:t>
      </w:r>
    </w:p>
    <w:p>
      <w:pPr>
        <w:numPr>
          <w:ilvl w:val="0"/>
          <w:numId w:val="17"/>
        </w:numPr>
        <w:tabs>
          <w:tab w:val="clear" w:pos="0"/>
        </w:tabs>
        <w:spacing w:line="360" w:lineRule="auto"/>
        <w:ind w:firstLine="420" w:firstLineChars="200"/>
        <w:rPr>
          <w:color w:val="auto"/>
          <w:szCs w:val="21"/>
        </w:rPr>
      </w:pPr>
      <w:r>
        <w:rPr>
          <w:rFonts w:hint="eastAsia"/>
          <w:color w:val="auto"/>
          <w:szCs w:val="21"/>
        </w:rPr>
        <w:t>所</w:t>
      </w:r>
      <w:r>
        <w:rPr>
          <w:color w:val="auto"/>
          <w:szCs w:val="21"/>
        </w:rPr>
        <w:t>取干燥试样</w:t>
      </w:r>
      <w:r>
        <w:rPr>
          <w:rFonts w:hint="eastAsia"/>
          <w:color w:val="auto"/>
          <w:szCs w:val="21"/>
        </w:rPr>
        <w:t>质量宜为</w:t>
      </w:r>
      <w:r>
        <w:rPr>
          <w:color w:val="auto"/>
          <w:szCs w:val="21"/>
        </w:rPr>
        <w:t>（300±1）g，</w:t>
      </w:r>
      <w:r>
        <w:rPr>
          <w:rFonts w:hint="eastAsia"/>
          <w:color w:val="auto"/>
          <w:szCs w:val="21"/>
        </w:rPr>
        <w:t>且</w:t>
      </w:r>
      <w:r>
        <w:rPr>
          <w:rFonts w:hint="eastAsia"/>
          <w:color w:val="auto"/>
          <w:szCs w:val="21"/>
        </w:rPr>
        <w:t>应</w:t>
      </w:r>
      <w:r>
        <w:rPr>
          <w:color w:val="auto"/>
          <w:szCs w:val="21"/>
        </w:rPr>
        <w:t>精确至0.01g</w:t>
      </w:r>
      <w:r>
        <w:rPr>
          <w:rFonts w:hint="eastAsia"/>
          <w:color w:val="auto"/>
          <w:szCs w:val="21"/>
        </w:rPr>
        <w:t>；</w:t>
      </w:r>
    </w:p>
    <w:p>
      <w:pPr>
        <w:numPr>
          <w:ilvl w:val="0"/>
          <w:numId w:val="17"/>
        </w:numPr>
        <w:tabs>
          <w:tab w:val="clear" w:pos="0"/>
        </w:tabs>
        <w:spacing w:line="360" w:lineRule="auto"/>
        <w:ind w:firstLine="420" w:firstLineChars="200"/>
        <w:rPr>
          <w:color w:val="auto"/>
          <w:szCs w:val="21"/>
        </w:rPr>
      </w:pPr>
      <w:r>
        <w:rPr>
          <w:rFonts w:hint="eastAsia"/>
          <w:color w:val="auto"/>
          <w:szCs w:val="21"/>
        </w:rPr>
        <w:t>应将试样置于最上一层试验筛</w:t>
      </w:r>
      <w:r>
        <w:rPr>
          <w:rFonts w:hint="eastAsia"/>
          <w:color w:val="auto"/>
          <w:szCs w:val="21"/>
        </w:rPr>
        <w:t>进行筛分</w:t>
      </w:r>
      <w:r>
        <w:rPr>
          <w:rFonts w:hint="eastAsia"/>
          <w:color w:val="auto"/>
          <w:szCs w:val="21"/>
        </w:rPr>
        <w:t>，</w:t>
      </w:r>
      <w:r>
        <w:rPr>
          <w:rFonts w:hint="eastAsia"/>
          <w:color w:val="auto"/>
          <w:szCs w:val="21"/>
        </w:rPr>
        <w:t>且</w:t>
      </w:r>
      <w:r>
        <w:rPr>
          <w:color w:val="auto"/>
          <w:szCs w:val="21"/>
        </w:rPr>
        <w:t>筛分</w:t>
      </w:r>
      <w:r>
        <w:rPr>
          <w:rFonts w:hint="eastAsia"/>
          <w:color w:val="auto"/>
          <w:szCs w:val="21"/>
        </w:rPr>
        <w:t>时间应为</w:t>
      </w:r>
      <w:r>
        <w:rPr>
          <w:color w:val="auto"/>
          <w:szCs w:val="21"/>
        </w:rPr>
        <w:t>180s；</w:t>
      </w:r>
    </w:p>
    <w:p>
      <w:pPr>
        <w:numPr>
          <w:ilvl w:val="0"/>
          <w:numId w:val="17"/>
        </w:numPr>
        <w:tabs>
          <w:tab w:val="clear" w:pos="0"/>
        </w:tabs>
        <w:spacing w:line="360" w:lineRule="auto"/>
        <w:ind w:firstLine="420" w:firstLineChars="200"/>
        <w:rPr>
          <w:color w:val="auto"/>
          <w:szCs w:val="21"/>
        </w:rPr>
      </w:pPr>
      <w:r>
        <w:rPr>
          <w:rFonts w:hint="eastAsia"/>
          <w:color w:val="auto"/>
          <w:szCs w:val="21"/>
        </w:rPr>
        <w:t>筛分停止后，应</w:t>
      </w:r>
      <w:r>
        <w:rPr>
          <w:color w:val="auto"/>
          <w:szCs w:val="21"/>
        </w:rPr>
        <w:t>分别收集</w:t>
      </w:r>
      <w:r>
        <w:rPr>
          <w:rFonts w:hint="eastAsia"/>
          <w:color w:val="auto"/>
          <w:szCs w:val="21"/>
        </w:rPr>
        <w:t>、</w:t>
      </w:r>
      <w:r>
        <w:rPr>
          <w:color w:val="auto"/>
          <w:szCs w:val="21"/>
        </w:rPr>
        <w:t>依次称量每一筛层及底盘内筛分料质量，</w:t>
      </w:r>
      <w:r>
        <w:rPr>
          <w:rFonts w:hint="eastAsia"/>
          <w:color w:val="auto"/>
          <w:szCs w:val="21"/>
          <w:highlight w:val="none"/>
        </w:rPr>
        <w:t>且各筛层试样质量</w:t>
      </w:r>
      <w:r>
        <w:rPr>
          <w:rFonts w:hint="eastAsia"/>
          <w:color w:val="auto"/>
          <w:szCs w:val="21"/>
        </w:rPr>
        <w:t>应</w:t>
      </w:r>
      <w:r>
        <w:rPr>
          <w:color w:val="auto"/>
          <w:szCs w:val="21"/>
        </w:rPr>
        <w:t>精确至0.01g。</w:t>
      </w:r>
    </w:p>
    <w:p>
      <w:pPr>
        <w:numPr>
          <w:ilvl w:val="0"/>
          <w:numId w:val="16"/>
        </w:numPr>
        <w:spacing w:line="360" w:lineRule="auto"/>
        <w:rPr>
          <w:color w:val="auto"/>
          <w:szCs w:val="21"/>
        </w:rPr>
      </w:pPr>
      <w:r>
        <w:rPr>
          <w:color w:val="auto"/>
          <w:szCs w:val="21"/>
        </w:rPr>
        <w:t>粒度分布应根据</w:t>
      </w:r>
      <w:r>
        <w:rPr>
          <w:rFonts w:hint="eastAsia"/>
          <w:color w:val="auto"/>
          <w:szCs w:val="21"/>
        </w:rPr>
        <w:t>本标准</w:t>
      </w:r>
      <w:r>
        <w:rPr>
          <w:color w:val="auto"/>
          <w:szCs w:val="21"/>
        </w:rPr>
        <w:t>第6.2.1条所</w:t>
      </w:r>
      <w:r>
        <w:rPr>
          <w:rFonts w:hint="eastAsia"/>
          <w:color w:val="auto"/>
          <w:szCs w:val="21"/>
        </w:rPr>
        <w:t>测</w:t>
      </w:r>
      <w:r>
        <w:rPr>
          <w:color w:val="auto"/>
          <w:szCs w:val="21"/>
        </w:rPr>
        <w:t>各筛层</w:t>
      </w:r>
      <w:r>
        <w:rPr>
          <w:rFonts w:hint="eastAsia"/>
          <w:color w:val="auto"/>
          <w:szCs w:val="21"/>
        </w:rPr>
        <w:t>试样</w:t>
      </w:r>
      <w:r>
        <w:rPr>
          <w:color w:val="auto"/>
          <w:szCs w:val="21"/>
        </w:rPr>
        <w:t>质量按下式进行计算：</w:t>
      </w:r>
    </w:p>
    <w:p>
      <w:pPr>
        <w:keepLines/>
        <w:tabs>
          <w:tab w:val="left" w:pos="0"/>
        </w:tabs>
        <w:spacing w:line="360" w:lineRule="auto"/>
        <w:jc w:val="right"/>
        <w:rPr>
          <w:color w:val="auto"/>
        </w:rPr>
      </w:pPr>
      <w:r>
        <w:rPr>
          <w:color w:val="auto"/>
          <w:position w:val="-32"/>
          <w:szCs w:val="21"/>
        </w:rPr>
        <w:object>
          <v:shape id="_x0000_i1033" o:spt="75" type="#_x0000_t75" style="height:36.3pt;width:108.3pt;" o:ole="t" filled="f" o:preferrelative="t" stroked="f" coordsize="21600,21600">
            <v:path/>
            <v:fill on="f" focussize="0,0"/>
            <v:stroke on="f" joinstyle="miter"/>
            <v:imagedata r:id="rId49" o:title=""/>
            <o:lock v:ext="edit" aspectratio="t"/>
            <w10:wrap type="none"/>
            <w10:anchorlock/>
          </v:shape>
          <o:OLEObject Type="Embed" ProgID="Equations" ShapeID="_x0000_i1033" DrawAspect="Content" ObjectID="_1468075733" r:id="rId48">
            <o:LockedField>false</o:LockedField>
          </o:OLEObject>
        </w:object>
      </w:r>
      <w:r>
        <w:rPr>
          <w:color w:val="auto"/>
        </w:rPr>
        <w:t>………………………………………………（6.2.2）</w:t>
      </w:r>
    </w:p>
    <w:p>
      <w:pPr>
        <w:keepLines/>
        <w:tabs>
          <w:tab w:val="left" w:pos="0"/>
        </w:tabs>
        <w:spacing w:line="360" w:lineRule="auto"/>
        <w:rPr>
          <w:color w:val="auto"/>
        </w:rPr>
      </w:pPr>
      <w:r>
        <w:rPr>
          <w:color w:val="auto"/>
        </w:rPr>
        <w:t>式中：</w:t>
      </w:r>
      <w:r>
        <w:rPr>
          <w:color w:val="auto"/>
          <w:position w:val="-16"/>
          <w:szCs w:val="21"/>
        </w:rPr>
        <w:object>
          <v:shape id="_x0000_i1034" o:spt="75" type="#_x0000_t75" style="height:21.3pt;width:32.55pt;" o:ole="t" filled="f" o:preferrelative="t" stroked="f" coordsize="21600,21600">
            <v:path/>
            <v:fill on="f" focussize="0,0"/>
            <v:stroke on="f" joinstyle="miter"/>
            <v:imagedata r:id="rId51" o:title=""/>
            <o:lock v:ext="edit" aspectratio="t"/>
            <w10:wrap type="none"/>
            <w10:anchorlock/>
          </v:shape>
          <o:OLEObject Type="Embed" ProgID="Equations" ShapeID="_x0000_i1034" DrawAspect="Content" ObjectID="_1468075734" r:id="rId50">
            <o:LockedField>false</o:LockedField>
          </o:OLEObject>
        </w:object>
      </w:r>
      <w:r>
        <w:rPr>
          <w:color w:val="auto"/>
        </w:rPr>
        <w:t>——第</w:t>
      </w:r>
      <w:r>
        <w:rPr>
          <w:color w:val="auto"/>
          <w:position w:val="-12"/>
          <w:szCs w:val="21"/>
        </w:rPr>
        <w:object>
          <v:shape id="_x0000_i1035" o:spt="75" type="#_x0000_t75" style="height:16.3pt;width:11.25pt;" o:ole="t" filled="f" o:preferrelative="t" stroked="f" coordsize="21600,21600">
            <v:path/>
            <v:fill on="f" focussize="0,0"/>
            <v:stroke on="f" joinstyle="miter"/>
            <v:imagedata r:id="rId53" o:title=""/>
            <o:lock v:ext="edit" aspectratio="t"/>
            <w10:wrap type="none"/>
            <w10:anchorlock/>
          </v:shape>
          <o:OLEObject Type="Embed" ProgID="Equations" ShapeID="_x0000_i1035" DrawAspect="Content" ObjectID="_1468075735" r:id="rId52">
            <o:LockedField>false</o:LockedField>
          </o:OLEObject>
        </w:object>
      </w:r>
      <w:r>
        <w:rPr>
          <w:color w:val="auto"/>
        </w:rPr>
        <w:t>层粒度分布数值（%）；</w:t>
      </w:r>
    </w:p>
    <w:p>
      <w:pPr>
        <w:keepLines/>
        <w:tabs>
          <w:tab w:val="left" w:pos="0"/>
        </w:tabs>
        <w:spacing w:line="360" w:lineRule="auto"/>
        <w:ind w:firstLine="638" w:firstLineChars="304"/>
        <w:rPr>
          <w:color w:val="auto"/>
        </w:rPr>
      </w:pPr>
      <w:r>
        <w:rPr>
          <w:color w:val="auto"/>
          <w:position w:val="-14"/>
          <w:szCs w:val="21"/>
        </w:rPr>
        <w:object>
          <v:shape id="_x0000_i1036" o:spt="75" type="#_x0000_t75" style="height:19.4pt;width:29.45pt;" o:ole="t" filled="f" o:preferrelative="t" stroked="f" coordsize="21600,21600">
            <v:path/>
            <v:fill on="f" focussize="0,0"/>
            <v:stroke on="f" joinstyle="miter"/>
            <v:imagedata r:id="rId55" o:title=""/>
            <o:lock v:ext="edit" aspectratio="t"/>
            <w10:wrap type="none"/>
            <w10:anchorlock/>
          </v:shape>
          <o:OLEObject Type="Embed" ProgID="Equations" ShapeID="_x0000_i1036" DrawAspect="Content" ObjectID="_1468075736" r:id="rId54">
            <o:LockedField>false</o:LockedField>
          </o:OLEObject>
        </w:object>
      </w:r>
      <w:r>
        <w:rPr>
          <w:color w:val="auto"/>
          <w:szCs w:val="21"/>
        </w:rPr>
        <w:t>——</w:t>
      </w:r>
      <w:r>
        <w:rPr>
          <w:color w:val="auto"/>
        </w:rPr>
        <w:t>第</w:t>
      </w:r>
      <w:r>
        <w:rPr>
          <w:color w:val="auto"/>
          <w:position w:val="-12"/>
          <w:szCs w:val="21"/>
        </w:rPr>
        <w:object>
          <v:shape id="_x0000_i1037" o:spt="75" type="#_x0000_t75" style="height:16.3pt;width:11.25pt;" o:ole="t" filled="f" o:preferrelative="t" stroked="f" coordsize="21600,21600">
            <v:path/>
            <v:fill on="f" focussize="0,0"/>
            <v:stroke on="f" joinstyle="miter"/>
            <v:imagedata r:id="rId53" o:title=""/>
            <o:lock v:ext="edit" aspectratio="t"/>
            <w10:wrap type="none"/>
            <w10:anchorlock/>
          </v:shape>
          <o:OLEObject Type="Embed" ProgID="Equations" ShapeID="_x0000_i1037" DrawAspect="Content" ObjectID="_1468075737" r:id="rId56">
            <o:LockedField>false</o:LockedField>
          </o:OLEObject>
        </w:object>
      </w:r>
      <w:r>
        <w:rPr>
          <w:color w:val="auto"/>
        </w:rPr>
        <w:t>层试样质量（g）；</w:t>
      </w:r>
    </w:p>
    <w:p>
      <w:pPr>
        <w:keepLines/>
        <w:tabs>
          <w:tab w:val="left" w:pos="0"/>
        </w:tabs>
        <w:spacing w:line="360" w:lineRule="auto"/>
        <w:ind w:firstLine="638" w:firstLineChars="304"/>
        <w:rPr>
          <w:color w:val="auto"/>
        </w:rPr>
      </w:pPr>
      <w:r>
        <w:rPr>
          <w:color w:val="auto"/>
          <w:position w:val="-14"/>
          <w:szCs w:val="21"/>
        </w:rPr>
        <w:object>
          <v:shape id="_x0000_i1038" o:spt="75" type="#_x0000_t75" style="height:19.4pt;width:26.3pt;" o:ole="t" filled="f" o:preferrelative="t" stroked="f" coordsize="21600,21600">
            <v:path/>
            <v:fill on="f" focussize="0,0"/>
            <v:stroke on="f" joinstyle="miter"/>
            <v:imagedata r:id="rId58" o:title=""/>
            <o:lock v:ext="edit" aspectratio="t"/>
            <w10:wrap type="none"/>
            <w10:anchorlock/>
          </v:shape>
          <o:OLEObject Type="Embed" ProgID="Equations" ShapeID="_x0000_i1038" DrawAspect="Content" ObjectID="_1468075738" r:id="rId57">
            <o:LockedField>false</o:LockedField>
          </o:OLEObject>
        </w:object>
      </w:r>
      <w:r>
        <w:rPr>
          <w:color w:val="auto"/>
          <w:szCs w:val="21"/>
        </w:rPr>
        <w:t>——</w:t>
      </w:r>
      <w:r>
        <w:rPr>
          <w:color w:val="auto"/>
        </w:rPr>
        <w:t>干燥后的试样质量（g）。</w:t>
      </w:r>
    </w:p>
    <w:p>
      <w:pPr>
        <w:numPr>
          <w:ilvl w:val="0"/>
          <w:numId w:val="16"/>
        </w:numPr>
        <w:spacing w:line="360" w:lineRule="auto"/>
        <w:rPr>
          <w:color w:val="auto"/>
          <w:szCs w:val="21"/>
        </w:rPr>
      </w:pPr>
      <w:r>
        <w:rPr>
          <w:color w:val="auto"/>
          <w:szCs w:val="21"/>
        </w:rPr>
        <w:t>粒度分布测试应做两份平行样品测试，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以算术平均值表示，并应精确至小数点后两位，且各层筛分料质量之和与试样总质量之差不应超过±1g。</w:t>
      </w:r>
    </w:p>
    <w:p>
      <w:pPr>
        <w:numPr>
          <w:ilvl w:val="0"/>
          <w:numId w:val="16"/>
        </w:numPr>
        <w:spacing w:line="360" w:lineRule="auto"/>
        <w:rPr>
          <w:color w:val="auto"/>
          <w:szCs w:val="21"/>
        </w:rPr>
      </w:pPr>
      <w:r>
        <w:rPr>
          <w:color w:val="auto"/>
          <w:szCs w:val="21"/>
        </w:rPr>
        <w:t>粒度分布测试报告应包括试样编号、测试标准、测试仪器和设备、测试项目、测试结果、测试人员及测试日期等内容。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92" w:name="_Toc8647"/>
      <w:bookmarkStart w:id="93" w:name="_Toc1255"/>
      <w:bookmarkStart w:id="94" w:name="_Toc19766"/>
      <w:r>
        <w:rPr>
          <w:rFonts w:ascii="Times New Roman" w:hAnsi="Times New Roman" w:eastAsia="宋体"/>
          <w:b w:val="0"/>
          <w:color w:val="auto"/>
          <w:sz w:val="24"/>
          <w:szCs w:val="24"/>
        </w:rPr>
        <w:t>6.3 耐磨强度</w:t>
      </w:r>
      <w:bookmarkEnd w:id="92"/>
      <w:bookmarkEnd w:id="93"/>
      <w:bookmarkEnd w:id="94"/>
    </w:p>
    <w:p>
      <w:pPr>
        <w:numPr>
          <w:ilvl w:val="0"/>
          <w:numId w:val="18"/>
        </w:numPr>
        <w:spacing w:line="360" w:lineRule="auto"/>
        <w:rPr>
          <w:color w:val="auto"/>
          <w:szCs w:val="21"/>
        </w:rPr>
      </w:pPr>
      <w:r>
        <w:rPr>
          <w:color w:val="auto"/>
          <w:szCs w:val="21"/>
        </w:rPr>
        <w:t>测试</w:t>
      </w:r>
      <w:r>
        <w:rPr>
          <w:rFonts w:hint="eastAsia"/>
          <w:color w:val="auto"/>
          <w:szCs w:val="21"/>
        </w:rPr>
        <w:t>用筛上试样质量检测</w:t>
      </w:r>
      <w:r>
        <w:rPr>
          <w:color w:val="auto"/>
          <w:szCs w:val="21"/>
        </w:rPr>
        <w:t>应符合下列规定：</w:t>
      </w:r>
    </w:p>
    <w:p>
      <w:pPr>
        <w:numPr>
          <w:ilvl w:val="0"/>
          <w:numId w:val="19"/>
        </w:numPr>
        <w:tabs>
          <w:tab w:val="clear" w:pos="0"/>
        </w:tabs>
        <w:spacing w:line="360" w:lineRule="auto"/>
        <w:ind w:firstLine="420" w:firstLineChars="200"/>
        <w:rPr>
          <w:color w:val="auto"/>
          <w:szCs w:val="21"/>
        </w:rPr>
      </w:pPr>
      <w:r>
        <w:rPr>
          <w:rFonts w:hint="eastAsia"/>
          <w:color w:val="auto"/>
          <w:szCs w:val="21"/>
        </w:rPr>
        <w:t>所取</w:t>
      </w:r>
      <w:r>
        <w:rPr>
          <w:color w:val="auto"/>
          <w:szCs w:val="21"/>
        </w:rPr>
        <w:t>测试试样</w:t>
      </w:r>
      <w:r>
        <w:rPr>
          <w:rFonts w:hint="eastAsia"/>
          <w:color w:val="auto"/>
          <w:szCs w:val="21"/>
        </w:rPr>
        <w:t>质量宜为</w:t>
      </w:r>
      <w:r>
        <w:rPr>
          <w:color w:val="auto"/>
          <w:szCs w:val="21"/>
        </w:rPr>
        <w:t>（50±1）g，</w:t>
      </w:r>
      <w:r>
        <w:rPr>
          <w:rFonts w:hint="eastAsia"/>
          <w:color w:val="auto"/>
          <w:szCs w:val="21"/>
        </w:rPr>
        <w:t>且</w:t>
      </w:r>
      <w:r>
        <w:rPr>
          <w:color w:val="auto"/>
          <w:szCs w:val="21"/>
        </w:rPr>
        <w:t>应精确至0.01g</w:t>
      </w:r>
      <w:r>
        <w:rPr>
          <w:rFonts w:hint="eastAsia"/>
          <w:color w:val="auto"/>
          <w:szCs w:val="21"/>
        </w:rPr>
        <w:t>；</w:t>
      </w:r>
    </w:p>
    <w:p>
      <w:pPr>
        <w:numPr>
          <w:ilvl w:val="0"/>
          <w:numId w:val="19"/>
        </w:numPr>
        <w:tabs>
          <w:tab w:val="clear" w:pos="0"/>
        </w:tabs>
        <w:spacing w:line="360" w:lineRule="auto"/>
        <w:ind w:firstLine="420" w:firstLineChars="200"/>
        <w:rPr>
          <w:color w:val="auto"/>
          <w:szCs w:val="21"/>
        </w:rPr>
      </w:pPr>
      <w:r>
        <w:rPr>
          <w:rFonts w:hint="eastAsia"/>
          <w:color w:val="auto"/>
          <w:szCs w:val="21"/>
        </w:rPr>
        <w:t>装填试样后，</w:t>
      </w:r>
      <w:r>
        <w:rPr>
          <w:color w:val="auto"/>
          <w:szCs w:val="21"/>
        </w:rPr>
        <w:t>耐磨强度测试仪的转鼓鼓盖</w:t>
      </w:r>
      <w:r>
        <w:rPr>
          <w:rFonts w:hint="eastAsia"/>
          <w:color w:val="auto"/>
          <w:szCs w:val="21"/>
        </w:rPr>
        <w:t>应紧闭，且</w:t>
      </w:r>
      <w:r>
        <w:rPr>
          <w:color w:val="auto"/>
          <w:szCs w:val="21"/>
        </w:rPr>
        <w:t>运转</w:t>
      </w:r>
      <w:r>
        <w:rPr>
          <w:rFonts w:hint="eastAsia"/>
          <w:color w:val="auto"/>
          <w:szCs w:val="21"/>
        </w:rPr>
        <w:t>时间应为</w:t>
      </w:r>
      <w:r>
        <w:rPr>
          <w:color w:val="auto"/>
          <w:szCs w:val="21"/>
        </w:rPr>
        <w:t>2h；</w:t>
      </w:r>
    </w:p>
    <w:p>
      <w:pPr>
        <w:numPr>
          <w:ilvl w:val="0"/>
          <w:numId w:val="19"/>
        </w:numPr>
        <w:tabs>
          <w:tab w:val="clear" w:pos="0"/>
        </w:tabs>
        <w:spacing w:line="360" w:lineRule="auto"/>
        <w:ind w:firstLine="420" w:firstLineChars="200"/>
        <w:rPr>
          <w:color w:val="auto"/>
          <w:szCs w:val="21"/>
        </w:rPr>
      </w:pPr>
      <w:r>
        <w:rPr>
          <w:rFonts w:hint="eastAsia"/>
          <w:color w:val="auto"/>
          <w:szCs w:val="21"/>
          <w:highlight w:val="none"/>
          <w:lang w:eastAsia="zh-CN"/>
        </w:rPr>
        <w:t>运转</w:t>
      </w:r>
      <w:r>
        <w:rPr>
          <w:rFonts w:hint="eastAsia"/>
          <w:color w:val="auto"/>
          <w:szCs w:val="21"/>
        </w:rPr>
        <w:t>停止后，</w:t>
      </w:r>
      <w:r>
        <w:rPr>
          <w:rFonts w:hint="eastAsia"/>
          <w:color w:val="auto"/>
          <w:szCs w:val="21"/>
        </w:rPr>
        <w:t>应</w:t>
      </w:r>
      <w:r>
        <w:rPr>
          <w:color w:val="auto"/>
          <w:szCs w:val="21"/>
        </w:rPr>
        <w:t>打开鼓盖将试样移至规格为</w:t>
      </w:r>
      <w:r>
        <w:rPr>
          <w:i/>
          <w:iCs/>
          <w:color w:val="auto"/>
          <w:szCs w:val="21"/>
        </w:rPr>
        <w:t>φ</w:t>
      </w:r>
      <w:r>
        <w:rPr>
          <w:color w:val="auto"/>
          <w:szCs w:val="21"/>
        </w:rPr>
        <w:t>200×50-1.6×12.5/4×16的长方孔试验筛上</w:t>
      </w:r>
      <w:r>
        <w:rPr>
          <w:rFonts w:hint="eastAsia"/>
          <w:color w:val="auto"/>
          <w:szCs w:val="21"/>
        </w:rPr>
        <w:t>；</w:t>
      </w:r>
    </w:p>
    <w:p>
      <w:pPr>
        <w:numPr>
          <w:ilvl w:val="0"/>
          <w:numId w:val="19"/>
        </w:numPr>
        <w:tabs>
          <w:tab w:val="clear" w:pos="0"/>
        </w:tabs>
        <w:spacing w:line="360" w:lineRule="auto"/>
        <w:ind w:firstLine="420" w:firstLineChars="200"/>
        <w:rPr>
          <w:color w:val="auto"/>
          <w:szCs w:val="21"/>
        </w:rPr>
      </w:pPr>
      <w:r>
        <w:rPr>
          <w:color w:val="auto"/>
          <w:szCs w:val="21"/>
        </w:rPr>
        <w:t>检验筛分机</w:t>
      </w:r>
      <w:r>
        <w:rPr>
          <w:rFonts w:hint="eastAsia"/>
          <w:color w:val="auto"/>
          <w:szCs w:val="21"/>
        </w:rPr>
        <w:t>上的</w:t>
      </w:r>
      <w:r>
        <w:rPr>
          <w:color w:val="auto"/>
          <w:szCs w:val="21"/>
        </w:rPr>
        <w:t>筛分</w:t>
      </w:r>
      <w:r>
        <w:rPr>
          <w:rFonts w:hint="eastAsia"/>
          <w:color w:val="auto"/>
          <w:szCs w:val="21"/>
        </w:rPr>
        <w:t>时间应</w:t>
      </w:r>
      <w:r>
        <w:rPr>
          <w:rFonts w:hint="eastAsia"/>
          <w:color w:val="auto"/>
          <w:szCs w:val="21"/>
        </w:rPr>
        <w:t>为</w:t>
      </w:r>
      <w:r>
        <w:rPr>
          <w:color w:val="auto"/>
          <w:szCs w:val="21"/>
        </w:rPr>
        <w:t>3min；</w:t>
      </w:r>
    </w:p>
    <w:p>
      <w:pPr>
        <w:numPr>
          <w:ilvl w:val="0"/>
          <w:numId w:val="19"/>
        </w:numPr>
        <w:tabs>
          <w:tab w:val="clear" w:pos="0"/>
        </w:tabs>
        <w:spacing w:line="360" w:lineRule="auto"/>
        <w:ind w:firstLine="420" w:firstLineChars="200"/>
        <w:rPr>
          <w:color w:val="auto"/>
          <w:szCs w:val="21"/>
        </w:rPr>
      </w:pPr>
      <w:r>
        <w:rPr>
          <w:rFonts w:hint="eastAsia"/>
          <w:color w:val="auto"/>
          <w:szCs w:val="21"/>
        </w:rPr>
        <w:t>筛分停止后，</w:t>
      </w:r>
      <w:r>
        <w:rPr>
          <w:color w:val="auto"/>
          <w:szCs w:val="21"/>
        </w:rPr>
        <w:t>收集筛上试样并称重</w:t>
      </w:r>
      <w:r>
        <w:rPr>
          <w:rFonts w:hint="eastAsia"/>
          <w:color w:val="auto"/>
          <w:szCs w:val="21"/>
        </w:rPr>
        <w:t>所得试样质量应</w:t>
      </w:r>
      <w:r>
        <w:rPr>
          <w:color w:val="auto"/>
          <w:szCs w:val="21"/>
        </w:rPr>
        <w:t>精确至0.01g。</w:t>
      </w:r>
    </w:p>
    <w:p>
      <w:pPr>
        <w:numPr>
          <w:ilvl w:val="0"/>
          <w:numId w:val="18"/>
        </w:numPr>
        <w:spacing w:line="360" w:lineRule="auto"/>
        <w:rPr>
          <w:color w:val="auto"/>
          <w:szCs w:val="21"/>
        </w:rPr>
      </w:pPr>
      <w:r>
        <w:rPr>
          <w:color w:val="auto"/>
          <w:szCs w:val="21"/>
        </w:rPr>
        <w:t>耐磨强度应根据</w:t>
      </w:r>
      <w:r>
        <w:rPr>
          <w:rFonts w:hint="eastAsia"/>
          <w:color w:val="auto"/>
          <w:szCs w:val="21"/>
        </w:rPr>
        <w:t>本标准</w:t>
      </w:r>
      <w:r>
        <w:rPr>
          <w:color w:val="auto"/>
          <w:szCs w:val="21"/>
        </w:rPr>
        <w:t>第6.3.1条所测试样质量按下式进行计算：</w:t>
      </w:r>
    </w:p>
    <w:p>
      <w:pPr>
        <w:keepLines/>
        <w:tabs>
          <w:tab w:val="left" w:pos="0"/>
        </w:tabs>
        <w:spacing w:line="360" w:lineRule="auto"/>
        <w:jc w:val="right"/>
        <w:rPr>
          <w:color w:val="auto"/>
        </w:rPr>
      </w:pPr>
      <w:r>
        <w:rPr>
          <w:color w:val="auto"/>
        </w:rPr>
        <w:t xml:space="preserve">  </w:t>
      </w:r>
      <w:r>
        <w:rPr>
          <w:color w:val="auto"/>
          <w:position w:val="-32"/>
          <w:szCs w:val="21"/>
        </w:rPr>
        <w:object>
          <v:shape id="_x0000_i1039" o:spt="75" type="#_x0000_t75" style="height:36.95pt;width:103.95pt;" o:ole="t" filled="f" o:preferrelative="t" stroked="f" coordsize="21600,21600">
            <v:path/>
            <v:fill on="f" focussize="0,0"/>
            <v:stroke on="f" joinstyle="miter"/>
            <v:imagedata r:id="rId60" o:title=""/>
            <o:lock v:ext="edit" aspectratio="t"/>
            <w10:wrap type="none"/>
            <w10:anchorlock/>
          </v:shape>
          <o:OLEObject Type="Embed" ProgID="Equations" ShapeID="_x0000_i1039" DrawAspect="Content" ObjectID="_1468075739" r:id="rId59">
            <o:LockedField>false</o:LockedField>
          </o:OLEObject>
        </w:object>
      </w:r>
      <w:r>
        <w:rPr>
          <w:color w:val="auto"/>
        </w:rPr>
        <w:t>………………………………………………（6.3.2）</w:t>
      </w:r>
    </w:p>
    <w:p>
      <w:pPr>
        <w:keepLines/>
        <w:tabs>
          <w:tab w:val="left" w:pos="0"/>
        </w:tabs>
        <w:spacing w:line="360" w:lineRule="auto"/>
        <w:ind w:firstLine="420" w:firstLineChars="200"/>
        <w:rPr>
          <w:color w:val="auto"/>
        </w:rPr>
      </w:pPr>
      <w:r>
        <w:rPr>
          <w:color w:val="auto"/>
        </w:rPr>
        <w:t>式中：</w:t>
      </w:r>
      <w:r>
        <w:rPr>
          <w:color w:val="auto"/>
          <w:position w:val="-16"/>
          <w:szCs w:val="21"/>
        </w:rPr>
        <w:object>
          <v:shape id="_x0000_i1040" o:spt="75" type="#_x0000_t75" style="height:21.3pt;width:30.7pt;" o:ole="t" filled="f" o:preferrelative="t" stroked="f" coordsize="21600,21600">
            <v:path/>
            <v:fill on="f" focussize="0,0"/>
            <v:stroke on="f" joinstyle="miter"/>
            <v:imagedata r:id="rId62" o:title=""/>
            <o:lock v:ext="edit" aspectratio="t"/>
            <w10:wrap type="none"/>
            <w10:anchorlock/>
          </v:shape>
          <o:OLEObject Type="Embed" ProgID="Equations" ShapeID="_x0000_i1040" DrawAspect="Content" ObjectID="_1468075740" r:id="rId61">
            <o:LockedField>false</o:LockedField>
          </o:OLEObject>
        </w:object>
      </w:r>
      <w:r>
        <w:rPr>
          <w:color w:val="auto"/>
          <w:szCs w:val="21"/>
        </w:rPr>
        <w:t>——</w:t>
      </w:r>
      <w:r>
        <w:rPr>
          <w:color w:val="auto"/>
          <w:lang w:val="zh-CN"/>
        </w:rPr>
        <w:t>耐磨强度</w:t>
      </w:r>
      <w:r>
        <w:rPr>
          <w:color w:val="auto"/>
        </w:rPr>
        <w:t>（%）；</w:t>
      </w:r>
    </w:p>
    <w:p>
      <w:pPr>
        <w:keepLines/>
        <w:tabs>
          <w:tab w:val="left" w:pos="0"/>
        </w:tabs>
        <w:spacing w:line="360" w:lineRule="auto"/>
        <w:rPr>
          <w:color w:val="auto"/>
        </w:rPr>
      </w:pPr>
      <w:r>
        <w:rPr>
          <w:color w:val="auto"/>
        </w:rPr>
        <w:tab/>
      </w:r>
      <w:r>
        <w:rPr>
          <w:color w:val="auto"/>
        </w:rPr>
        <w:t xml:space="preserve">      </w:t>
      </w:r>
      <w:r>
        <w:rPr>
          <w:color w:val="auto"/>
          <w:position w:val="-14"/>
          <w:szCs w:val="21"/>
        </w:rPr>
        <w:object>
          <v:shape id="_x0000_i1041" o:spt="75" type="#_x0000_t75" style="height:19.4pt;width:26.3pt;" o:ole="t" filled="f" o:preferrelative="t" stroked="f" coordsize="21600,21600">
            <v:path/>
            <v:fill on="f" focussize="0,0"/>
            <v:stroke on="f" joinstyle="miter"/>
            <v:imagedata r:id="rId64" o:title=""/>
            <o:lock v:ext="edit" aspectratio="t"/>
            <w10:wrap type="none"/>
            <w10:anchorlock/>
          </v:shape>
          <o:OLEObject Type="Embed" ProgID="Equations" ShapeID="_x0000_i1041" DrawAspect="Content" ObjectID="_1468075741" r:id="rId63">
            <o:LockedField>false</o:LockedField>
          </o:OLEObject>
        </w:object>
      </w:r>
      <w:r>
        <w:rPr>
          <w:color w:val="auto"/>
          <w:szCs w:val="21"/>
        </w:rPr>
        <w:t>——</w:t>
      </w:r>
      <w:r>
        <w:rPr>
          <w:color w:val="auto"/>
        </w:rPr>
        <w:t>试验后保留在筛层上试样质量（g）；</w:t>
      </w:r>
    </w:p>
    <w:p>
      <w:pPr>
        <w:keepLines/>
        <w:tabs>
          <w:tab w:val="left" w:pos="0"/>
        </w:tabs>
        <w:spacing w:line="360" w:lineRule="auto"/>
        <w:ind w:firstLine="1050" w:firstLineChars="500"/>
        <w:rPr>
          <w:color w:val="auto"/>
        </w:rPr>
      </w:pPr>
      <w:r>
        <w:rPr>
          <w:color w:val="auto"/>
          <w:position w:val="-14"/>
          <w:szCs w:val="21"/>
        </w:rPr>
        <w:object>
          <v:shape id="_x0000_i1042" o:spt="75" type="#_x0000_t75" style="height:19.4pt;width:26.3pt;" o:ole="t" filled="f" o:preferrelative="t" stroked="f" coordsize="21600,21600">
            <v:path/>
            <v:fill on="f" focussize="0,0"/>
            <v:stroke on="f" joinstyle="miter"/>
            <v:imagedata r:id="rId66" o:title=""/>
            <o:lock v:ext="edit" aspectratio="t"/>
            <w10:wrap type="none"/>
            <w10:anchorlock/>
          </v:shape>
          <o:OLEObject Type="Embed" ProgID="Equations" ShapeID="_x0000_i1042" DrawAspect="Content" ObjectID="_1468075742" r:id="rId65">
            <o:LockedField>false</o:LockedField>
          </o:OLEObject>
        </w:object>
      </w:r>
      <w:r>
        <w:rPr>
          <w:color w:val="auto"/>
          <w:szCs w:val="21"/>
        </w:rPr>
        <w:t>——</w:t>
      </w:r>
      <w:r>
        <w:rPr>
          <w:color w:val="auto"/>
        </w:rPr>
        <w:t>试验前试样质量（g）。</w:t>
      </w:r>
    </w:p>
    <w:p>
      <w:pPr>
        <w:numPr>
          <w:ilvl w:val="0"/>
          <w:numId w:val="18"/>
        </w:numPr>
        <w:spacing w:line="360" w:lineRule="auto"/>
        <w:rPr>
          <w:color w:val="auto"/>
          <w:szCs w:val="21"/>
        </w:rPr>
      </w:pPr>
      <w:r>
        <w:rPr>
          <w:color w:val="auto"/>
          <w:szCs w:val="21"/>
        </w:rPr>
        <w:t>耐磨强度测试应做两份平行样品测试，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以算术平均值表示，并应精确至小数点后两位，且两次平行测试</w:t>
      </w:r>
      <w:r>
        <w:rPr>
          <w:rFonts w:hint="eastAsia"/>
          <w:color w:val="auto"/>
          <w:szCs w:val="21"/>
        </w:rPr>
        <w:t>计算</w:t>
      </w:r>
      <w:r>
        <w:rPr>
          <w:color w:val="auto"/>
          <w:szCs w:val="21"/>
        </w:rPr>
        <w:t>结果的差值不应大于2%。</w:t>
      </w:r>
    </w:p>
    <w:p>
      <w:pPr>
        <w:numPr>
          <w:ilvl w:val="0"/>
          <w:numId w:val="18"/>
        </w:numPr>
        <w:spacing w:line="360" w:lineRule="auto"/>
        <w:rPr>
          <w:color w:val="auto"/>
          <w:szCs w:val="21"/>
        </w:rPr>
      </w:pPr>
      <w:r>
        <w:rPr>
          <w:color w:val="auto"/>
          <w:szCs w:val="21"/>
        </w:rPr>
        <w:t>耐磨强度测试报告应包括试样编号、测试标准、测试仪器和设备、测试项目、测试结果、测试人员及测试日期等内容。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95" w:name="_Toc1764"/>
      <w:bookmarkStart w:id="96" w:name="_Toc7284"/>
      <w:bookmarkStart w:id="97" w:name="_Toc25944"/>
      <w:r>
        <w:rPr>
          <w:rFonts w:ascii="Times New Roman" w:hAnsi="Times New Roman" w:eastAsia="宋体"/>
          <w:b w:val="0"/>
          <w:color w:val="auto"/>
          <w:sz w:val="24"/>
          <w:szCs w:val="24"/>
        </w:rPr>
        <w:t>6.4 耐压强度</w:t>
      </w:r>
      <w:bookmarkEnd w:id="95"/>
      <w:bookmarkEnd w:id="96"/>
      <w:bookmarkEnd w:id="97"/>
    </w:p>
    <w:p>
      <w:pPr>
        <w:numPr>
          <w:ilvl w:val="0"/>
          <w:numId w:val="20"/>
        </w:numPr>
        <w:spacing w:line="360" w:lineRule="auto"/>
        <w:rPr>
          <w:color w:val="auto"/>
          <w:szCs w:val="21"/>
        </w:rPr>
      </w:pPr>
      <w:r>
        <w:rPr>
          <w:color w:val="auto"/>
          <w:szCs w:val="21"/>
        </w:rPr>
        <w:t>耐压强度</w:t>
      </w:r>
      <w:r>
        <w:rPr>
          <w:rFonts w:hint="eastAsia"/>
          <w:color w:val="auto"/>
          <w:szCs w:val="21"/>
        </w:rPr>
        <w:t>测试</w:t>
      </w:r>
      <w:r>
        <w:rPr>
          <w:color w:val="auto"/>
          <w:szCs w:val="21"/>
        </w:rPr>
        <w:t>应符合下列规定：</w:t>
      </w:r>
    </w:p>
    <w:p>
      <w:pPr>
        <w:numPr>
          <w:ilvl w:val="0"/>
          <w:numId w:val="21"/>
        </w:numPr>
        <w:tabs>
          <w:tab w:val="clear" w:pos="0"/>
        </w:tabs>
        <w:spacing w:line="360" w:lineRule="auto"/>
        <w:ind w:firstLine="420" w:firstLineChars="200"/>
        <w:rPr>
          <w:color w:val="auto"/>
          <w:szCs w:val="21"/>
        </w:rPr>
      </w:pPr>
      <w:r>
        <w:rPr>
          <w:color w:val="auto"/>
          <w:szCs w:val="21"/>
        </w:rPr>
        <w:t>从备用试样组中随机抽取</w:t>
      </w:r>
      <w:r>
        <w:rPr>
          <w:rFonts w:hint="eastAsia"/>
          <w:color w:val="auto"/>
          <w:szCs w:val="21"/>
        </w:rPr>
        <w:t>的测试试样应</w:t>
      </w:r>
      <w:r>
        <w:rPr>
          <w:color w:val="auto"/>
          <w:szCs w:val="21"/>
        </w:rPr>
        <w:t>表面光滑</w:t>
      </w:r>
      <w:r>
        <w:rPr>
          <w:rFonts w:hint="eastAsia"/>
          <w:color w:val="auto"/>
          <w:szCs w:val="21"/>
        </w:rPr>
        <w:t>，且试样数量宜为</w:t>
      </w:r>
      <w:r>
        <w:rPr>
          <w:color w:val="auto"/>
          <w:szCs w:val="21"/>
        </w:rPr>
        <w:t>20</w:t>
      </w:r>
      <w:r>
        <w:rPr>
          <w:rFonts w:hint="eastAsia"/>
          <w:color w:val="auto"/>
          <w:szCs w:val="21"/>
        </w:rPr>
        <w:t>个</w:t>
      </w:r>
      <w:r>
        <w:rPr>
          <w:color w:val="auto"/>
          <w:szCs w:val="21"/>
        </w:rPr>
        <w:t>；</w:t>
      </w:r>
    </w:p>
    <w:p>
      <w:pPr>
        <w:numPr>
          <w:ilvl w:val="0"/>
          <w:numId w:val="21"/>
        </w:numPr>
        <w:tabs>
          <w:tab w:val="clear" w:pos="0"/>
        </w:tabs>
        <w:spacing w:line="360" w:lineRule="auto"/>
        <w:ind w:firstLine="420" w:firstLineChars="200"/>
        <w:rPr>
          <w:color w:val="auto"/>
          <w:szCs w:val="21"/>
        </w:rPr>
      </w:pPr>
      <w:r>
        <w:rPr>
          <w:color w:val="auto"/>
          <w:szCs w:val="21"/>
        </w:rPr>
        <w:t>测试前，耐压强度仪应归零，压头下降和返回速度</w:t>
      </w:r>
      <w:r>
        <w:rPr>
          <w:rFonts w:hint="eastAsia"/>
          <w:color w:val="auto"/>
          <w:szCs w:val="21"/>
        </w:rPr>
        <w:t>应</w:t>
      </w:r>
      <w:r>
        <w:rPr>
          <w:color w:val="auto"/>
          <w:szCs w:val="21"/>
        </w:rPr>
        <w:t>分别设置为30mm/min和200mm/min，压头与试样接触返回位移</w:t>
      </w:r>
      <w:r>
        <w:rPr>
          <w:rFonts w:hint="eastAsia"/>
          <w:color w:val="auto"/>
          <w:szCs w:val="21"/>
        </w:rPr>
        <w:t>应</w:t>
      </w:r>
      <w:r>
        <w:rPr>
          <w:color w:val="auto"/>
          <w:szCs w:val="21"/>
        </w:rPr>
        <w:t>设置为1mm；</w:t>
      </w:r>
    </w:p>
    <w:p>
      <w:pPr>
        <w:numPr>
          <w:ilvl w:val="0"/>
          <w:numId w:val="21"/>
        </w:numPr>
        <w:tabs>
          <w:tab w:val="clear" w:pos="0"/>
        </w:tabs>
        <w:spacing w:line="360" w:lineRule="auto"/>
        <w:ind w:firstLine="420" w:firstLineChars="200"/>
        <w:rPr>
          <w:color w:val="auto"/>
          <w:szCs w:val="21"/>
        </w:rPr>
      </w:pPr>
      <w:r>
        <w:rPr>
          <w:rFonts w:hint="eastAsia"/>
          <w:color w:val="auto"/>
          <w:szCs w:val="21"/>
        </w:rPr>
        <w:t>应依次</w:t>
      </w:r>
      <w:r>
        <w:rPr>
          <w:color w:val="auto"/>
          <w:szCs w:val="21"/>
        </w:rPr>
        <w:t>将试样沿圆柱轴向置于耐压强度测试仪下夹具V型槽内</w:t>
      </w:r>
      <w:r>
        <w:rPr>
          <w:rFonts w:hint="eastAsia"/>
          <w:color w:val="auto"/>
          <w:szCs w:val="21"/>
        </w:rPr>
        <w:t>，应</w:t>
      </w:r>
      <w:r>
        <w:rPr>
          <w:color w:val="auto"/>
          <w:szCs w:val="21"/>
        </w:rPr>
        <w:t>记录</w:t>
      </w:r>
      <w:r>
        <w:rPr>
          <w:rFonts w:hint="eastAsia"/>
          <w:color w:val="auto"/>
          <w:szCs w:val="21"/>
        </w:rPr>
        <w:t>每个</w:t>
      </w:r>
      <w:r>
        <w:rPr>
          <w:color w:val="auto"/>
          <w:szCs w:val="21"/>
        </w:rPr>
        <w:t>试样压碎瞬间的压力值</w:t>
      </w:r>
      <w:r>
        <w:rPr>
          <w:rFonts w:hint="eastAsia"/>
          <w:color w:val="auto"/>
          <w:szCs w:val="21"/>
        </w:rPr>
        <w:t>作为</w:t>
      </w:r>
      <w:r>
        <w:rPr>
          <w:color w:val="auto"/>
          <w:szCs w:val="21"/>
        </w:rPr>
        <w:t>计算依据</w:t>
      </w:r>
      <w:r>
        <w:rPr>
          <w:rFonts w:hint="eastAsia"/>
          <w:color w:val="auto"/>
          <w:szCs w:val="21"/>
        </w:rPr>
        <w:t>，且应</w:t>
      </w:r>
      <w:r>
        <w:rPr>
          <w:color w:val="auto"/>
          <w:szCs w:val="21"/>
        </w:rPr>
        <w:t>精确至小数点后一位</w:t>
      </w:r>
      <w:r>
        <w:rPr>
          <w:color w:val="auto"/>
          <w:szCs w:val="21"/>
        </w:rPr>
        <w:t>。</w:t>
      </w:r>
    </w:p>
    <w:p>
      <w:pPr>
        <w:numPr>
          <w:ilvl w:val="0"/>
          <w:numId w:val="20"/>
        </w:numPr>
        <w:spacing w:line="360" w:lineRule="auto"/>
        <w:rPr>
          <w:color w:val="auto"/>
          <w:szCs w:val="21"/>
        </w:rPr>
      </w:pPr>
      <w:r>
        <w:rPr>
          <w:color w:val="auto"/>
          <w:szCs w:val="21"/>
        </w:rPr>
        <w:t>耐压强度应根据</w:t>
      </w:r>
      <w:r>
        <w:rPr>
          <w:rFonts w:hint="eastAsia"/>
          <w:color w:val="auto"/>
          <w:szCs w:val="21"/>
        </w:rPr>
        <w:t>本标准</w:t>
      </w:r>
      <w:r>
        <w:rPr>
          <w:color w:val="auto"/>
          <w:szCs w:val="21"/>
        </w:rPr>
        <w:t>第6.4.1条所测</w:t>
      </w:r>
      <w:r>
        <w:rPr>
          <w:rFonts w:hint="eastAsia"/>
          <w:color w:val="auto"/>
          <w:szCs w:val="21"/>
        </w:rPr>
        <w:t>每个试样的</w:t>
      </w:r>
      <w:r>
        <w:rPr>
          <w:color w:val="auto"/>
          <w:szCs w:val="21"/>
        </w:rPr>
        <w:t>压力值按下式进行计算：</w:t>
      </w:r>
    </w:p>
    <w:p>
      <w:pPr>
        <w:keepLines/>
        <w:tabs>
          <w:tab w:val="left" w:pos="0"/>
        </w:tabs>
        <w:spacing w:line="360" w:lineRule="auto"/>
        <w:jc w:val="right"/>
        <w:rPr>
          <w:color w:val="auto"/>
        </w:rPr>
      </w:pPr>
      <w:r>
        <w:rPr>
          <w:color w:val="auto"/>
          <w:position w:val="-28"/>
          <w:szCs w:val="21"/>
        </w:rPr>
        <w:object>
          <v:shape id="_x0000_i1043" o:spt="75" type="#_x0000_t75" style="height:34.45pt;width:68.85pt;" o:ole="t" filled="f" o:preferrelative="t" stroked="f" coordsize="21600,21600">
            <v:path/>
            <v:fill on="f" focussize="0,0"/>
            <v:stroke on="f" joinstyle="miter"/>
            <v:imagedata r:id="rId68" o:title=""/>
            <o:lock v:ext="edit" aspectratio="t"/>
            <w10:wrap type="none"/>
            <w10:anchorlock/>
          </v:shape>
          <o:OLEObject Type="Embed" ProgID="Equations" ShapeID="_x0000_i1043" DrawAspect="Content" ObjectID="_1468075743" r:id="rId67">
            <o:LockedField>false</o:LockedField>
          </o:OLEObject>
        </w:object>
      </w:r>
      <w:r>
        <w:rPr>
          <w:color w:val="auto"/>
        </w:rPr>
        <w:t>………………………………………………………（6.4.2）</w:t>
      </w:r>
    </w:p>
    <w:p>
      <w:pPr>
        <w:keepLines/>
        <w:tabs>
          <w:tab w:val="left" w:pos="0"/>
        </w:tabs>
        <w:spacing w:line="360" w:lineRule="auto"/>
        <w:ind w:firstLine="420" w:firstLineChars="200"/>
        <w:rPr>
          <w:color w:val="auto"/>
        </w:rPr>
      </w:pPr>
      <w:r>
        <w:rPr>
          <w:color w:val="auto"/>
        </w:rPr>
        <w:t>式中：</w:t>
      </w:r>
      <m:oMath>
        <m:r>
          <m:rPr>
            <m:sty m:val="p"/>
          </m:rPr>
          <w:rPr>
            <w:rFonts w:ascii="Cambria Math" w:hAnsi="Cambria Math"/>
            <w:color w:val="auto"/>
          </w:rPr>
          <m:t xml:space="preserve"> </m:t>
        </m:r>
      </m:oMath>
      <w:r>
        <w:rPr>
          <w:color w:val="auto"/>
          <w:position w:val="-4"/>
          <w:szCs w:val="21"/>
        </w:rPr>
        <w:object>
          <v:shape id="_x0000_i1044" o:spt="75" type="#_x0000_t75" style="height:13.15pt;width:13.15pt;" o:ole="t" filled="f" o:preferrelative="t" stroked="f" coordsize="21600,21600">
            <v:path/>
            <v:fill on="f" focussize="0,0"/>
            <v:stroke on="f" joinstyle="miter"/>
            <v:imagedata r:id="rId70" o:title=""/>
            <o:lock v:ext="edit" aspectratio="t"/>
            <w10:wrap type="none"/>
            <w10:anchorlock/>
          </v:shape>
          <o:OLEObject Type="Embed" ProgID="Equations" ShapeID="_x0000_i1044" DrawAspect="Content" ObjectID="_1468075744" r:id="rId69">
            <o:LockedField>false</o:LockedField>
          </o:OLEObject>
        </w:object>
      </w:r>
      <w:r>
        <w:rPr>
          <w:color w:val="auto"/>
          <w:szCs w:val="21"/>
        </w:rPr>
        <w:t>——</w:t>
      </w:r>
      <w:r>
        <w:rPr>
          <w:color w:val="auto"/>
          <w:lang w:val="zh-CN"/>
        </w:rPr>
        <w:t>耐压强度</w:t>
      </w:r>
      <w:r>
        <w:rPr>
          <w:color w:val="auto"/>
        </w:rPr>
        <w:t>（N）</w:t>
      </w:r>
      <w:r>
        <w:rPr>
          <w:rFonts w:hint="eastAsia"/>
          <w:color w:val="auto"/>
        </w:rPr>
        <w:t>，</w:t>
      </w:r>
      <w:r>
        <w:rPr>
          <w:color w:val="auto"/>
          <w:szCs w:val="21"/>
        </w:rPr>
        <w:t>精确至小数点后一位</w:t>
      </w:r>
      <w:r>
        <w:rPr>
          <w:color w:val="auto"/>
        </w:rPr>
        <w:t>；</w:t>
      </w:r>
    </w:p>
    <w:p>
      <w:pPr>
        <w:keepLines/>
        <w:tabs>
          <w:tab w:val="left" w:pos="0"/>
        </w:tabs>
        <w:spacing w:line="360" w:lineRule="auto"/>
        <w:ind w:firstLine="1050" w:firstLineChars="500"/>
        <w:rPr>
          <w:color w:val="auto"/>
          <w:szCs w:val="21"/>
        </w:rPr>
      </w:pPr>
      <w:r>
        <w:rPr>
          <w:color w:val="auto"/>
          <w:position w:val="-12"/>
          <w:szCs w:val="21"/>
        </w:rPr>
        <w:object>
          <v:shape id="_x0000_i1045" o:spt="75" type="#_x0000_t75" style="height:18.15pt;width:13.15pt;" o:ole="t" filled="f" o:preferrelative="t" stroked="f" coordsize="21600,21600">
            <v:path/>
            <v:fill on="f" focussize="0,0"/>
            <v:stroke on="f" joinstyle="miter"/>
            <v:imagedata r:id="rId72" o:title=""/>
            <o:lock v:ext="edit" aspectratio="t"/>
            <w10:wrap type="none"/>
            <w10:anchorlock/>
          </v:shape>
          <o:OLEObject Type="Embed" ProgID="Equations" ShapeID="_x0000_i1045" DrawAspect="Content" ObjectID="_1468075745" r:id="rId71">
            <o:LockedField>false</o:LockedField>
          </o:OLEObject>
        </w:object>
      </w:r>
      <w:r>
        <w:rPr>
          <w:color w:val="auto"/>
          <w:szCs w:val="21"/>
        </w:rPr>
        <w:t>——</w:t>
      </w:r>
      <w:r>
        <w:rPr>
          <w:color w:val="auto"/>
          <w:lang w:val="zh-CN"/>
        </w:rPr>
        <w:t>第</w:t>
      </w:r>
      <w:r>
        <w:rPr>
          <w:i/>
          <w:iCs/>
          <w:color w:val="auto"/>
          <w:position w:val="-6"/>
          <w:szCs w:val="21"/>
        </w:rPr>
        <w:object>
          <v:shape id="_x0000_i1046" o:spt="75" type="#_x0000_t75" style="height:12.5pt;width:6.9pt;" o:ole="t" filled="f" o:preferrelative="t" stroked="f" coordsize="21600,21600">
            <v:path/>
            <v:fill on="f" focussize="0,0"/>
            <v:stroke on="f" joinstyle="miter"/>
            <v:imagedata r:id="rId74" o:title=""/>
            <o:lock v:ext="edit" aspectratio="t"/>
            <w10:wrap type="none"/>
            <w10:anchorlock/>
          </v:shape>
          <o:OLEObject Type="Embed" ProgID="Equations" ShapeID="_x0000_i1046" DrawAspect="Content" ObjectID="_1468075746" r:id="rId73">
            <o:LockedField>false</o:LockedField>
          </o:OLEObject>
        </w:object>
      </w:r>
      <w:r>
        <w:rPr>
          <w:color w:val="auto"/>
        </w:rPr>
        <w:t>次检测</w:t>
      </w:r>
      <w:r>
        <w:rPr>
          <w:rFonts w:hint="eastAsia"/>
          <w:color w:val="auto"/>
        </w:rPr>
        <w:t>的压力</w:t>
      </w:r>
      <w:r>
        <w:rPr>
          <w:color w:val="auto"/>
        </w:rPr>
        <w:t>值（N）</w:t>
      </w:r>
      <w:r>
        <w:rPr>
          <w:color w:val="auto"/>
          <w:szCs w:val="21"/>
        </w:rPr>
        <w:t>。</w:t>
      </w:r>
    </w:p>
    <w:p>
      <w:pPr>
        <w:numPr>
          <w:ilvl w:val="0"/>
          <w:numId w:val="20"/>
        </w:numPr>
        <w:spacing w:line="360" w:lineRule="auto"/>
        <w:rPr>
          <w:color w:val="auto"/>
          <w:szCs w:val="21"/>
        </w:rPr>
      </w:pPr>
      <w:r>
        <w:rPr>
          <w:rFonts w:hint="eastAsia"/>
          <w:color w:val="auto"/>
          <w:szCs w:val="21"/>
        </w:rPr>
        <w:t>耐压强度的</w:t>
      </w:r>
      <w:r>
        <w:rPr>
          <w:color w:val="auto"/>
          <w:szCs w:val="21"/>
        </w:rPr>
        <w:t>变异系数应按下式进行计算：</w:t>
      </w:r>
    </w:p>
    <w:p>
      <w:pPr>
        <w:keepLines/>
        <w:tabs>
          <w:tab w:val="left" w:pos="0"/>
        </w:tabs>
        <w:spacing w:line="360" w:lineRule="auto"/>
        <w:jc w:val="right"/>
        <w:rPr>
          <w:color w:val="auto"/>
        </w:rPr>
      </w:pPr>
      <w:r>
        <w:rPr>
          <w:color w:val="auto"/>
        </w:rPr>
        <w:tab/>
      </w:r>
      <w:r>
        <w:rPr>
          <w:color w:val="auto"/>
        </w:rPr>
        <w:tab/>
      </w:r>
      <w:r>
        <w:rPr>
          <w:color w:val="auto"/>
          <w:position w:val="-26"/>
          <w:szCs w:val="21"/>
        </w:rPr>
        <w:object>
          <v:shape id="_x0000_i1047" o:spt="75" type="#_x0000_t75" style="height:53.2pt;width:119.6pt;" o:ole="t" filled="f" o:preferrelative="t" stroked="f" coordsize="21600,21600">
            <v:path/>
            <v:fill on="f" focussize="0,0"/>
            <v:stroke on="f" joinstyle="miter"/>
            <v:imagedata r:id="rId76" o:title=""/>
            <o:lock v:ext="edit" aspectratio="t"/>
            <w10:wrap type="none"/>
            <w10:anchorlock/>
          </v:shape>
          <o:OLEObject Type="Embed" ProgID="Equations" ShapeID="_x0000_i1047" DrawAspect="Content" ObjectID="_1468075747" r:id="rId75">
            <o:LockedField>false</o:LockedField>
          </o:OLEObject>
        </w:object>
      </w:r>
      <w:r>
        <w:rPr>
          <w:color w:val="auto"/>
        </w:rPr>
        <w:t>………………………………………………(6.4.4)</w:t>
      </w:r>
    </w:p>
    <w:p>
      <w:pPr>
        <w:keepLines/>
        <w:tabs>
          <w:tab w:val="left" w:pos="0"/>
        </w:tabs>
        <w:spacing w:line="360" w:lineRule="auto"/>
        <w:ind w:firstLine="420" w:firstLineChars="200"/>
        <w:rPr>
          <w:color w:val="auto"/>
          <w:szCs w:val="21"/>
        </w:rPr>
      </w:pPr>
      <w:r>
        <w:rPr>
          <w:color w:val="auto"/>
        </w:rPr>
        <w:t>式中：</w:t>
      </w:r>
      <m:oMath>
        <m:r>
          <m:rPr>
            <m:sty m:val="p"/>
          </m:rPr>
          <w:rPr>
            <w:rFonts w:ascii="Cambria Math" w:hAnsi="Cambria Math"/>
            <w:color w:val="auto"/>
          </w:rPr>
          <m:t xml:space="preserve"> </m:t>
        </m:r>
      </m:oMath>
      <w:r>
        <w:rPr>
          <w:color w:val="auto"/>
          <w:position w:val="-6"/>
          <w:szCs w:val="21"/>
        </w:rPr>
        <w:object>
          <v:shape id="_x0000_i1048" o:spt="75" type="#_x0000_t75" style="height:14.4pt;width:24.4pt;" o:ole="t" filled="f" o:preferrelative="t" stroked="f" coordsize="21600,21600">
            <v:path/>
            <v:fill on="f" focussize="0,0"/>
            <v:stroke on="f" joinstyle="miter"/>
            <v:imagedata r:id="rId78" o:title=""/>
            <o:lock v:ext="edit" aspectratio="t"/>
            <w10:wrap type="none"/>
            <w10:anchorlock/>
          </v:shape>
          <o:OLEObject Type="Embed" ProgID="Equations" ShapeID="_x0000_i1048" DrawAspect="Content" ObjectID="_1468075748" r:id="rId77">
            <o:LockedField>false</o:LockedField>
          </o:OLEObject>
        </w:object>
      </w:r>
      <w:r>
        <w:rPr>
          <w:color w:val="auto"/>
          <w:szCs w:val="21"/>
        </w:rPr>
        <w:t>——</w:t>
      </w:r>
      <w:r>
        <w:rPr>
          <w:color w:val="auto"/>
        </w:rPr>
        <w:t>变异系数</w:t>
      </w:r>
      <w:r>
        <w:rPr>
          <w:rFonts w:hint="eastAsia"/>
          <w:color w:val="auto"/>
        </w:rPr>
        <w:t>，</w:t>
      </w:r>
      <w:r>
        <w:rPr>
          <w:color w:val="auto"/>
          <w:szCs w:val="21"/>
        </w:rPr>
        <w:t>精确至小数点后两位。</w:t>
      </w:r>
    </w:p>
    <w:p>
      <w:pPr>
        <w:numPr>
          <w:ilvl w:val="0"/>
          <w:numId w:val="20"/>
        </w:numPr>
        <w:spacing w:line="360" w:lineRule="auto"/>
        <w:rPr>
          <w:color w:val="auto"/>
          <w:szCs w:val="21"/>
        </w:rPr>
      </w:pPr>
      <w:r>
        <w:rPr>
          <w:color w:val="auto"/>
          <w:szCs w:val="21"/>
        </w:rPr>
        <w:t>耐压强度测试报告应包括试样编号、测试标准、测试仪器和设备、测试项目、测试结果、测试人员及测试日期等内容。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98" w:name="_Toc4513"/>
      <w:bookmarkStart w:id="99" w:name="_Toc25643"/>
      <w:bookmarkStart w:id="100" w:name="_Toc7873"/>
      <w:r>
        <w:rPr>
          <w:rFonts w:ascii="Times New Roman" w:hAnsi="Times New Roman" w:eastAsia="宋体"/>
          <w:b w:val="0"/>
          <w:color w:val="auto"/>
          <w:sz w:val="24"/>
          <w:szCs w:val="24"/>
        </w:rPr>
        <w:t>6.5 着火点</w:t>
      </w:r>
      <w:bookmarkEnd w:id="98"/>
      <w:bookmarkEnd w:id="99"/>
      <w:bookmarkEnd w:id="100"/>
    </w:p>
    <w:p>
      <w:pPr>
        <w:numPr>
          <w:ilvl w:val="0"/>
          <w:numId w:val="22"/>
        </w:numPr>
        <w:spacing w:line="360" w:lineRule="auto"/>
        <w:rPr>
          <w:color w:val="auto"/>
          <w:szCs w:val="21"/>
        </w:rPr>
      </w:pPr>
      <w:r>
        <w:rPr>
          <w:color w:val="auto"/>
          <w:szCs w:val="21"/>
        </w:rPr>
        <w:t>着火点</w:t>
      </w:r>
      <w:r>
        <w:rPr>
          <w:color w:val="auto"/>
          <w:szCs w:val="21"/>
        </w:rPr>
        <w:t>测试应符合下列规定：</w:t>
      </w:r>
    </w:p>
    <w:p>
      <w:pPr>
        <w:numPr>
          <w:ilvl w:val="0"/>
          <w:numId w:val="23"/>
        </w:numPr>
        <w:tabs>
          <w:tab w:val="clear" w:pos="0"/>
        </w:tabs>
        <w:spacing w:line="360" w:lineRule="auto"/>
        <w:ind w:firstLine="420" w:firstLineChars="200"/>
        <w:rPr>
          <w:color w:val="auto"/>
          <w:szCs w:val="21"/>
        </w:rPr>
      </w:pPr>
      <w:r>
        <w:rPr>
          <w:rFonts w:hint="eastAsia"/>
          <w:color w:val="auto"/>
          <w:szCs w:val="21"/>
        </w:rPr>
        <w:t>测试用</w:t>
      </w:r>
      <w:r>
        <w:rPr>
          <w:color w:val="auto"/>
          <w:szCs w:val="21"/>
        </w:rPr>
        <w:t>石英灼管</w:t>
      </w:r>
      <w:r>
        <w:rPr>
          <w:rFonts w:hint="eastAsia"/>
          <w:color w:val="auto"/>
          <w:szCs w:val="21"/>
        </w:rPr>
        <w:t>的</w:t>
      </w:r>
      <w:r>
        <w:rPr>
          <w:color w:val="auto"/>
          <w:szCs w:val="21"/>
        </w:rPr>
        <w:t>两端</w:t>
      </w:r>
      <w:r>
        <w:rPr>
          <w:rFonts w:hint="eastAsia"/>
          <w:color w:val="auto"/>
          <w:szCs w:val="21"/>
        </w:rPr>
        <w:t>应</w:t>
      </w:r>
      <w:r>
        <w:rPr>
          <w:color w:val="auto"/>
          <w:szCs w:val="21"/>
        </w:rPr>
        <w:t>为多孔石英板</w:t>
      </w:r>
      <w:r>
        <w:rPr>
          <w:rFonts w:hint="eastAsia"/>
          <w:color w:val="auto"/>
          <w:szCs w:val="21"/>
        </w:rPr>
        <w:t>，其</w:t>
      </w:r>
      <w:r>
        <w:rPr>
          <w:color w:val="auto"/>
          <w:szCs w:val="21"/>
        </w:rPr>
        <w:t>直径</w:t>
      </w:r>
      <w:r>
        <w:rPr>
          <w:rFonts w:hint="eastAsia"/>
          <w:color w:val="auto"/>
          <w:szCs w:val="21"/>
        </w:rPr>
        <w:t>宜</w:t>
      </w:r>
      <w:r>
        <w:rPr>
          <w:color w:val="auto"/>
          <w:szCs w:val="21"/>
        </w:rPr>
        <w:t>为20mm</w:t>
      </w:r>
      <w:r>
        <w:rPr>
          <w:rFonts w:hint="eastAsia"/>
          <w:color w:val="auto"/>
          <w:szCs w:val="21"/>
        </w:rPr>
        <w:t>，</w:t>
      </w:r>
      <w:r>
        <w:rPr>
          <w:color w:val="auto"/>
          <w:szCs w:val="21"/>
        </w:rPr>
        <w:t>试样</w:t>
      </w:r>
      <w:r>
        <w:rPr>
          <w:rFonts w:hint="eastAsia"/>
          <w:color w:val="auto"/>
          <w:szCs w:val="21"/>
        </w:rPr>
        <w:t>填充</w:t>
      </w:r>
      <w:r>
        <w:rPr>
          <w:color w:val="auto"/>
          <w:szCs w:val="21"/>
        </w:rPr>
        <w:t>高度</w:t>
      </w:r>
      <w:r>
        <w:rPr>
          <w:rFonts w:hint="eastAsia"/>
          <w:color w:val="auto"/>
          <w:szCs w:val="21"/>
        </w:rPr>
        <w:t>宜</w:t>
      </w:r>
      <w:r>
        <w:rPr>
          <w:color w:val="auto"/>
          <w:szCs w:val="21"/>
        </w:rPr>
        <w:t>为（75±1）mm；</w:t>
      </w:r>
    </w:p>
    <w:p>
      <w:pPr>
        <w:numPr>
          <w:ilvl w:val="0"/>
          <w:numId w:val="23"/>
        </w:numPr>
        <w:tabs>
          <w:tab w:val="clear" w:pos="0"/>
        </w:tabs>
        <w:spacing w:line="360" w:lineRule="auto"/>
        <w:ind w:firstLine="420" w:firstLineChars="200"/>
        <w:rPr>
          <w:color w:val="auto"/>
          <w:szCs w:val="21"/>
        </w:rPr>
      </w:pPr>
      <w:r>
        <w:rPr>
          <w:rFonts w:hint="eastAsia"/>
          <w:color w:val="auto"/>
          <w:szCs w:val="21"/>
        </w:rPr>
        <w:t>应</w:t>
      </w:r>
      <w:r>
        <w:rPr>
          <w:color w:val="auto"/>
          <w:szCs w:val="21"/>
        </w:rPr>
        <w:t>将热电偶</w:t>
      </w:r>
      <w:r>
        <w:rPr>
          <w:rFonts w:hint="eastAsia"/>
          <w:color w:val="auto"/>
          <w:szCs w:val="21"/>
        </w:rPr>
        <w:t>（</w:t>
      </w:r>
      <w:r>
        <w:rPr>
          <w:color w:val="auto"/>
          <w:szCs w:val="21"/>
        </w:rPr>
        <w:t>T1</w:t>
      </w:r>
      <w:r>
        <w:rPr>
          <w:rFonts w:hint="eastAsia"/>
          <w:color w:val="auto"/>
          <w:szCs w:val="21"/>
        </w:rPr>
        <w:t>）</w:t>
      </w:r>
      <w:r>
        <w:rPr>
          <w:color w:val="auto"/>
          <w:szCs w:val="21"/>
        </w:rPr>
        <w:t>尖端置于碳基材料试样</w:t>
      </w:r>
      <w:r>
        <w:rPr>
          <w:rFonts w:hint="eastAsia"/>
          <w:color w:val="auto"/>
          <w:szCs w:val="21"/>
        </w:rPr>
        <w:t>高度的</w:t>
      </w:r>
      <w:r>
        <w:rPr>
          <w:color w:val="auto"/>
          <w:szCs w:val="21"/>
        </w:rPr>
        <w:t>二分之一处；</w:t>
      </w:r>
    </w:p>
    <w:p>
      <w:pPr>
        <w:numPr>
          <w:ilvl w:val="0"/>
          <w:numId w:val="23"/>
        </w:numPr>
        <w:tabs>
          <w:tab w:val="clear" w:pos="0"/>
        </w:tabs>
        <w:spacing w:line="360" w:lineRule="auto"/>
        <w:ind w:firstLine="420" w:firstLineChars="200"/>
        <w:rPr>
          <w:color w:val="auto"/>
          <w:szCs w:val="21"/>
        </w:rPr>
      </w:pPr>
      <w:r>
        <w:rPr>
          <w:color w:val="auto"/>
          <w:szCs w:val="21"/>
        </w:rPr>
        <w:t>通入石英灼管</w:t>
      </w:r>
      <w:r>
        <w:rPr>
          <w:rFonts w:hint="eastAsia"/>
          <w:color w:val="auto"/>
          <w:szCs w:val="21"/>
        </w:rPr>
        <w:t>的</w:t>
      </w:r>
      <w:r>
        <w:rPr>
          <w:color w:val="auto"/>
          <w:szCs w:val="21"/>
        </w:rPr>
        <w:t>空气流量</w:t>
      </w:r>
      <w:r>
        <w:rPr>
          <w:rFonts w:hint="eastAsia"/>
          <w:color w:val="auto"/>
          <w:szCs w:val="21"/>
        </w:rPr>
        <w:t>宜</w:t>
      </w:r>
      <w:r>
        <w:rPr>
          <w:color w:val="auto"/>
          <w:szCs w:val="21"/>
        </w:rPr>
        <w:t>为（14.7±0.3） L/min</w:t>
      </w:r>
      <w:r>
        <w:rPr>
          <w:rFonts w:hint="eastAsia"/>
          <w:color w:val="auto"/>
          <w:szCs w:val="21"/>
        </w:rPr>
        <w:t>，</w:t>
      </w:r>
      <w:r>
        <w:rPr>
          <w:color w:val="auto"/>
          <w:szCs w:val="21"/>
        </w:rPr>
        <w:t>且</w:t>
      </w:r>
      <w:r>
        <w:rPr>
          <w:rFonts w:hint="eastAsia"/>
          <w:color w:val="auto"/>
          <w:szCs w:val="21"/>
        </w:rPr>
        <w:t>应</w:t>
      </w:r>
      <w:r>
        <w:rPr>
          <w:color w:val="auto"/>
          <w:szCs w:val="21"/>
        </w:rPr>
        <w:t>干燥、洁净、无油；</w:t>
      </w:r>
    </w:p>
    <w:p>
      <w:pPr>
        <w:numPr>
          <w:ilvl w:val="0"/>
          <w:numId w:val="23"/>
        </w:numPr>
        <w:tabs>
          <w:tab w:val="clear" w:pos="0"/>
        </w:tabs>
        <w:spacing w:line="360" w:lineRule="auto"/>
        <w:ind w:firstLine="420" w:firstLineChars="200"/>
        <w:rPr>
          <w:color w:val="auto"/>
          <w:szCs w:val="21"/>
        </w:rPr>
      </w:pPr>
      <w:r>
        <w:rPr>
          <w:rFonts w:hint="eastAsia"/>
          <w:color w:val="auto"/>
          <w:szCs w:val="21"/>
        </w:rPr>
        <w:t>当</w:t>
      </w:r>
      <w:r>
        <w:rPr>
          <w:color w:val="auto"/>
          <w:szCs w:val="21"/>
        </w:rPr>
        <w:t>碳基材料试样</w:t>
      </w:r>
      <w:r>
        <w:rPr>
          <w:rFonts w:hint="eastAsia"/>
          <w:color w:val="auto"/>
          <w:szCs w:val="21"/>
        </w:rPr>
        <w:t>温度在室温~</w:t>
      </w:r>
      <w:r>
        <w:rPr>
          <w:color w:val="auto"/>
          <w:szCs w:val="21"/>
        </w:rPr>
        <w:t>150℃</w:t>
      </w:r>
      <w:r>
        <w:rPr>
          <w:rFonts w:hint="eastAsia"/>
          <w:color w:val="auto"/>
          <w:szCs w:val="21"/>
        </w:rPr>
        <w:t>时，通过调节</w:t>
      </w:r>
      <w:r>
        <w:rPr>
          <w:color w:val="auto"/>
          <w:szCs w:val="21"/>
        </w:rPr>
        <w:t>程序升温器</w:t>
      </w:r>
      <w:r>
        <w:rPr>
          <w:rFonts w:hint="eastAsia"/>
          <w:color w:val="auto"/>
          <w:szCs w:val="21"/>
        </w:rPr>
        <w:t>控制</w:t>
      </w:r>
      <w:r>
        <w:rPr>
          <w:color w:val="auto"/>
          <w:szCs w:val="21"/>
        </w:rPr>
        <w:t>通往碳基材料试样的空气流</w:t>
      </w:r>
      <w:r>
        <w:rPr>
          <w:rFonts w:hint="eastAsia"/>
          <w:color w:val="auto"/>
          <w:szCs w:val="21"/>
        </w:rPr>
        <w:t>升温速率宜为</w:t>
      </w:r>
      <w:r>
        <w:rPr>
          <w:color w:val="auto"/>
          <w:szCs w:val="21"/>
        </w:rPr>
        <w:t>10℃/min</w:t>
      </w:r>
      <w:r>
        <w:rPr>
          <w:rFonts w:hint="eastAsia"/>
          <w:color w:val="auto"/>
          <w:szCs w:val="21"/>
        </w:rPr>
        <w:t>；当</w:t>
      </w:r>
      <w:r>
        <w:rPr>
          <w:color w:val="auto"/>
          <w:szCs w:val="21"/>
        </w:rPr>
        <w:t>碳基材料试样</w:t>
      </w:r>
      <w:r>
        <w:rPr>
          <w:rFonts w:hint="eastAsia"/>
          <w:color w:val="auto"/>
          <w:szCs w:val="21"/>
        </w:rPr>
        <w:t>温度大于</w:t>
      </w:r>
      <w:r>
        <w:rPr>
          <w:color w:val="auto"/>
          <w:szCs w:val="21"/>
        </w:rPr>
        <w:t>150℃</w:t>
      </w:r>
      <w:r>
        <w:rPr>
          <w:rFonts w:hint="eastAsia"/>
          <w:color w:val="auto"/>
          <w:szCs w:val="21"/>
        </w:rPr>
        <w:t>时，</w:t>
      </w:r>
      <w:r>
        <w:rPr>
          <w:color w:val="auto"/>
          <w:szCs w:val="21"/>
        </w:rPr>
        <w:t>通往碳基材料试样的空气流</w:t>
      </w:r>
      <w:r>
        <w:rPr>
          <w:rFonts w:hint="eastAsia"/>
          <w:color w:val="auto"/>
          <w:szCs w:val="21"/>
        </w:rPr>
        <w:t>升温速率宜为</w:t>
      </w:r>
      <w:r>
        <w:rPr>
          <w:color w:val="auto"/>
          <w:szCs w:val="21"/>
        </w:rPr>
        <w:t>2℃/min ~3℃/min</w:t>
      </w:r>
      <w:r>
        <w:rPr>
          <w:color w:val="auto"/>
          <w:szCs w:val="21"/>
        </w:rPr>
        <w:t>，同时程序</w:t>
      </w:r>
      <w:r>
        <w:rPr>
          <w:rFonts w:hint="eastAsia"/>
          <w:color w:val="auto"/>
          <w:szCs w:val="21"/>
        </w:rPr>
        <w:t>应</w:t>
      </w:r>
      <w:r>
        <w:rPr>
          <w:color w:val="auto"/>
          <w:szCs w:val="21"/>
        </w:rPr>
        <w:t>每1</w:t>
      </w:r>
      <w:r>
        <w:rPr>
          <w:rFonts w:hint="eastAsia"/>
          <w:color w:val="auto"/>
          <w:szCs w:val="21"/>
        </w:rPr>
        <w:t>s</w:t>
      </w:r>
      <w:r>
        <w:rPr>
          <w:rFonts w:hint="eastAsia"/>
          <w:color w:val="auto"/>
          <w:szCs w:val="21"/>
        </w:rPr>
        <w:t>自动</w:t>
      </w:r>
      <w:r>
        <w:rPr>
          <w:color w:val="auto"/>
          <w:szCs w:val="21"/>
        </w:rPr>
        <w:t>读取一个温度值</w:t>
      </w:r>
      <w:r>
        <w:rPr>
          <w:rFonts w:hint="eastAsia"/>
          <w:color w:val="auto"/>
          <w:szCs w:val="21"/>
        </w:rPr>
        <w:t>；</w:t>
      </w:r>
    </w:p>
    <w:p>
      <w:pPr>
        <w:numPr>
          <w:ilvl w:val="0"/>
          <w:numId w:val="23"/>
        </w:numPr>
        <w:tabs>
          <w:tab w:val="clear" w:pos="0"/>
        </w:tabs>
        <w:spacing w:line="360" w:lineRule="auto"/>
        <w:ind w:firstLine="420" w:firstLineChars="200"/>
        <w:rPr>
          <w:color w:val="auto"/>
          <w:szCs w:val="21"/>
        </w:rPr>
      </w:pPr>
      <w:r>
        <w:rPr>
          <w:rFonts w:hint="eastAsia"/>
          <w:color w:val="auto"/>
          <w:szCs w:val="21"/>
        </w:rPr>
        <w:t>当</w:t>
      </w:r>
      <w:r>
        <w:rPr>
          <w:color w:val="auto"/>
          <w:szCs w:val="21"/>
        </w:rPr>
        <w:t>热电偶</w:t>
      </w:r>
      <w:r>
        <w:rPr>
          <w:rFonts w:hint="eastAsia"/>
          <w:color w:val="auto"/>
          <w:szCs w:val="21"/>
        </w:rPr>
        <w:t>（</w:t>
      </w:r>
      <w:r>
        <w:rPr>
          <w:color w:val="auto"/>
          <w:szCs w:val="21"/>
        </w:rPr>
        <w:t>T1</w:t>
      </w:r>
      <w:r>
        <w:rPr>
          <w:rFonts w:hint="eastAsia"/>
          <w:color w:val="auto"/>
          <w:szCs w:val="21"/>
        </w:rPr>
        <w:t>）</w:t>
      </w:r>
      <w:r>
        <w:rPr>
          <w:color w:val="auto"/>
          <w:szCs w:val="21"/>
        </w:rPr>
        <w:t>连续测得</w:t>
      </w:r>
      <w:r>
        <w:rPr>
          <w:rFonts w:hint="eastAsia"/>
          <w:color w:val="auto"/>
          <w:szCs w:val="21"/>
        </w:rPr>
        <w:t>的</w:t>
      </w:r>
      <w:r>
        <w:rPr>
          <w:color w:val="auto"/>
          <w:szCs w:val="21"/>
        </w:rPr>
        <w:t>温度突然升高</w:t>
      </w:r>
      <w:r>
        <w:rPr>
          <w:rFonts w:hint="eastAsia"/>
          <w:color w:val="auto"/>
          <w:szCs w:val="21"/>
        </w:rPr>
        <w:t>，且首次出现连续三个温度值的差值均大于1时</w:t>
      </w:r>
      <w:r>
        <w:rPr>
          <w:color w:val="auto"/>
          <w:szCs w:val="21"/>
        </w:rPr>
        <w:t>，</w:t>
      </w:r>
      <w:r>
        <w:rPr>
          <w:rFonts w:hint="eastAsia"/>
          <w:color w:val="auto"/>
          <w:szCs w:val="21"/>
        </w:rPr>
        <w:t>程序应自动读取此时的温度（Ti）作为碳基材料的</w:t>
      </w:r>
      <w:r>
        <w:rPr>
          <w:color w:val="auto"/>
          <w:szCs w:val="21"/>
        </w:rPr>
        <w:t>着火点；</w:t>
      </w:r>
    </w:p>
    <w:p>
      <w:pPr>
        <w:numPr>
          <w:ilvl w:val="0"/>
          <w:numId w:val="23"/>
        </w:numPr>
        <w:tabs>
          <w:tab w:val="clear" w:pos="0"/>
        </w:tabs>
        <w:spacing w:line="360" w:lineRule="auto"/>
        <w:ind w:firstLine="420" w:firstLineChars="200"/>
        <w:rPr>
          <w:color w:val="auto"/>
          <w:szCs w:val="21"/>
        </w:rPr>
      </w:pPr>
      <w:r>
        <w:rPr>
          <w:color w:val="auto"/>
          <w:szCs w:val="21"/>
        </w:rPr>
        <w:t>试样温度突然升高并发生着火时，程序</w:t>
      </w:r>
      <w:r>
        <w:rPr>
          <w:rFonts w:hint="eastAsia"/>
          <w:color w:val="auto"/>
          <w:szCs w:val="21"/>
        </w:rPr>
        <w:t>应</w:t>
      </w:r>
      <w:r>
        <w:rPr>
          <w:color w:val="auto"/>
          <w:szCs w:val="21"/>
        </w:rPr>
        <w:t>立刻自动控制切断空气流，并</w:t>
      </w:r>
      <w:r>
        <w:rPr>
          <w:rFonts w:hint="eastAsia"/>
          <w:color w:val="auto"/>
          <w:szCs w:val="21"/>
        </w:rPr>
        <w:t>应</w:t>
      </w:r>
      <w:r>
        <w:rPr>
          <w:color w:val="auto"/>
          <w:szCs w:val="21"/>
        </w:rPr>
        <w:t>通入氮气灭火。</w:t>
      </w:r>
    </w:p>
    <w:p>
      <w:pPr>
        <w:numPr>
          <w:ilvl w:val="0"/>
          <w:numId w:val="22"/>
        </w:numPr>
        <w:spacing w:line="360" w:lineRule="auto"/>
        <w:rPr>
          <w:color w:val="auto"/>
          <w:szCs w:val="21"/>
        </w:rPr>
      </w:pPr>
      <w:r>
        <w:rPr>
          <w:color w:val="auto"/>
          <w:szCs w:val="21"/>
        </w:rPr>
        <w:t>着火点测试应做两份平行样品测定，结果应以算术平均值表示，并应精确至整数位，且两次平行测定结果的差值</w:t>
      </w:r>
      <w:r>
        <w:rPr>
          <w:rFonts w:hint="eastAsia"/>
          <w:color w:val="auto"/>
          <w:szCs w:val="21"/>
        </w:rPr>
        <w:t>不应大于</w:t>
      </w:r>
      <w:r>
        <w:rPr>
          <w:color w:val="auto"/>
          <w:szCs w:val="21"/>
        </w:rPr>
        <w:t>10℃。</w:t>
      </w:r>
    </w:p>
    <w:p>
      <w:pPr>
        <w:numPr>
          <w:ilvl w:val="0"/>
          <w:numId w:val="22"/>
        </w:numPr>
        <w:spacing w:line="360" w:lineRule="auto"/>
        <w:rPr>
          <w:color w:val="auto"/>
          <w:szCs w:val="21"/>
        </w:rPr>
      </w:pPr>
      <w:r>
        <w:rPr>
          <w:color w:val="auto"/>
          <w:szCs w:val="21"/>
        </w:rPr>
        <w:t>着火点测试报告应包括试样编号、测试标准、测试仪器和设备、测试项目、测试结果、测试人员及测试日期等内容。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01" w:name="_Toc3312"/>
      <w:bookmarkStart w:id="102" w:name="_Toc12967"/>
      <w:bookmarkStart w:id="103" w:name="_Toc5804"/>
      <w:r>
        <w:rPr>
          <w:rFonts w:ascii="Times New Roman" w:hAnsi="Times New Roman" w:eastAsia="宋体"/>
          <w:b w:val="0"/>
          <w:color w:val="auto"/>
          <w:sz w:val="24"/>
          <w:szCs w:val="24"/>
        </w:rPr>
        <w:t>6.6 水分</w:t>
      </w:r>
      <w:bookmarkEnd w:id="101"/>
      <w:bookmarkEnd w:id="102"/>
      <w:bookmarkEnd w:id="103"/>
    </w:p>
    <w:p>
      <w:pPr>
        <w:numPr>
          <w:ilvl w:val="0"/>
          <w:numId w:val="24"/>
        </w:numPr>
        <w:spacing w:line="360" w:lineRule="auto"/>
        <w:rPr>
          <w:color w:val="auto"/>
          <w:szCs w:val="21"/>
        </w:rPr>
      </w:pPr>
      <w:r>
        <w:rPr>
          <w:color w:val="auto"/>
          <w:szCs w:val="21"/>
        </w:rPr>
        <w:t>水分</w:t>
      </w:r>
      <w:r>
        <w:rPr>
          <w:color w:val="auto"/>
          <w:szCs w:val="21"/>
        </w:rPr>
        <w:t>测试应符合下列规定：</w:t>
      </w:r>
    </w:p>
    <w:p>
      <w:pPr>
        <w:numPr>
          <w:ilvl w:val="0"/>
          <w:numId w:val="25"/>
        </w:numPr>
        <w:tabs>
          <w:tab w:val="clear" w:pos="0"/>
        </w:tabs>
        <w:spacing w:line="360" w:lineRule="auto"/>
        <w:ind w:firstLine="420" w:firstLineChars="200"/>
        <w:rPr>
          <w:color w:val="auto"/>
          <w:szCs w:val="21"/>
          <w:highlight w:val="none"/>
        </w:rPr>
      </w:pPr>
      <w:r>
        <w:rPr>
          <w:rFonts w:hint="eastAsia"/>
          <w:color w:val="auto"/>
          <w:szCs w:val="21"/>
        </w:rPr>
        <w:t>应先</w:t>
      </w:r>
      <w:r>
        <w:rPr>
          <w:color w:val="auto"/>
          <w:szCs w:val="21"/>
        </w:rPr>
        <w:t>将扁形称量瓶及其配套磨口盖置于150℃的电热鼓风干燥箱中干燥</w:t>
      </w:r>
      <w:r>
        <w:rPr>
          <w:rFonts w:hint="eastAsia"/>
          <w:color w:val="auto"/>
          <w:szCs w:val="21"/>
          <w:highlight w:val="none"/>
        </w:rPr>
        <w:t>，当干燥后连续两次测得称量瓶</w:t>
      </w:r>
      <w:r>
        <w:rPr>
          <w:color w:val="auto"/>
          <w:szCs w:val="21"/>
          <w:highlight w:val="none"/>
        </w:rPr>
        <w:t>及其配套磨口盖</w:t>
      </w:r>
      <w:r>
        <w:rPr>
          <w:rFonts w:hint="eastAsia"/>
          <w:color w:val="auto"/>
          <w:szCs w:val="21"/>
          <w:highlight w:val="none"/>
        </w:rPr>
        <w:t>的质量差小于0.05g时，记录此时的质量为称量瓶质量</w:t>
      </w:r>
      <w:r>
        <w:rPr>
          <w:color w:val="auto"/>
          <w:szCs w:val="21"/>
          <w:highlight w:val="none"/>
        </w:rPr>
        <w:t>；</w:t>
      </w:r>
    </w:p>
    <w:p>
      <w:pPr>
        <w:keepNext w:val="0"/>
        <w:keepLines w:val="0"/>
        <w:pageBreakBefore w:val="0"/>
        <w:widowControl w:val="0"/>
        <w:numPr>
          <w:ilvl w:val="0"/>
          <w:numId w:val="25"/>
        </w:numPr>
        <w:tabs>
          <w:tab w:val="clear" w:pos="0"/>
        </w:tabs>
        <w:kinsoku/>
        <w:wordWrap/>
        <w:overflowPunct/>
        <w:topLinePunct w:val="0"/>
        <w:autoSpaceDE/>
        <w:autoSpaceDN/>
        <w:bidi w:val="0"/>
        <w:adjustRightInd/>
        <w:snapToGrid/>
        <w:spacing w:line="360" w:lineRule="auto"/>
        <w:ind w:firstLine="420" w:firstLineChars="200"/>
        <w:textAlignment w:val="auto"/>
        <w:rPr>
          <w:color w:val="auto"/>
          <w:szCs w:val="21"/>
          <w:highlight w:val="none"/>
        </w:rPr>
      </w:pPr>
      <w:r>
        <w:rPr>
          <w:rFonts w:hint="eastAsia"/>
          <w:color w:val="auto"/>
          <w:szCs w:val="21"/>
          <w:highlight w:val="none"/>
          <w:lang w:val="en-US" w:eastAsia="zh-CN"/>
        </w:rPr>
        <w:t>应将试样装入干燥后的扁形</w:t>
      </w:r>
      <w:r>
        <w:rPr>
          <w:color w:val="auto"/>
          <w:szCs w:val="21"/>
          <w:highlight w:val="none"/>
        </w:rPr>
        <w:t>称量瓶</w:t>
      </w:r>
      <w:r>
        <w:rPr>
          <w:rFonts w:hint="eastAsia"/>
          <w:color w:val="auto"/>
          <w:szCs w:val="21"/>
          <w:highlight w:val="none"/>
          <w:lang w:val="en-US" w:eastAsia="zh-CN"/>
        </w:rPr>
        <w:t>并盖上磨口盖后称量</w:t>
      </w:r>
      <w:r>
        <w:rPr>
          <w:color w:val="auto"/>
          <w:szCs w:val="21"/>
          <w:highlight w:val="none"/>
        </w:rPr>
        <w:t>，</w:t>
      </w:r>
      <w:r>
        <w:rPr>
          <w:rFonts w:hint="eastAsia"/>
          <w:color w:val="auto"/>
          <w:szCs w:val="21"/>
          <w:highlight w:val="none"/>
          <w:lang w:val="en-US" w:eastAsia="zh-CN"/>
        </w:rPr>
        <w:t>且应</w:t>
      </w:r>
      <w:r>
        <w:rPr>
          <w:color w:val="auto"/>
          <w:szCs w:val="21"/>
          <w:highlight w:val="none"/>
        </w:rPr>
        <w:t>精确至0.01g</w:t>
      </w:r>
      <w:r>
        <w:rPr>
          <w:rFonts w:hint="eastAsia"/>
          <w:color w:val="auto"/>
          <w:szCs w:val="21"/>
          <w:highlight w:val="none"/>
          <w:lang w:eastAsia="zh-CN"/>
        </w:rPr>
        <w:t>，记录此时的质量为干燥前试样与称量瓶质量和</w:t>
      </w:r>
      <w:r>
        <w:rPr>
          <w:color w:val="auto"/>
          <w:szCs w:val="21"/>
          <w:highlight w:val="none"/>
        </w:rPr>
        <w:t>；</w:t>
      </w:r>
    </w:p>
    <w:p>
      <w:pPr>
        <w:numPr>
          <w:ilvl w:val="0"/>
          <w:numId w:val="25"/>
        </w:numPr>
        <w:tabs>
          <w:tab w:val="clear" w:pos="0"/>
        </w:tabs>
        <w:spacing w:line="360" w:lineRule="auto"/>
        <w:ind w:firstLine="420" w:firstLineChars="200"/>
        <w:rPr>
          <w:color w:val="auto"/>
          <w:szCs w:val="21"/>
        </w:rPr>
      </w:pPr>
      <w:r>
        <w:rPr>
          <w:rFonts w:hint="eastAsia"/>
          <w:color w:val="auto"/>
          <w:szCs w:val="21"/>
        </w:rPr>
        <w:t>将测试</w:t>
      </w:r>
      <w:r>
        <w:rPr>
          <w:color w:val="auto"/>
          <w:szCs w:val="21"/>
        </w:rPr>
        <w:t>试样均匀平铺在</w:t>
      </w:r>
      <w:r>
        <w:rPr>
          <w:rFonts w:hint="eastAsia"/>
          <w:color w:val="auto"/>
          <w:szCs w:val="21"/>
        </w:rPr>
        <w:t>干燥后的</w:t>
      </w:r>
      <w:r>
        <w:rPr>
          <w:color w:val="auto"/>
          <w:szCs w:val="21"/>
        </w:rPr>
        <w:t>敞口扁形称量瓶内</w:t>
      </w:r>
      <w:r>
        <w:rPr>
          <w:rFonts w:hint="eastAsia"/>
          <w:color w:val="auto"/>
          <w:szCs w:val="21"/>
        </w:rPr>
        <w:t>，</w:t>
      </w:r>
      <w:r>
        <w:rPr>
          <w:color w:val="auto"/>
          <w:szCs w:val="21"/>
        </w:rPr>
        <w:t>置于150℃的电热鼓风干燥箱中</w:t>
      </w:r>
      <w:r>
        <w:rPr>
          <w:rFonts w:hint="eastAsia"/>
          <w:color w:val="auto"/>
          <w:szCs w:val="21"/>
        </w:rPr>
        <w:t>干燥时间应为</w:t>
      </w:r>
      <w:r>
        <w:rPr>
          <w:color w:val="auto"/>
          <w:szCs w:val="21"/>
        </w:rPr>
        <w:t>2h</w:t>
      </w:r>
      <w:r>
        <w:rPr>
          <w:rFonts w:hint="eastAsia"/>
          <w:color w:val="auto"/>
          <w:szCs w:val="21"/>
        </w:rPr>
        <w:t>，取出</w:t>
      </w:r>
      <w:r>
        <w:rPr>
          <w:color w:val="auto"/>
          <w:szCs w:val="21"/>
        </w:rPr>
        <w:t>盖上磨口盖</w:t>
      </w:r>
      <w:r>
        <w:rPr>
          <w:rFonts w:hint="eastAsia"/>
          <w:color w:val="auto"/>
          <w:szCs w:val="21"/>
        </w:rPr>
        <w:t>后，应</w:t>
      </w:r>
      <w:r>
        <w:rPr>
          <w:color w:val="auto"/>
          <w:szCs w:val="21"/>
        </w:rPr>
        <w:t>置于干燥器中冷却至室温称量，</w:t>
      </w:r>
      <w:r>
        <w:rPr>
          <w:rFonts w:hint="eastAsia"/>
          <w:color w:val="auto"/>
          <w:szCs w:val="21"/>
        </w:rPr>
        <w:t>且应</w:t>
      </w:r>
      <w:r>
        <w:rPr>
          <w:color w:val="auto"/>
          <w:szCs w:val="21"/>
        </w:rPr>
        <w:t>精确至0.01g；</w:t>
      </w:r>
    </w:p>
    <w:p>
      <w:pPr>
        <w:numPr>
          <w:ilvl w:val="0"/>
          <w:numId w:val="25"/>
        </w:numPr>
        <w:tabs>
          <w:tab w:val="clear" w:pos="0"/>
        </w:tabs>
        <w:spacing w:line="360" w:lineRule="auto"/>
        <w:ind w:firstLine="420" w:firstLineChars="200"/>
        <w:rPr>
          <w:color w:val="auto"/>
          <w:szCs w:val="21"/>
        </w:rPr>
      </w:pPr>
      <w:r>
        <w:rPr>
          <w:color w:val="auto"/>
          <w:szCs w:val="21"/>
        </w:rPr>
        <w:t>将试样继续干燥</w:t>
      </w:r>
      <w:r>
        <w:rPr>
          <w:rFonts w:hint="eastAsia"/>
          <w:color w:val="auto"/>
          <w:szCs w:val="21"/>
        </w:rPr>
        <w:t>，应</w:t>
      </w:r>
      <w:r>
        <w:rPr>
          <w:color w:val="auto"/>
          <w:szCs w:val="21"/>
        </w:rPr>
        <w:t>每30min冷却称量一次</w:t>
      </w:r>
      <w:r>
        <w:rPr>
          <w:rFonts w:hint="eastAsia"/>
          <w:color w:val="auto"/>
          <w:szCs w:val="21"/>
        </w:rPr>
        <w:t>，当连续</w:t>
      </w:r>
      <w:r>
        <w:rPr>
          <w:color w:val="auto"/>
          <w:szCs w:val="21"/>
        </w:rPr>
        <w:t>两次称量质量差小于0.05g</w:t>
      </w:r>
      <w:r>
        <w:rPr>
          <w:rFonts w:hint="eastAsia"/>
          <w:color w:val="auto"/>
          <w:szCs w:val="21"/>
        </w:rPr>
        <w:t>时，记录此时的质量为干燥后试样与称量瓶质量和</w:t>
      </w:r>
      <w:r>
        <w:rPr>
          <w:color w:val="auto"/>
          <w:szCs w:val="21"/>
        </w:rPr>
        <w:t>；若质量增加，</w:t>
      </w:r>
      <w:r>
        <w:rPr>
          <w:rFonts w:hint="eastAsia"/>
          <w:color w:val="auto"/>
          <w:szCs w:val="21"/>
        </w:rPr>
        <w:t>应</w:t>
      </w:r>
      <w:r>
        <w:rPr>
          <w:color w:val="auto"/>
          <w:szCs w:val="21"/>
        </w:rPr>
        <w:t>取前一次的称量值</w:t>
      </w:r>
      <w:r>
        <w:rPr>
          <w:rFonts w:hint="eastAsia"/>
          <w:color w:val="auto"/>
          <w:szCs w:val="21"/>
        </w:rPr>
        <w:t>为干燥后试样与称量瓶质量和</w:t>
      </w:r>
      <w:r>
        <w:rPr>
          <w:color w:val="auto"/>
          <w:szCs w:val="21"/>
        </w:rPr>
        <w:t>。</w:t>
      </w:r>
    </w:p>
    <w:p>
      <w:pPr>
        <w:numPr>
          <w:ilvl w:val="0"/>
          <w:numId w:val="24"/>
        </w:numPr>
        <w:spacing w:line="360" w:lineRule="auto"/>
        <w:rPr>
          <w:color w:val="auto"/>
          <w:szCs w:val="21"/>
        </w:rPr>
      </w:pPr>
      <w:r>
        <w:rPr>
          <w:color w:val="auto"/>
          <w:szCs w:val="21"/>
        </w:rPr>
        <w:t>水分应</w:t>
      </w:r>
      <w:r>
        <w:rPr>
          <w:rFonts w:hint="eastAsia"/>
          <w:color w:val="auto"/>
          <w:szCs w:val="21"/>
        </w:rPr>
        <w:t>根据</w:t>
      </w:r>
      <w:r>
        <w:rPr>
          <w:rFonts w:hint="eastAsia"/>
          <w:color w:val="auto"/>
          <w:szCs w:val="21"/>
        </w:rPr>
        <w:t>本标准第6.6.1条所测称量瓶质量、干燥前与干燥后试样与称量瓶质量和</w:t>
      </w:r>
      <w:r>
        <w:rPr>
          <w:color w:val="auto"/>
          <w:szCs w:val="21"/>
        </w:rPr>
        <w:t>按下式进行计算：</w:t>
      </w:r>
    </w:p>
    <w:p>
      <w:pPr>
        <w:keepLines/>
        <w:tabs>
          <w:tab w:val="left" w:pos="0"/>
        </w:tabs>
        <w:spacing w:line="360" w:lineRule="auto"/>
        <w:jc w:val="right"/>
        <w:rPr>
          <w:color w:val="auto"/>
        </w:rPr>
      </w:pPr>
      <w:r>
        <w:rPr>
          <w:color w:val="auto"/>
        </w:rPr>
        <w:tab/>
      </w:r>
      <w:r>
        <w:rPr>
          <w:color w:val="auto"/>
        </w:rPr>
        <w:tab/>
      </w:r>
      <w:r>
        <w:rPr>
          <w:color w:val="auto"/>
          <w:position w:val="-32"/>
          <w:szCs w:val="21"/>
        </w:rPr>
        <w:object>
          <v:shape id="_x0000_i1049" o:spt="75" type="#_x0000_t75" style="height:36.95pt;width:146.5pt;" o:ole="t" filled="f" o:preferrelative="t" stroked="f" coordsize="21600,21600">
            <v:path/>
            <v:fill on="f" focussize="0,0"/>
            <v:stroke on="f" joinstyle="miter"/>
            <v:imagedata r:id="rId80" o:title=""/>
            <o:lock v:ext="edit" aspectratio="t"/>
            <w10:wrap type="none"/>
            <w10:anchorlock/>
          </v:shape>
          <o:OLEObject Type="Embed" ProgID="Equations" ShapeID="_x0000_i1049" DrawAspect="Content" ObjectID="_1468075749" r:id="rId79">
            <o:LockedField>false</o:LockedField>
          </o:OLEObject>
        </w:object>
      </w:r>
      <w:r>
        <w:rPr>
          <w:color w:val="auto"/>
        </w:rPr>
        <w:t>………………………………………………(6.6.2)</w:t>
      </w:r>
    </w:p>
    <w:p>
      <w:pPr>
        <w:keepLines/>
        <w:tabs>
          <w:tab w:val="left" w:pos="0"/>
        </w:tabs>
        <w:spacing w:line="360" w:lineRule="auto"/>
        <w:rPr>
          <w:i/>
          <w:color w:val="auto"/>
        </w:rPr>
      </w:pPr>
      <w:r>
        <w:rPr>
          <w:color w:val="auto"/>
        </w:rPr>
        <w:t>式中：</w:t>
      </w:r>
      <w:r>
        <w:rPr>
          <w:color w:val="auto"/>
          <w:position w:val="-16"/>
          <w:szCs w:val="21"/>
        </w:rPr>
        <w:object>
          <v:shape id="_x0000_i1050" o:spt="75" type="#_x0000_t75" style="height:21.3pt;width:30.7pt;" o:ole="t" filled="f" o:preferrelative="t" stroked="f" coordsize="21600,21600">
            <v:path/>
            <v:fill on="f" focussize="0,0"/>
            <v:stroke on="f" joinstyle="miter"/>
            <v:imagedata r:id="rId82" o:title=""/>
            <o:lock v:ext="edit" aspectratio="t"/>
            <w10:wrap type="none"/>
            <w10:anchorlock/>
          </v:shape>
          <o:OLEObject Type="Embed" ProgID="Equations" ShapeID="_x0000_i1050" DrawAspect="Content" ObjectID="_1468075750" r:id="rId81">
            <o:LockedField>false</o:LockedField>
          </o:OLEObject>
        </w:object>
      </w:r>
      <w:r>
        <w:rPr>
          <w:color w:val="auto"/>
          <w:szCs w:val="21"/>
        </w:rPr>
        <w:t>——</w:t>
      </w:r>
      <w:r>
        <w:rPr>
          <w:color w:val="auto"/>
        </w:rPr>
        <w:t>水分（%）；</w:t>
      </w:r>
    </w:p>
    <w:p>
      <w:pPr>
        <w:keepLines/>
        <w:tabs>
          <w:tab w:val="left" w:pos="0"/>
        </w:tabs>
        <w:spacing w:line="360" w:lineRule="auto"/>
        <w:ind w:firstLine="630" w:firstLineChars="300"/>
        <w:rPr>
          <w:color w:val="auto"/>
        </w:rPr>
      </w:pPr>
      <w:r>
        <w:rPr>
          <w:color w:val="auto"/>
          <w:position w:val="-14"/>
          <w:szCs w:val="21"/>
        </w:rPr>
        <w:object>
          <v:shape id="_x0000_i1051" o:spt="75" type="#_x0000_t75" style="height:19.4pt;width:26.3pt;" o:ole="t" filled="f" o:preferrelative="t" stroked="f" coordsize="21600,21600">
            <v:path/>
            <v:fill on="f" focussize="0,0"/>
            <v:stroke on="f" joinstyle="miter"/>
            <v:imagedata r:id="rId84" o:title=""/>
            <o:lock v:ext="edit" aspectratio="t"/>
            <w10:wrap type="none"/>
            <w10:anchorlock/>
          </v:shape>
          <o:OLEObject Type="Embed" ProgID="Equations" ShapeID="_x0000_i1051" DrawAspect="Content" ObjectID="_1468075751" r:id="rId83">
            <o:LockedField>false</o:LockedField>
          </o:OLEObject>
        </w:object>
      </w:r>
      <w:r>
        <w:rPr>
          <w:color w:val="auto"/>
          <w:szCs w:val="21"/>
        </w:rPr>
        <w:t>——</w:t>
      </w:r>
      <w:r>
        <w:rPr>
          <w:color w:val="auto"/>
        </w:rPr>
        <w:t>干燥前试样与称量瓶质量和（g）；</w:t>
      </w:r>
    </w:p>
    <w:p>
      <w:pPr>
        <w:keepLines/>
        <w:tabs>
          <w:tab w:val="left" w:pos="0"/>
        </w:tabs>
        <w:spacing w:line="360" w:lineRule="auto"/>
        <w:ind w:firstLine="630" w:firstLineChars="300"/>
        <w:rPr>
          <w:color w:val="auto"/>
        </w:rPr>
      </w:pPr>
      <w:r>
        <w:rPr>
          <w:color w:val="auto"/>
          <w:position w:val="-14"/>
          <w:szCs w:val="21"/>
        </w:rPr>
        <w:object>
          <v:shape id="_x0000_i1052" o:spt="75" type="#_x0000_t75" style="height:19.4pt;width:26.3pt;" o:ole="t" filled="f" o:preferrelative="t" stroked="f" coordsize="21600,21600">
            <v:path/>
            <v:fill on="f" focussize="0,0"/>
            <v:stroke on="f" joinstyle="miter"/>
            <v:imagedata r:id="rId86" o:title=""/>
            <o:lock v:ext="edit" aspectratio="t"/>
            <w10:wrap type="none"/>
            <w10:anchorlock/>
          </v:shape>
          <o:OLEObject Type="Embed" ProgID="Equations" ShapeID="_x0000_i1052" DrawAspect="Content" ObjectID="_1468075752" r:id="rId85">
            <o:LockedField>false</o:LockedField>
          </o:OLEObject>
        </w:object>
      </w:r>
      <w:r>
        <w:rPr>
          <w:color w:val="auto"/>
          <w:szCs w:val="21"/>
        </w:rPr>
        <w:t>——</w:t>
      </w:r>
      <w:r>
        <w:rPr>
          <w:color w:val="auto"/>
        </w:rPr>
        <w:t xml:space="preserve">干燥后试样与称量瓶质量和（g）； </w:t>
      </w:r>
    </w:p>
    <w:p>
      <w:pPr>
        <w:keepLines/>
        <w:tabs>
          <w:tab w:val="left" w:pos="0"/>
        </w:tabs>
        <w:spacing w:line="360" w:lineRule="auto"/>
        <w:ind w:firstLine="638" w:firstLineChars="304"/>
        <w:rPr>
          <w:color w:val="auto"/>
        </w:rPr>
      </w:pPr>
      <w:r>
        <w:rPr>
          <w:color w:val="auto"/>
          <w:position w:val="-14"/>
          <w:szCs w:val="21"/>
        </w:rPr>
        <w:object>
          <v:shape id="_x0000_i1053" o:spt="75" type="#_x0000_t75" style="height:19.4pt;width:34.45pt;" o:ole="t" filled="f" o:preferrelative="t" stroked="f" coordsize="21600,21600">
            <v:path/>
            <v:fill on="f" focussize="0,0"/>
            <v:stroke on="f" joinstyle="miter"/>
            <v:imagedata r:id="rId88" o:title=""/>
            <o:lock v:ext="edit" aspectratio="t"/>
            <w10:wrap type="none"/>
            <w10:anchorlock/>
          </v:shape>
          <o:OLEObject Type="Embed" ProgID="Equations" ShapeID="_x0000_i1053" DrawAspect="Content" ObjectID="_1468075753" r:id="rId87">
            <o:LockedField>false</o:LockedField>
          </o:OLEObject>
        </w:object>
      </w:r>
      <w:r>
        <w:rPr>
          <w:color w:val="auto"/>
          <w:szCs w:val="21"/>
        </w:rPr>
        <w:t>——</w:t>
      </w:r>
      <w:r>
        <w:rPr>
          <w:color w:val="auto"/>
        </w:rPr>
        <w:t>称量瓶质量（g）。</w:t>
      </w:r>
    </w:p>
    <w:p>
      <w:pPr>
        <w:numPr>
          <w:ilvl w:val="0"/>
          <w:numId w:val="24"/>
        </w:numPr>
        <w:spacing w:line="360" w:lineRule="auto"/>
        <w:rPr>
          <w:color w:val="auto"/>
          <w:szCs w:val="21"/>
        </w:rPr>
      </w:pPr>
      <w:r>
        <w:rPr>
          <w:color w:val="auto"/>
          <w:szCs w:val="21"/>
        </w:rPr>
        <w:t>水分测试应做两份平行样品测试，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w:t>
      </w:r>
      <w:r>
        <w:rPr>
          <w:rFonts w:hint="eastAsia"/>
          <w:color w:val="auto"/>
          <w:szCs w:val="21"/>
        </w:rPr>
        <w:t>算术</w:t>
      </w:r>
      <w:r>
        <w:rPr>
          <w:color w:val="auto"/>
          <w:szCs w:val="21"/>
        </w:rPr>
        <w:t>平均值表示，并应精确至小数点后两位，且两次平行测试</w:t>
      </w:r>
      <w:r>
        <w:rPr>
          <w:rFonts w:hint="eastAsia"/>
          <w:color w:val="auto"/>
          <w:szCs w:val="21"/>
        </w:rPr>
        <w:t>计算</w:t>
      </w:r>
      <w:r>
        <w:rPr>
          <w:color w:val="auto"/>
          <w:szCs w:val="21"/>
        </w:rPr>
        <w:t>结果的差值不应大于0.5%。</w:t>
      </w:r>
    </w:p>
    <w:p>
      <w:pPr>
        <w:numPr>
          <w:ilvl w:val="0"/>
          <w:numId w:val="24"/>
        </w:numPr>
        <w:spacing w:line="360" w:lineRule="auto"/>
        <w:rPr>
          <w:color w:val="auto"/>
          <w:szCs w:val="21"/>
        </w:rPr>
      </w:pPr>
      <w:r>
        <w:rPr>
          <w:color w:val="auto"/>
          <w:szCs w:val="21"/>
        </w:rPr>
        <w:t>水分测试报告应包括试样编号、测试标准、测试仪器和设备、测试项目、测试结果、测试人员及测试日期等内容。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04" w:name="_Toc13134"/>
      <w:bookmarkStart w:id="105" w:name="_Toc3996"/>
      <w:bookmarkStart w:id="106" w:name="_Toc4647"/>
      <w:r>
        <w:rPr>
          <w:rFonts w:ascii="Times New Roman" w:hAnsi="Times New Roman" w:eastAsia="宋体"/>
          <w:b w:val="0"/>
          <w:color w:val="auto"/>
          <w:sz w:val="24"/>
          <w:szCs w:val="24"/>
        </w:rPr>
        <w:t>6.7</w:t>
      </w:r>
      <w:r>
        <w:rPr>
          <w:rFonts w:ascii="Times New Roman" w:hAnsi="Times New Roman" w:eastAsia="宋体"/>
          <w:b w:val="0"/>
          <w:color w:val="auto"/>
          <w:sz w:val="24"/>
          <w:szCs w:val="24"/>
        </w:rPr>
        <w:t xml:space="preserve"> 灰分</w:t>
      </w:r>
      <w:bookmarkEnd w:id="104"/>
      <w:bookmarkEnd w:id="105"/>
      <w:bookmarkEnd w:id="106"/>
    </w:p>
    <w:p>
      <w:pPr>
        <w:numPr>
          <w:ilvl w:val="0"/>
          <w:numId w:val="26"/>
        </w:numPr>
        <w:spacing w:line="360" w:lineRule="auto"/>
        <w:rPr>
          <w:color w:val="auto"/>
          <w:szCs w:val="21"/>
        </w:rPr>
      </w:pPr>
      <w:r>
        <w:rPr>
          <w:color w:val="auto"/>
          <w:szCs w:val="21"/>
        </w:rPr>
        <w:t>灰分</w:t>
      </w:r>
      <w:r>
        <w:rPr>
          <w:color w:val="auto"/>
          <w:szCs w:val="21"/>
        </w:rPr>
        <w:t>测试应符合下列规定：</w:t>
      </w:r>
    </w:p>
    <w:p>
      <w:pPr>
        <w:numPr>
          <w:ilvl w:val="0"/>
          <w:numId w:val="27"/>
        </w:numPr>
        <w:tabs>
          <w:tab w:val="clear" w:pos="0"/>
        </w:tabs>
        <w:spacing w:line="360" w:lineRule="auto"/>
        <w:ind w:firstLine="420" w:firstLineChars="200"/>
        <w:rPr>
          <w:color w:val="auto"/>
          <w:szCs w:val="21"/>
        </w:rPr>
      </w:pPr>
      <w:r>
        <w:rPr>
          <w:rFonts w:hint="eastAsia"/>
          <w:color w:val="auto"/>
          <w:szCs w:val="21"/>
        </w:rPr>
        <w:t>应</w:t>
      </w:r>
      <w:r>
        <w:rPr>
          <w:color w:val="auto"/>
          <w:szCs w:val="21"/>
        </w:rPr>
        <w:t>将灰皿置于800℃的马弗炉中灼烧</w:t>
      </w:r>
      <w:r>
        <w:rPr>
          <w:rFonts w:hint="eastAsia"/>
          <w:color w:val="auto"/>
          <w:szCs w:val="21"/>
        </w:rPr>
        <w:t>，</w:t>
      </w:r>
      <w:r>
        <w:rPr>
          <w:rFonts w:hint="eastAsia"/>
          <w:color w:val="auto"/>
          <w:szCs w:val="21"/>
        </w:rPr>
        <w:t>当灼烧后连续</w:t>
      </w:r>
      <w:r>
        <w:rPr>
          <w:color w:val="auto"/>
          <w:szCs w:val="21"/>
        </w:rPr>
        <w:t>两次称量结果质量差小于0.001g</w:t>
      </w:r>
      <w:r>
        <w:rPr>
          <w:rFonts w:hint="eastAsia"/>
          <w:color w:val="auto"/>
          <w:szCs w:val="21"/>
        </w:rPr>
        <w:t>时，记录此时的质量为灰皿质量</w:t>
      </w:r>
      <w:r>
        <w:rPr>
          <w:color w:val="auto"/>
          <w:szCs w:val="21"/>
        </w:rPr>
        <w:t>；</w:t>
      </w:r>
    </w:p>
    <w:p>
      <w:pPr>
        <w:numPr>
          <w:ilvl w:val="0"/>
          <w:numId w:val="27"/>
        </w:numPr>
        <w:tabs>
          <w:tab w:val="clear" w:pos="0"/>
        </w:tabs>
        <w:spacing w:line="360" w:lineRule="auto"/>
        <w:ind w:firstLine="420" w:firstLineChars="200"/>
        <w:rPr>
          <w:color w:val="auto"/>
          <w:szCs w:val="21"/>
        </w:rPr>
      </w:pPr>
      <w:r>
        <w:rPr>
          <w:rFonts w:hint="eastAsia"/>
          <w:color w:val="auto"/>
          <w:szCs w:val="21"/>
          <w:highlight w:val="none"/>
        </w:rPr>
        <w:t>所取</w:t>
      </w:r>
      <w:r>
        <w:rPr>
          <w:color w:val="auto"/>
          <w:szCs w:val="21"/>
          <w:highlight w:val="none"/>
        </w:rPr>
        <w:t>测试试样</w:t>
      </w:r>
      <w:r>
        <w:rPr>
          <w:rFonts w:hint="eastAsia"/>
          <w:color w:val="auto"/>
          <w:szCs w:val="21"/>
          <w:highlight w:val="none"/>
        </w:rPr>
        <w:t>质量宜为</w:t>
      </w:r>
      <w:r>
        <w:rPr>
          <w:color w:val="auto"/>
          <w:szCs w:val="21"/>
          <w:highlight w:val="none"/>
        </w:rPr>
        <w:t>（1±0.1）g</w:t>
      </w:r>
      <w:r>
        <w:rPr>
          <w:color w:val="auto"/>
          <w:szCs w:val="21"/>
        </w:rPr>
        <w:t>，</w:t>
      </w:r>
      <w:r>
        <w:rPr>
          <w:rFonts w:hint="eastAsia"/>
          <w:color w:val="auto"/>
          <w:szCs w:val="21"/>
        </w:rPr>
        <w:t>且应</w:t>
      </w:r>
      <w:r>
        <w:rPr>
          <w:color w:val="auto"/>
          <w:szCs w:val="21"/>
        </w:rPr>
        <w:t>精确至0.0001g；</w:t>
      </w:r>
    </w:p>
    <w:p>
      <w:pPr>
        <w:numPr>
          <w:ilvl w:val="0"/>
          <w:numId w:val="27"/>
        </w:numPr>
        <w:tabs>
          <w:tab w:val="clear" w:pos="0"/>
        </w:tabs>
        <w:spacing w:line="360" w:lineRule="auto"/>
        <w:ind w:firstLine="420" w:firstLineChars="200"/>
        <w:rPr>
          <w:color w:val="auto"/>
          <w:szCs w:val="21"/>
        </w:rPr>
      </w:pPr>
      <w:r>
        <w:rPr>
          <w:color w:val="auto"/>
          <w:szCs w:val="21"/>
        </w:rPr>
        <w:t>将试样平铺在灰皿中</w:t>
      </w:r>
      <w:r>
        <w:rPr>
          <w:rFonts w:hint="eastAsia"/>
          <w:color w:val="auto"/>
          <w:szCs w:val="21"/>
        </w:rPr>
        <w:t>并</w:t>
      </w:r>
      <w:r>
        <w:rPr>
          <w:color w:val="auto"/>
          <w:szCs w:val="21"/>
        </w:rPr>
        <w:t>置于800℃的马弗炉中，关上炉门并打开通风口或将炉门打开15mm缝隙</w:t>
      </w:r>
      <w:r>
        <w:rPr>
          <w:rFonts w:hint="eastAsia"/>
          <w:color w:val="auto"/>
          <w:szCs w:val="21"/>
        </w:rPr>
        <w:t>后开始灼烧，</w:t>
      </w:r>
      <w:r>
        <w:rPr>
          <w:color w:val="auto"/>
          <w:szCs w:val="21"/>
        </w:rPr>
        <w:t>灼烧</w:t>
      </w:r>
      <w:r>
        <w:rPr>
          <w:rFonts w:hint="eastAsia"/>
          <w:color w:val="auto"/>
          <w:szCs w:val="21"/>
        </w:rPr>
        <w:t>时间应为</w:t>
      </w:r>
      <w:r>
        <w:rPr>
          <w:color w:val="auto"/>
          <w:szCs w:val="21"/>
        </w:rPr>
        <w:t>1h；</w:t>
      </w:r>
    </w:p>
    <w:p>
      <w:pPr>
        <w:numPr>
          <w:ilvl w:val="0"/>
          <w:numId w:val="27"/>
        </w:numPr>
        <w:tabs>
          <w:tab w:val="clear" w:pos="0"/>
        </w:tabs>
        <w:spacing w:line="360" w:lineRule="auto"/>
        <w:ind w:firstLine="420" w:firstLineChars="200"/>
        <w:rPr>
          <w:color w:val="auto"/>
          <w:szCs w:val="21"/>
        </w:rPr>
      </w:pPr>
      <w:r>
        <w:rPr>
          <w:color w:val="auto"/>
          <w:szCs w:val="21"/>
        </w:rPr>
        <w:t>取出灰皿</w:t>
      </w:r>
      <w:r>
        <w:rPr>
          <w:rFonts w:hint="eastAsia"/>
          <w:color w:val="auto"/>
          <w:szCs w:val="21"/>
        </w:rPr>
        <w:t>后</w:t>
      </w:r>
      <w:r>
        <w:rPr>
          <w:color w:val="auto"/>
          <w:szCs w:val="21"/>
        </w:rPr>
        <w:t>自然冷却5min</w:t>
      </w:r>
      <w:r>
        <w:rPr>
          <w:rFonts w:hint="eastAsia"/>
          <w:color w:val="auto"/>
          <w:szCs w:val="21"/>
        </w:rPr>
        <w:t>并</w:t>
      </w:r>
      <w:r>
        <w:rPr>
          <w:color w:val="auto"/>
          <w:szCs w:val="21"/>
        </w:rPr>
        <w:t>置于干燥器中冷却至室温称量，</w:t>
      </w:r>
      <w:r>
        <w:rPr>
          <w:rFonts w:hint="eastAsia"/>
          <w:color w:val="auto"/>
          <w:szCs w:val="21"/>
        </w:rPr>
        <w:t>且应</w:t>
      </w:r>
      <w:r>
        <w:rPr>
          <w:color w:val="auto"/>
          <w:szCs w:val="21"/>
        </w:rPr>
        <w:t>精确至0.0001g；</w:t>
      </w:r>
    </w:p>
    <w:p>
      <w:pPr>
        <w:numPr>
          <w:ilvl w:val="0"/>
          <w:numId w:val="27"/>
        </w:numPr>
        <w:tabs>
          <w:tab w:val="clear" w:pos="0"/>
        </w:tabs>
        <w:spacing w:line="360" w:lineRule="auto"/>
        <w:ind w:firstLine="420" w:firstLineChars="200"/>
        <w:rPr>
          <w:color w:val="auto"/>
          <w:szCs w:val="21"/>
        </w:rPr>
      </w:pPr>
      <w:r>
        <w:rPr>
          <w:color w:val="auto"/>
          <w:szCs w:val="21"/>
        </w:rPr>
        <w:t>将试样继续灼烧，</w:t>
      </w:r>
      <w:r>
        <w:rPr>
          <w:rFonts w:hint="eastAsia"/>
          <w:color w:val="auto"/>
          <w:szCs w:val="21"/>
        </w:rPr>
        <w:t>应</w:t>
      </w:r>
      <w:r>
        <w:rPr>
          <w:color w:val="auto"/>
          <w:szCs w:val="21"/>
        </w:rPr>
        <w:t>每30min冷却称量一次</w:t>
      </w:r>
      <w:r>
        <w:rPr>
          <w:rFonts w:hint="eastAsia"/>
          <w:color w:val="auto"/>
          <w:szCs w:val="21"/>
        </w:rPr>
        <w:t>，</w:t>
      </w:r>
      <w:r>
        <w:rPr>
          <w:rFonts w:hint="eastAsia"/>
          <w:color w:val="auto"/>
          <w:szCs w:val="21"/>
        </w:rPr>
        <w:t>当连续</w:t>
      </w:r>
      <w:r>
        <w:rPr>
          <w:color w:val="auto"/>
          <w:szCs w:val="21"/>
        </w:rPr>
        <w:t>两次</w:t>
      </w:r>
      <w:r>
        <w:rPr>
          <w:color w:val="auto"/>
          <w:szCs w:val="21"/>
        </w:rPr>
        <w:t>称量结果质量差小于0.001g</w:t>
      </w:r>
      <w:r>
        <w:rPr>
          <w:rFonts w:hint="eastAsia"/>
          <w:color w:val="auto"/>
          <w:szCs w:val="21"/>
        </w:rPr>
        <w:t>时，</w:t>
      </w:r>
      <w:r>
        <w:rPr>
          <w:rFonts w:hint="eastAsia"/>
          <w:color w:val="auto"/>
          <w:szCs w:val="21"/>
        </w:rPr>
        <w:t>记录此时的质量为灼烧后试样与灰皿质量和</w:t>
      </w:r>
      <w:r>
        <w:rPr>
          <w:rFonts w:hint="eastAsia"/>
          <w:color w:val="auto"/>
          <w:szCs w:val="21"/>
        </w:rPr>
        <w:t>；若</w:t>
      </w:r>
      <w:r>
        <w:rPr>
          <w:color w:val="auto"/>
          <w:szCs w:val="21"/>
        </w:rPr>
        <w:t>质量增加，</w:t>
      </w:r>
      <w:r>
        <w:rPr>
          <w:rFonts w:hint="eastAsia"/>
          <w:color w:val="auto"/>
          <w:szCs w:val="21"/>
        </w:rPr>
        <w:t>应</w:t>
      </w:r>
      <w:r>
        <w:rPr>
          <w:color w:val="auto"/>
          <w:szCs w:val="21"/>
        </w:rPr>
        <w:t>取前一次的称量值</w:t>
      </w:r>
      <w:r>
        <w:rPr>
          <w:rFonts w:hint="eastAsia"/>
          <w:color w:val="auto"/>
          <w:szCs w:val="21"/>
        </w:rPr>
        <w:t>为灼烧后试样与灰皿质量和</w:t>
      </w:r>
      <w:r>
        <w:rPr>
          <w:color w:val="auto"/>
          <w:szCs w:val="21"/>
        </w:rPr>
        <w:t>。</w:t>
      </w:r>
    </w:p>
    <w:p>
      <w:pPr>
        <w:numPr>
          <w:ilvl w:val="0"/>
          <w:numId w:val="26"/>
        </w:numPr>
        <w:spacing w:line="360" w:lineRule="auto"/>
        <w:rPr>
          <w:color w:val="auto"/>
          <w:szCs w:val="21"/>
        </w:rPr>
      </w:pPr>
      <w:r>
        <w:rPr>
          <w:color w:val="auto"/>
          <w:szCs w:val="21"/>
        </w:rPr>
        <w:t>灰分应</w:t>
      </w:r>
      <w:r>
        <w:rPr>
          <w:rFonts w:hint="eastAsia"/>
          <w:color w:val="auto"/>
          <w:szCs w:val="21"/>
        </w:rPr>
        <w:t>根据本标准第6.7.1条所测灰皿质量、</w:t>
      </w:r>
      <w:r>
        <w:rPr>
          <w:rFonts w:hint="eastAsia"/>
          <w:color w:val="auto"/>
          <w:szCs w:val="21"/>
          <w:highlight w:val="none"/>
        </w:rPr>
        <w:t>灼烧前</w:t>
      </w:r>
      <w:r>
        <w:rPr>
          <w:rFonts w:hint="eastAsia"/>
          <w:color w:val="auto"/>
          <w:szCs w:val="21"/>
        </w:rPr>
        <w:t>与灼烧后试样与灰皿质量和</w:t>
      </w:r>
      <w:r>
        <w:rPr>
          <w:color w:val="auto"/>
          <w:szCs w:val="21"/>
        </w:rPr>
        <w:t>按下式进行计算：</w:t>
      </w:r>
    </w:p>
    <w:p>
      <w:pPr>
        <w:keepLines/>
        <w:tabs>
          <w:tab w:val="left" w:pos="0"/>
        </w:tabs>
        <w:spacing w:line="360" w:lineRule="auto"/>
        <w:jc w:val="right"/>
        <w:rPr>
          <w:color w:val="auto"/>
          <w:szCs w:val="21"/>
        </w:rPr>
      </w:pPr>
      <w:r>
        <w:rPr>
          <w:color w:val="auto"/>
        </w:rPr>
        <w:t xml:space="preserve">  </w:t>
      </w:r>
      <w:r>
        <w:rPr>
          <w:color w:val="auto"/>
          <w:position w:val="-32"/>
          <w:szCs w:val="21"/>
        </w:rPr>
        <w:object>
          <v:shape id="_x0000_i1054" o:spt="75" type="#_x0000_t75" style="height:36.95pt;width:139.6pt;" o:ole="t" filled="f" o:preferrelative="t" stroked="f" coordsize="21600,21600">
            <v:path/>
            <v:fill on="f" focussize="0,0"/>
            <v:stroke on="f" joinstyle="miter"/>
            <v:imagedata r:id="rId90" o:title=""/>
            <o:lock v:ext="edit" aspectratio="t"/>
            <w10:wrap type="none"/>
            <w10:anchorlock/>
          </v:shape>
          <o:OLEObject Type="Embed" ProgID="Equations" ShapeID="_x0000_i1054" DrawAspect="Content" ObjectID="_1468075754" r:id="rId89">
            <o:LockedField>false</o:LockedField>
          </o:OLEObject>
        </w:object>
      </w:r>
      <w:r>
        <w:rPr>
          <w:color w:val="auto"/>
        </w:rPr>
        <w:t xml:space="preserve"> …………………………………………</w:t>
      </w:r>
      <w:r>
        <w:rPr>
          <w:color w:val="auto"/>
          <w:szCs w:val="21"/>
        </w:rPr>
        <w:t>（6.7.2）</w:t>
      </w:r>
    </w:p>
    <w:p>
      <w:pPr>
        <w:keepLines/>
        <w:tabs>
          <w:tab w:val="left" w:pos="0"/>
        </w:tabs>
        <w:spacing w:line="360" w:lineRule="auto"/>
        <w:rPr>
          <w:color w:val="auto"/>
        </w:rPr>
      </w:pPr>
      <w:r>
        <w:rPr>
          <w:color w:val="auto"/>
        </w:rPr>
        <w:t>式中：</w:t>
      </w:r>
      <w:r>
        <w:rPr>
          <w:color w:val="auto"/>
          <w:position w:val="-16"/>
          <w:szCs w:val="21"/>
        </w:rPr>
        <w:object>
          <v:shape id="_x0000_i1055" o:spt="75" type="#_x0000_t75" style="height:21.3pt;width:30.7pt;" o:ole="t" filled="f" o:preferrelative="t" stroked="f" coordsize="21600,21600">
            <v:path/>
            <v:fill on="f" focussize="0,0"/>
            <v:stroke on="f" joinstyle="miter"/>
            <v:imagedata r:id="rId92" o:title=""/>
            <o:lock v:ext="edit" aspectratio="t"/>
            <w10:wrap type="none"/>
            <w10:anchorlock/>
          </v:shape>
          <o:OLEObject Type="Embed" ProgID="Equations" ShapeID="_x0000_i1055" DrawAspect="Content" ObjectID="_1468075755" r:id="rId91">
            <o:LockedField>false</o:LockedField>
          </o:OLEObject>
        </w:object>
      </w:r>
      <w:r>
        <w:rPr>
          <w:color w:val="auto"/>
          <w:szCs w:val="21"/>
        </w:rPr>
        <w:t>——</w:t>
      </w:r>
      <w:r>
        <w:rPr>
          <w:color w:val="auto"/>
        </w:rPr>
        <w:t>灰分（%）；</w:t>
      </w:r>
    </w:p>
    <w:p>
      <w:pPr>
        <w:keepLines/>
        <w:tabs>
          <w:tab w:val="left" w:pos="0"/>
        </w:tabs>
        <w:spacing w:line="360" w:lineRule="auto"/>
        <w:rPr>
          <w:color w:val="auto"/>
        </w:rPr>
      </w:pPr>
      <w:r>
        <w:rPr>
          <w:color w:val="auto"/>
          <w:szCs w:val="21"/>
        </w:rPr>
        <w:t xml:space="preserve">      </w:t>
      </w:r>
      <w:r>
        <w:rPr>
          <w:color w:val="auto"/>
          <w:position w:val="-14"/>
          <w:szCs w:val="21"/>
        </w:rPr>
        <w:object>
          <v:shape id="_x0000_i1056" o:spt="75" type="#_x0000_t75" style="height:19.4pt;width:26.3pt;" o:ole="t" filled="f" o:preferrelative="t" stroked="f" coordsize="21600,21600">
            <v:path/>
            <v:fill on="f" focussize="0,0"/>
            <v:stroke on="f" joinstyle="miter"/>
            <v:imagedata r:id="rId94" o:title=""/>
            <o:lock v:ext="edit" aspectratio="t"/>
            <w10:wrap type="none"/>
            <w10:anchorlock/>
          </v:shape>
          <o:OLEObject Type="Embed" ProgID="Equations" ShapeID="_x0000_i1056" DrawAspect="Content" ObjectID="_1468075756" r:id="rId93">
            <o:LockedField>false</o:LockedField>
          </o:OLEObject>
        </w:object>
      </w:r>
      <w:r>
        <w:rPr>
          <w:color w:val="auto"/>
          <w:szCs w:val="21"/>
        </w:rPr>
        <w:t>——</w:t>
      </w:r>
      <w:r>
        <w:rPr>
          <w:color w:val="auto"/>
        </w:rPr>
        <w:t>灼烧前试样</w:t>
      </w:r>
      <w:r>
        <w:rPr>
          <w:rFonts w:hint="eastAsia"/>
          <w:color w:val="auto"/>
        </w:rPr>
        <w:t>与</w:t>
      </w:r>
      <w:r>
        <w:rPr>
          <w:color w:val="auto"/>
        </w:rPr>
        <w:t>灰皿质量和（g）；</w:t>
      </w:r>
    </w:p>
    <w:p>
      <w:pPr>
        <w:keepLines/>
        <w:tabs>
          <w:tab w:val="left" w:pos="0"/>
        </w:tabs>
        <w:spacing w:line="360" w:lineRule="auto"/>
        <w:rPr>
          <w:color w:val="auto"/>
        </w:rPr>
      </w:pPr>
      <w:r>
        <w:rPr>
          <w:color w:val="auto"/>
          <w:szCs w:val="21"/>
        </w:rPr>
        <w:t xml:space="preserve">      </w:t>
      </w:r>
      <w:r>
        <w:rPr>
          <w:color w:val="auto"/>
          <w:position w:val="-14"/>
          <w:szCs w:val="21"/>
        </w:rPr>
        <w:object>
          <v:shape id="_x0000_i1057" o:spt="75" type="#_x0000_t75" style="height:19.4pt;width:26.3pt;" o:ole="t" filled="f" o:preferrelative="t" stroked="f" coordsize="21600,21600">
            <v:path/>
            <v:fill on="f" focussize="0,0"/>
            <v:stroke on="f" joinstyle="miter"/>
            <v:imagedata r:id="rId96" o:title=""/>
            <o:lock v:ext="edit" aspectratio="t"/>
            <w10:wrap type="none"/>
            <w10:anchorlock/>
          </v:shape>
          <o:OLEObject Type="Embed" ProgID="Equations" ShapeID="_x0000_i1057" DrawAspect="Content" ObjectID="_1468075757" r:id="rId95">
            <o:LockedField>false</o:LockedField>
          </o:OLEObject>
        </w:object>
      </w:r>
      <w:r>
        <w:rPr>
          <w:color w:val="auto"/>
          <w:szCs w:val="21"/>
        </w:rPr>
        <w:t>——</w:t>
      </w:r>
      <w:r>
        <w:rPr>
          <w:color w:val="auto"/>
        </w:rPr>
        <w:t>灼烧后试样</w:t>
      </w:r>
      <w:r>
        <w:rPr>
          <w:rFonts w:hint="eastAsia"/>
          <w:color w:val="auto"/>
        </w:rPr>
        <w:t>与</w:t>
      </w:r>
      <w:r>
        <w:rPr>
          <w:color w:val="auto"/>
        </w:rPr>
        <w:t xml:space="preserve">灰皿质量和（g）； </w:t>
      </w:r>
    </w:p>
    <w:p>
      <w:pPr>
        <w:keepLines/>
        <w:tabs>
          <w:tab w:val="left" w:pos="0"/>
        </w:tabs>
        <w:spacing w:line="360" w:lineRule="auto"/>
        <w:rPr>
          <w:color w:val="auto"/>
        </w:rPr>
      </w:pPr>
      <w:r>
        <w:rPr>
          <w:color w:val="auto"/>
          <w:szCs w:val="21"/>
        </w:rPr>
        <w:t xml:space="preserve">      </w:t>
      </w:r>
      <w:r>
        <w:rPr>
          <w:color w:val="auto"/>
          <w:position w:val="-14"/>
          <w:szCs w:val="21"/>
        </w:rPr>
        <w:object>
          <v:shape id="_x0000_i1058" o:spt="75" type="#_x0000_t75" style="height:19.4pt;width:26.3pt;" o:ole="t" filled="f" o:preferrelative="t" stroked="f" coordsize="21600,21600">
            <v:path/>
            <v:fill on="f" focussize="0,0"/>
            <v:stroke on="f" joinstyle="miter"/>
            <v:imagedata r:id="rId98" o:title=""/>
            <o:lock v:ext="edit" aspectratio="t"/>
            <w10:wrap type="none"/>
            <w10:anchorlock/>
          </v:shape>
          <o:OLEObject Type="Embed" ProgID="Equations" ShapeID="_x0000_i1058" DrawAspect="Content" ObjectID="_1468075758" r:id="rId97">
            <o:LockedField>false</o:LockedField>
          </o:OLEObject>
        </w:object>
      </w:r>
      <w:r>
        <w:rPr>
          <w:color w:val="auto"/>
          <w:szCs w:val="21"/>
        </w:rPr>
        <w:t>——</w:t>
      </w:r>
      <w:r>
        <w:rPr>
          <w:color w:val="auto"/>
        </w:rPr>
        <w:t>灰皿质量（g）。</w:t>
      </w:r>
    </w:p>
    <w:p>
      <w:pPr>
        <w:numPr>
          <w:ilvl w:val="0"/>
          <w:numId w:val="26"/>
        </w:numPr>
        <w:spacing w:line="360" w:lineRule="auto"/>
        <w:rPr>
          <w:color w:val="auto"/>
          <w:szCs w:val="21"/>
        </w:rPr>
      </w:pPr>
      <w:r>
        <w:rPr>
          <w:color w:val="auto"/>
          <w:szCs w:val="21"/>
        </w:rPr>
        <w:t>灰分测试应做两份平行样品测试，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w:t>
      </w:r>
      <w:r>
        <w:rPr>
          <w:rFonts w:hint="eastAsia"/>
          <w:color w:val="auto"/>
          <w:szCs w:val="21"/>
        </w:rPr>
        <w:t>术</w:t>
      </w:r>
      <w:r>
        <w:rPr>
          <w:color w:val="auto"/>
          <w:szCs w:val="21"/>
        </w:rPr>
        <w:t>平均值表示，并应精确至小数点后两位，且两次平行测试</w:t>
      </w:r>
      <w:r>
        <w:rPr>
          <w:rFonts w:hint="eastAsia"/>
          <w:color w:val="auto"/>
          <w:szCs w:val="21"/>
        </w:rPr>
        <w:t>计算</w:t>
      </w:r>
      <w:r>
        <w:rPr>
          <w:color w:val="auto"/>
          <w:szCs w:val="21"/>
        </w:rPr>
        <w:t>结果的差值不应大于0.5%。</w:t>
      </w:r>
    </w:p>
    <w:p>
      <w:pPr>
        <w:numPr>
          <w:ilvl w:val="0"/>
          <w:numId w:val="26"/>
        </w:numPr>
        <w:spacing w:line="360" w:lineRule="auto"/>
        <w:rPr>
          <w:color w:val="auto"/>
          <w:szCs w:val="21"/>
        </w:rPr>
      </w:pPr>
      <w:r>
        <w:rPr>
          <w:color w:val="auto"/>
          <w:szCs w:val="21"/>
        </w:rPr>
        <w:t>灰分测试报告应包括试样编号、测试标准、测试仪器和设备、测试项目、测试结果、测试人员及测试日期等内容。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07" w:name="_Toc20320"/>
      <w:bookmarkStart w:id="108" w:name="_Toc25897"/>
      <w:bookmarkStart w:id="109" w:name="_Toc15581"/>
      <w:r>
        <w:rPr>
          <w:rFonts w:ascii="Times New Roman" w:hAnsi="Times New Roman" w:eastAsia="宋体"/>
          <w:b w:val="0"/>
          <w:color w:val="auto"/>
          <w:sz w:val="24"/>
          <w:szCs w:val="24"/>
        </w:rPr>
        <w:t xml:space="preserve">6.8 </w:t>
      </w:r>
      <w:r>
        <w:rPr>
          <w:rFonts w:ascii="Times New Roman" w:hAnsi="Times New Roman" w:eastAsia="宋体"/>
          <w:b w:val="0"/>
          <w:color w:val="auto"/>
          <w:sz w:val="24"/>
          <w:szCs w:val="24"/>
        </w:rPr>
        <w:t>挥发分</w:t>
      </w:r>
      <w:bookmarkEnd w:id="107"/>
      <w:bookmarkEnd w:id="108"/>
      <w:bookmarkEnd w:id="109"/>
    </w:p>
    <w:p>
      <w:pPr>
        <w:numPr>
          <w:ilvl w:val="0"/>
          <w:numId w:val="28"/>
        </w:numPr>
        <w:spacing w:line="360" w:lineRule="auto"/>
        <w:rPr>
          <w:color w:val="auto"/>
          <w:szCs w:val="21"/>
        </w:rPr>
      </w:pPr>
      <w:r>
        <w:rPr>
          <w:color w:val="auto"/>
          <w:szCs w:val="21"/>
        </w:rPr>
        <w:t>挥发分</w:t>
      </w:r>
      <w:r>
        <w:rPr>
          <w:color w:val="auto"/>
          <w:szCs w:val="21"/>
        </w:rPr>
        <w:t>测试应符合下列规定：</w:t>
      </w:r>
    </w:p>
    <w:p>
      <w:pPr>
        <w:numPr>
          <w:ilvl w:val="0"/>
          <w:numId w:val="29"/>
        </w:numPr>
        <w:tabs>
          <w:tab w:val="clear" w:pos="0"/>
        </w:tabs>
        <w:spacing w:line="360" w:lineRule="auto"/>
        <w:ind w:firstLine="420" w:firstLineChars="200"/>
        <w:rPr>
          <w:color w:val="auto"/>
          <w:szCs w:val="21"/>
        </w:rPr>
      </w:pPr>
      <w:r>
        <w:rPr>
          <w:rFonts w:hint="eastAsia"/>
          <w:color w:val="auto"/>
          <w:szCs w:val="21"/>
        </w:rPr>
        <w:t>应</w:t>
      </w:r>
      <w:r>
        <w:rPr>
          <w:color w:val="auto"/>
          <w:szCs w:val="21"/>
        </w:rPr>
        <w:t>将灰皿置于900℃的马弗炉中灼烧</w:t>
      </w:r>
      <w:r>
        <w:rPr>
          <w:rFonts w:hint="eastAsia"/>
          <w:color w:val="auto"/>
          <w:szCs w:val="21"/>
        </w:rPr>
        <w:t>，</w:t>
      </w:r>
      <w:r>
        <w:rPr>
          <w:rFonts w:hint="eastAsia"/>
          <w:color w:val="auto"/>
          <w:szCs w:val="21"/>
        </w:rPr>
        <w:t>当灼烧后连续</w:t>
      </w:r>
      <w:r>
        <w:rPr>
          <w:color w:val="auto"/>
          <w:szCs w:val="21"/>
        </w:rPr>
        <w:t>两次称量结果质量差小于0.001g</w:t>
      </w:r>
      <w:r>
        <w:rPr>
          <w:rFonts w:hint="eastAsia"/>
          <w:color w:val="auto"/>
          <w:szCs w:val="21"/>
        </w:rPr>
        <w:t>时，记录此时的质量为灰皿质量</w:t>
      </w:r>
      <w:r>
        <w:rPr>
          <w:color w:val="auto"/>
          <w:szCs w:val="21"/>
        </w:rPr>
        <w:t>；</w:t>
      </w:r>
    </w:p>
    <w:p>
      <w:pPr>
        <w:numPr>
          <w:ilvl w:val="0"/>
          <w:numId w:val="29"/>
        </w:numPr>
        <w:tabs>
          <w:tab w:val="clear" w:pos="0"/>
        </w:tabs>
        <w:spacing w:line="360" w:lineRule="auto"/>
        <w:ind w:firstLine="420" w:firstLineChars="200"/>
        <w:rPr>
          <w:color w:val="auto"/>
          <w:szCs w:val="21"/>
        </w:rPr>
      </w:pPr>
      <w:r>
        <w:rPr>
          <w:rFonts w:hint="eastAsia"/>
          <w:color w:val="auto"/>
          <w:szCs w:val="21"/>
          <w:highlight w:val="none"/>
        </w:rPr>
        <w:t>所取</w:t>
      </w:r>
      <w:r>
        <w:rPr>
          <w:color w:val="auto"/>
          <w:szCs w:val="21"/>
          <w:highlight w:val="none"/>
        </w:rPr>
        <w:t>测试试样</w:t>
      </w:r>
      <w:r>
        <w:rPr>
          <w:rFonts w:hint="eastAsia"/>
          <w:color w:val="auto"/>
          <w:szCs w:val="21"/>
          <w:highlight w:val="none"/>
        </w:rPr>
        <w:t>质量宜为</w:t>
      </w:r>
      <w:r>
        <w:rPr>
          <w:color w:val="auto"/>
          <w:szCs w:val="21"/>
          <w:highlight w:val="none"/>
        </w:rPr>
        <w:t>（1±0.01）g</w:t>
      </w:r>
      <w:r>
        <w:rPr>
          <w:color w:val="auto"/>
          <w:szCs w:val="21"/>
        </w:rPr>
        <w:t>，</w:t>
      </w:r>
      <w:r>
        <w:rPr>
          <w:rFonts w:hint="eastAsia"/>
          <w:color w:val="auto"/>
          <w:szCs w:val="21"/>
        </w:rPr>
        <w:t>且应</w:t>
      </w:r>
      <w:r>
        <w:rPr>
          <w:color w:val="auto"/>
          <w:szCs w:val="21"/>
        </w:rPr>
        <w:t>精确至0.0001g；</w:t>
      </w:r>
    </w:p>
    <w:p>
      <w:pPr>
        <w:numPr>
          <w:ilvl w:val="0"/>
          <w:numId w:val="29"/>
        </w:numPr>
        <w:tabs>
          <w:tab w:val="clear" w:pos="0"/>
        </w:tabs>
        <w:spacing w:line="360" w:lineRule="auto"/>
        <w:ind w:firstLine="420" w:firstLineChars="200"/>
        <w:rPr>
          <w:color w:val="auto"/>
          <w:szCs w:val="21"/>
        </w:rPr>
      </w:pPr>
      <w:r>
        <w:rPr>
          <w:color w:val="auto"/>
          <w:szCs w:val="21"/>
        </w:rPr>
        <w:t>将试样平铺在灰皿中</w:t>
      </w:r>
      <w:r>
        <w:rPr>
          <w:rFonts w:hint="eastAsia"/>
          <w:color w:val="auto"/>
          <w:szCs w:val="21"/>
        </w:rPr>
        <w:t>并</w:t>
      </w:r>
      <w:r>
        <w:rPr>
          <w:color w:val="auto"/>
          <w:szCs w:val="21"/>
        </w:rPr>
        <w:t>置于管式炉恒温区域，两端塞上隔热炉塞并用法兰密封</w:t>
      </w:r>
      <w:r>
        <w:rPr>
          <w:rFonts w:hint="eastAsia"/>
          <w:color w:val="auto"/>
          <w:szCs w:val="21"/>
        </w:rPr>
        <w:t>，</w:t>
      </w:r>
      <w:r>
        <w:rPr>
          <w:color w:val="auto"/>
          <w:szCs w:val="21"/>
        </w:rPr>
        <w:t>连接氮气气路</w:t>
      </w:r>
      <w:r>
        <w:rPr>
          <w:rFonts w:hint="eastAsia"/>
          <w:color w:val="auto"/>
          <w:szCs w:val="21"/>
        </w:rPr>
        <w:t>并</w:t>
      </w:r>
      <w:r>
        <w:rPr>
          <w:color w:val="auto"/>
          <w:szCs w:val="21"/>
        </w:rPr>
        <w:t>打开管式炉进气阀及排气阀，氮气流量</w:t>
      </w:r>
      <w:r>
        <w:rPr>
          <w:rFonts w:hint="eastAsia"/>
          <w:color w:val="auto"/>
          <w:szCs w:val="21"/>
        </w:rPr>
        <w:t>应调节至</w:t>
      </w:r>
      <w:r>
        <w:rPr>
          <w:color w:val="auto"/>
          <w:szCs w:val="21"/>
        </w:rPr>
        <w:t>2L/min吹扫5min；</w:t>
      </w:r>
    </w:p>
    <w:p>
      <w:pPr>
        <w:numPr>
          <w:ilvl w:val="0"/>
          <w:numId w:val="29"/>
        </w:numPr>
        <w:tabs>
          <w:tab w:val="clear" w:pos="0"/>
        </w:tabs>
        <w:spacing w:line="360" w:lineRule="auto"/>
        <w:ind w:firstLine="420" w:firstLineChars="200"/>
        <w:rPr>
          <w:color w:val="auto"/>
          <w:szCs w:val="21"/>
        </w:rPr>
      </w:pPr>
      <w:r>
        <w:rPr>
          <w:rFonts w:hint="eastAsia"/>
          <w:color w:val="auto"/>
          <w:szCs w:val="21"/>
        </w:rPr>
        <w:t>再</w:t>
      </w:r>
      <w:r>
        <w:rPr>
          <w:color w:val="auto"/>
          <w:szCs w:val="21"/>
        </w:rPr>
        <w:t>将氮气流量调至0.2L/min，</w:t>
      </w:r>
      <w:r>
        <w:rPr>
          <w:rFonts w:hint="eastAsia"/>
          <w:color w:val="auto"/>
          <w:szCs w:val="21"/>
        </w:rPr>
        <w:t>并</w:t>
      </w:r>
      <w:r>
        <w:rPr>
          <w:color w:val="auto"/>
          <w:szCs w:val="21"/>
        </w:rPr>
        <w:t>调节管式炉程序以小于</w:t>
      </w:r>
      <w:r>
        <w:rPr>
          <w:rFonts w:hint="eastAsia"/>
          <w:color w:val="auto"/>
          <w:szCs w:val="21"/>
        </w:rPr>
        <w:t>或</w:t>
      </w:r>
      <w:r>
        <w:rPr>
          <w:color w:val="auto"/>
          <w:szCs w:val="21"/>
        </w:rPr>
        <w:t>等于10℃/min的速率升温至900℃</w:t>
      </w:r>
      <w:r>
        <w:rPr>
          <w:rFonts w:hint="eastAsia"/>
          <w:color w:val="auto"/>
          <w:szCs w:val="21"/>
        </w:rPr>
        <w:t>，且保持</w:t>
      </w:r>
      <w:r>
        <w:rPr>
          <w:color w:val="auto"/>
          <w:szCs w:val="21"/>
        </w:rPr>
        <w:t>恒温</w:t>
      </w:r>
      <w:r>
        <w:rPr>
          <w:rFonts w:hint="eastAsia"/>
          <w:color w:val="auto"/>
          <w:szCs w:val="21"/>
        </w:rPr>
        <w:t>时间应为</w:t>
      </w:r>
      <w:r>
        <w:rPr>
          <w:color w:val="auto"/>
          <w:szCs w:val="21"/>
        </w:rPr>
        <w:t xml:space="preserve">1h； </w:t>
      </w:r>
    </w:p>
    <w:p>
      <w:pPr>
        <w:numPr>
          <w:ilvl w:val="0"/>
          <w:numId w:val="29"/>
        </w:numPr>
        <w:tabs>
          <w:tab w:val="clear" w:pos="0"/>
        </w:tabs>
        <w:spacing w:line="360" w:lineRule="auto"/>
        <w:ind w:firstLine="420" w:firstLineChars="200"/>
        <w:rPr>
          <w:color w:val="auto"/>
          <w:szCs w:val="21"/>
        </w:rPr>
      </w:pPr>
      <w:r>
        <w:rPr>
          <w:color w:val="auto"/>
          <w:szCs w:val="21"/>
        </w:rPr>
        <w:t>关闭管式炉</w:t>
      </w:r>
      <w:r>
        <w:rPr>
          <w:rFonts w:hint="eastAsia"/>
          <w:color w:val="auto"/>
          <w:szCs w:val="21"/>
        </w:rPr>
        <w:t>并</w:t>
      </w:r>
      <w:r>
        <w:rPr>
          <w:color w:val="auto"/>
          <w:szCs w:val="21"/>
        </w:rPr>
        <w:t>冷却至常温，断开氮气气路</w:t>
      </w:r>
      <w:r>
        <w:rPr>
          <w:rFonts w:hint="eastAsia"/>
          <w:color w:val="auto"/>
          <w:szCs w:val="21"/>
        </w:rPr>
        <w:t>并</w:t>
      </w:r>
      <w:r>
        <w:rPr>
          <w:color w:val="auto"/>
          <w:szCs w:val="21"/>
        </w:rPr>
        <w:t>取出灰皿称量</w:t>
      </w:r>
      <w:r>
        <w:rPr>
          <w:rFonts w:hint="eastAsia"/>
          <w:color w:val="auto"/>
          <w:szCs w:val="21"/>
        </w:rPr>
        <w:t>，</w:t>
      </w:r>
      <w:r>
        <w:rPr>
          <w:rFonts w:hint="eastAsia"/>
          <w:color w:val="auto"/>
          <w:szCs w:val="21"/>
        </w:rPr>
        <w:t>记录此时的质量为加热后试样与灰皿质量和</w:t>
      </w:r>
      <w:r>
        <w:rPr>
          <w:color w:val="auto"/>
          <w:szCs w:val="21"/>
        </w:rPr>
        <w:t>。</w:t>
      </w:r>
    </w:p>
    <w:p>
      <w:pPr>
        <w:numPr>
          <w:ilvl w:val="0"/>
          <w:numId w:val="28"/>
        </w:numPr>
        <w:spacing w:line="360" w:lineRule="auto"/>
        <w:rPr>
          <w:color w:val="auto"/>
          <w:szCs w:val="21"/>
        </w:rPr>
      </w:pPr>
      <w:r>
        <w:rPr>
          <w:color w:val="auto"/>
          <w:szCs w:val="21"/>
        </w:rPr>
        <w:t>挥发分应按下式进行计算：</w:t>
      </w:r>
    </w:p>
    <w:p>
      <w:pPr>
        <w:keepLines/>
        <w:tabs>
          <w:tab w:val="left" w:pos="0"/>
        </w:tabs>
        <w:spacing w:line="360" w:lineRule="auto"/>
        <w:jc w:val="right"/>
        <w:rPr>
          <w:color w:val="auto"/>
          <w:szCs w:val="21"/>
          <w:highlight w:val="yellow"/>
        </w:rPr>
      </w:pPr>
      <w:r>
        <w:rPr>
          <w:color w:val="auto"/>
          <w:position w:val="-32"/>
          <w:szCs w:val="21"/>
        </w:rPr>
        <w:object>
          <v:shape id="_x0000_i1059" o:spt="75" type="#_x0000_t75" style="height:36.95pt;width:160.9pt;" o:ole="t" filled="f" o:preferrelative="t" stroked="f" coordsize="21600,21600">
            <v:path/>
            <v:fill on="f" focussize="0,0"/>
            <v:stroke on="f" joinstyle="miter"/>
            <v:imagedata r:id="rId100" o:title=""/>
            <o:lock v:ext="edit" aspectratio="t"/>
            <w10:wrap type="none"/>
            <w10:anchorlock/>
          </v:shape>
          <o:OLEObject Type="Embed" ProgID="Equations" ShapeID="_x0000_i1059" DrawAspect="Content" ObjectID="_1468075759" r:id="rId99">
            <o:LockedField>false</o:LockedField>
          </o:OLEObject>
        </w:object>
      </w:r>
      <w:r>
        <w:rPr>
          <w:color w:val="auto"/>
        </w:rPr>
        <w:t>……………………………………………</w:t>
      </w:r>
      <w:r>
        <w:rPr>
          <w:color w:val="auto"/>
          <w:szCs w:val="21"/>
        </w:rPr>
        <w:t>（6.8.2）</w:t>
      </w:r>
    </w:p>
    <w:p>
      <w:pPr>
        <w:keepLines/>
        <w:tabs>
          <w:tab w:val="left" w:pos="0"/>
        </w:tabs>
        <w:spacing w:line="360" w:lineRule="auto"/>
        <w:rPr>
          <w:color w:val="auto"/>
        </w:rPr>
      </w:pPr>
      <w:r>
        <w:rPr>
          <w:color w:val="auto"/>
        </w:rPr>
        <w:t>式中：</w:t>
      </w:r>
      <w:r>
        <w:rPr>
          <w:color w:val="auto"/>
          <w:position w:val="-16"/>
          <w:szCs w:val="21"/>
        </w:rPr>
        <w:object>
          <v:shape id="_x0000_i1060" o:spt="75" type="#_x0000_t75" style="height:21.3pt;width:37.55pt;" o:ole="t" filled="f" o:preferrelative="t" stroked="f" coordsize="21600,21600">
            <v:path/>
            <v:fill on="f" focussize="0,0"/>
            <v:stroke on="f" joinstyle="miter"/>
            <v:imagedata r:id="rId102" o:title=""/>
            <o:lock v:ext="edit" aspectratio="t"/>
            <w10:wrap type="none"/>
            <w10:anchorlock/>
          </v:shape>
          <o:OLEObject Type="Embed" ProgID="Equations" ShapeID="_x0000_i1060" DrawAspect="Content" ObjectID="_1468075760" r:id="rId101">
            <o:LockedField>false</o:LockedField>
          </o:OLEObject>
        </w:object>
      </w:r>
      <w:r>
        <w:rPr>
          <w:color w:val="auto"/>
          <w:szCs w:val="21"/>
        </w:rPr>
        <w:t>——</w:t>
      </w:r>
      <w:r>
        <w:rPr>
          <w:color w:val="auto"/>
        </w:rPr>
        <w:t>挥发分（%）；</w:t>
      </w:r>
    </w:p>
    <w:p>
      <w:pPr>
        <w:keepLines/>
        <w:tabs>
          <w:tab w:val="left" w:pos="0"/>
        </w:tabs>
        <w:spacing w:line="360" w:lineRule="auto"/>
        <w:ind w:firstLine="630" w:firstLineChars="300"/>
        <w:rPr>
          <w:color w:val="auto"/>
        </w:rPr>
      </w:pPr>
      <w:r>
        <w:rPr>
          <w:color w:val="auto"/>
          <w:position w:val="-14"/>
          <w:szCs w:val="21"/>
        </w:rPr>
        <w:object>
          <v:shape id="_x0000_i1061" o:spt="75" type="#_x0000_t75" style="height:19.4pt;width:33.2pt;" o:ole="t" filled="f" o:preferrelative="t" stroked="f" coordsize="21600,21600">
            <v:path/>
            <v:fill on="f" focussize="0,0"/>
            <v:stroke on="f" joinstyle="miter"/>
            <v:imagedata r:id="rId104" o:title=""/>
            <o:lock v:ext="edit" aspectratio="t"/>
            <w10:wrap type="none"/>
            <w10:anchorlock/>
          </v:shape>
          <o:OLEObject Type="Embed" ProgID="Equations" ShapeID="_x0000_i1061" DrawAspect="Content" ObjectID="_1468075761" r:id="rId103">
            <o:LockedField>false</o:LockedField>
          </o:OLEObject>
        </w:object>
      </w:r>
      <w:r>
        <w:rPr>
          <w:color w:val="auto"/>
          <w:szCs w:val="21"/>
        </w:rPr>
        <w:t>——</w:t>
      </w:r>
      <w:r>
        <w:rPr>
          <w:color w:val="auto"/>
        </w:rPr>
        <w:t>加热前试样及灰皿质量和（g）；</w:t>
      </w:r>
    </w:p>
    <w:p>
      <w:pPr>
        <w:keepLines/>
        <w:tabs>
          <w:tab w:val="left" w:pos="0"/>
        </w:tabs>
        <w:spacing w:line="360" w:lineRule="auto"/>
        <w:ind w:firstLine="525" w:firstLineChars="250"/>
        <w:rPr>
          <w:color w:val="auto"/>
        </w:rPr>
      </w:pPr>
      <w:r>
        <w:rPr>
          <w:color w:val="auto"/>
          <w:szCs w:val="21"/>
        </w:rPr>
        <w:t xml:space="preserve"> </w:t>
      </w:r>
      <w:r>
        <w:rPr>
          <w:color w:val="auto"/>
          <w:position w:val="-14"/>
          <w:szCs w:val="21"/>
        </w:rPr>
        <w:object>
          <v:shape id="_x0000_i1062" o:spt="75" type="#_x0000_t75" style="height:19.4pt;width:33.2pt;" o:ole="t" filled="f" o:preferrelative="t" stroked="f" coordsize="21600,21600">
            <v:path/>
            <v:fill on="f" focussize="0,0"/>
            <v:stroke on="f" joinstyle="miter"/>
            <v:imagedata r:id="rId106" o:title=""/>
            <o:lock v:ext="edit" aspectratio="t"/>
            <w10:wrap type="none"/>
            <w10:anchorlock/>
          </v:shape>
          <o:OLEObject Type="Embed" ProgID="Equations" ShapeID="_x0000_i1062" DrawAspect="Content" ObjectID="_1468075762" r:id="rId105">
            <o:LockedField>false</o:LockedField>
          </o:OLEObject>
        </w:object>
      </w:r>
      <w:r>
        <w:rPr>
          <w:color w:val="auto"/>
          <w:szCs w:val="21"/>
        </w:rPr>
        <w:t>——</w:t>
      </w:r>
      <w:r>
        <w:rPr>
          <w:color w:val="auto"/>
        </w:rPr>
        <w:t xml:space="preserve">加热后试样及灰皿质量和（g）。 </w:t>
      </w:r>
    </w:p>
    <w:p>
      <w:pPr>
        <w:numPr>
          <w:ilvl w:val="0"/>
          <w:numId w:val="28"/>
        </w:numPr>
        <w:spacing w:line="360" w:lineRule="auto"/>
        <w:rPr>
          <w:color w:val="auto"/>
          <w:szCs w:val="21"/>
        </w:rPr>
      </w:pPr>
      <w:r>
        <w:rPr>
          <w:color w:val="auto"/>
          <w:szCs w:val="21"/>
        </w:rPr>
        <w:t>挥发分测试应做两份平行样品测试，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w:t>
      </w:r>
      <w:r>
        <w:rPr>
          <w:rFonts w:hint="eastAsia"/>
          <w:color w:val="auto"/>
          <w:szCs w:val="21"/>
        </w:rPr>
        <w:t>术</w:t>
      </w:r>
      <w:r>
        <w:rPr>
          <w:color w:val="auto"/>
          <w:szCs w:val="21"/>
        </w:rPr>
        <w:t>平均值表示，并应精确至小数点后两位，且两次平行测试</w:t>
      </w:r>
      <w:r>
        <w:rPr>
          <w:rFonts w:hint="eastAsia"/>
          <w:color w:val="auto"/>
          <w:szCs w:val="21"/>
        </w:rPr>
        <w:t>计算</w:t>
      </w:r>
      <w:r>
        <w:rPr>
          <w:color w:val="auto"/>
          <w:szCs w:val="21"/>
        </w:rPr>
        <w:t>结果的差值不应大于0.3%。</w:t>
      </w:r>
    </w:p>
    <w:p>
      <w:pPr>
        <w:numPr>
          <w:ilvl w:val="0"/>
          <w:numId w:val="28"/>
        </w:numPr>
        <w:spacing w:line="360" w:lineRule="auto"/>
        <w:rPr>
          <w:color w:val="auto"/>
          <w:szCs w:val="21"/>
        </w:rPr>
      </w:pPr>
      <w:r>
        <w:rPr>
          <w:color w:val="auto"/>
          <w:szCs w:val="21"/>
        </w:rPr>
        <w:t>挥发分测试报告应包括试样编号、测试标准、测试仪器和设备、测试项目、测试结果、测试人员及测试日期等内容。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10" w:name="_Toc23097"/>
      <w:bookmarkStart w:id="111" w:name="_Toc31718"/>
      <w:bookmarkStart w:id="112" w:name="_Toc3671"/>
      <w:r>
        <w:rPr>
          <w:rFonts w:ascii="Times New Roman" w:hAnsi="Times New Roman" w:eastAsia="宋体"/>
          <w:b w:val="0"/>
          <w:color w:val="auto"/>
          <w:sz w:val="24"/>
          <w:szCs w:val="24"/>
        </w:rPr>
        <w:t xml:space="preserve">6.9 </w:t>
      </w:r>
      <w:r>
        <w:rPr>
          <w:rFonts w:ascii="Times New Roman" w:hAnsi="Times New Roman" w:eastAsia="宋体"/>
          <w:b w:val="0"/>
          <w:color w:val="auto"/>
          <w:sz w:val="24"/>
          <w:szCs w:val="24"/>
        </w:rPr>
        <w:t>水容量</w:t>
      </w:r>
      <w:bookmarkEnd w:id="110"/>
      <w:bookmarkEnd w:id="111"/>
      <w:bookmarkEnd w:id="112"/>
    </w:p>
    <w:p>
      <w:pPr>
        <w:numPr>
          <w:ilvl w:val="0"/>
          <w:numId w:val="30"/>
        </w:numPr>
        <w:spacing w:line="360" w:lineRule="auto"/>
        <w:rPr>
          <w:color w:val="auto"/>
          <w:szCs w:val="21"/>
        </w:rPr>
      </w:pPr>
      <w:r>
        <w:rPr>
          <w:color w:val="auto"/>
          <w:szCs w:val="21"/>
        </w:rPr>
        <w:t>水容量</w:t>
      </w:r>
      <w:r>
        <w:rPr>
          <w:color w:val="auto"/>
          <w:szCs w:val="21"/>
        </w:rPr>
        <w:t>测试应符合下列规定：</w:t>
      </w:r>
    </w:p>
    <w:p>
      <w:pPr>
        <w:numPr>
          <w:ilvl w:val="0"/>
          <w:numId w:val="31"/>
        </w:numPr>
        <w:tabs>
          <w:tab w:val="clear" w:pos="0"/>
        </w:tabs>
        <w:spacing w:line="360" w:lineRule="auto"/>
        <w:ind w:firstLine="420" w:firstLineChars="200"/>
        <w:rPr>
          <w:color w:val="auto"/>
          <w:szCs w:val="21"/>
        </w:rPr>
      </w:pPr>
      <w:r>
        <w:rPr>
          <w:rFonts w:hint="eastAsia"/>
          <w:color w:val="auto"/>
          <w:szCs w:val="21"/>
        </w:rPr>
        <w:t>应</w:t>
      </w:r>
      <w:r>
        <w:rPr>
          <w:color w:val="auto"/>
          <w:szCs w:val="21"/>
        </w:rPr>
        <w:t>称取（50±1）g试样，</w:t>
      </w:r>
      <w:r>
        <w:rPr>
          <w:rFonts w:hint="eastAsia"/>
          <w:color w:val="auto"/>
          <w:szCs w:val="21"/>
        </w:rPr>
        <w:t>且应</w:t>
      </w:r>
      <w:r>
        <w:rPr>
          <w:color w:val="auto"/>
          <w:szCs w:val="21"/>
        </w:rPr>
        <w:t>精确至0.01g；</w:t>
      </w:r>
    </w:p>
    <w:p>
      <w:pPr>
        <w:numPr>
          <w:ilvl w:val="0"/>
          <w:numId w:val="31"/>
        </w:numPr>
        <w:tabs>
          <w:tab w:val="clear" w:pos="0"/>
        </w:tabs>
        <w:spacing w:line="360" w:lineRule="auto"/>
        <w:ind w:firstLine="420" w:firstLineChars="200"/>
        <w:rPr>
          <w:color w:val="auto"/>
          <w:szCs w:val="21"/>
        </w:rPr>
      </w:pPr>
      <w:r>
        <w:rPr>
          <w:rFonts w:hint="eastAsia"/>
          <w:color w:val="auto"/>
          <w:szCs w:val="21"/>
        </w:rPr>
        <w:t>将试样</w:t>
      </w:r>
      <w:r>
        <w:rPr>
          <w:color w:val="auto"/>
          <w:szCs w:val="21"/>
        </w:rPr>
        <w:t>放入烧杯中</w:t>
      </w:r>
      <w:r>
        <w:rPr>
          <w:rFonts w:hint="eastAsia"/>
          <w:color w:val="auto"/>
          <w:szCs w:val="21"/>
        </w:rPr>
        <w:t>，并</w:t>
      </w:r>
      <w:r>
        <w:rPr>
          <w:color w:val="auto"/>
          <w:szCs w:val="21"/>
        </w:rPr>
        <w:t>注入200ml去离子水</w:t>
      </w:r>
      <w:r>
        <w:rPr>
          <w:rFonts w:hint="eastAsia"/>
          <w:color w:val="auto"/>
          <w:szCs w:val="21"/>
        </w:rPr>
        <w:t>后</w:t>
      </w:r>
      <w:r>
        <w:rPr>
          <w:color w:val="auto"/>
          <w:szCs w:val="21"/>
        </w:rPr>
        <w:t>煮沸</w:t>
      </w:r>
      <w:r>
        <w:rPr>
          <w:rFonts w:hint="eastAsia"/>
          <w:color w:val="auto"/>
          <w:szCs w:val="21"/>
        </w:rPr>
        <w:t>，煮沸时间应为</w:t>
      </w:r>
      <w:r>
        <w:rPr>
          <w:color w:val="auto"/>
          <w:szCs w:val="21"/>
        </w:rPr>
        <w:t>20min</w:t>
      </w:r>
      <w:r>
        <w:rPr>
          <w:color w:val="auto"/>
          <w:szCs w:val="21"/>
        </w:rPr>
        <w:t>；</w:t>
      </w:r>
    </w:p>
    <w:p>
      <w:pPr>
        <w:numPr>
          <w:ilvl w:val="0"/>
          <w:numId w:val="31"/>
        </w:numPr>
        <w:tabs>
          <w:tab w:val="clear" w:pos="0"/>
        </w:tabs>
        <w:spacing w:line="360" w:lineRule="auto"/>
        <w:ind w:firstLine="420" w:firstLineChars="200"/>
        <w:rPr>
          <w:color w:val="auto"/>
          <w:szCs w:val="21"/>
          <w:highlight w:val="none"/>
        </w:rPr>
      </w:pPr>
      <w:r>
        <w:rPr>
          <w:rFonts w:hint="eastAsia"/>
          <w:color w:val="auto"/>
          <w:szCs w:val="21"/>
          <w:highlight w:val="none"/>
        </w:rPr>
        <w:t>将</w:t>
      </w:r>
      <w:r>
        <w:rPr>
          <w:color w:val="auto"/>
          <w:szCs w:val="21"/>
          <w:highlight w:val="none"/>
        </w:rPr>
        <w:t>滤纸用去离子水湿润</w:t>
      </w:r>
      <w:r>
        <w:rPr>
          <w:rFonts w:hint="eastAsia"/>
          <w:color w:val="auto"/>
          <w:szCs w:val="21"/>
          <w:highlight w:val="none"/>
        </w:rPr>
        <w:t>后置入</w:t>
      </w:r>
      <w:r>
        <w:rPr>
          <w:color w:val="auto"/>
          <w:szCs w:val="21"/>
          <w:highlight w:val="none"/>
        </w:rPr>
        <w:t>布氏漏斗中</w:t>
      </w:r>
      <w:r>
        <w:rPr>
          <w:rFonts w:hint="eastAsia"/>
          <w:color w:val="auto"/>
          <w:szCs w:val="21"/>
          <w:highlight w:val="none"/>
        </w:rPr>
        <w:t>，滤纸应紧贴漏斗</w:t>
      </w:r>
      <w:r>
        <w:rPr>
          <w:color w:val="auto"/>
          <w:szCs w:val="21"/>
          <w:highlight w:val="none"/>
        </w:rPr>
        <w:t>；</w:t>
      </w:r>
    </w:p>
    <w:p>
      <w:pPr>
        <w:numPr>
          <w:ilvl w:val="0"/>
          <w:numId w:val="31"/>
        </w:numPr>
        <w:tabs>
          <w:tab w:val="clear" w:pos="0"/>
        </w:tabs>
        <w:spacing w:line="360" w:lineRule="auto"/>
        <w:ind w:firstLine="420" w:firstLineChars="200"/>
        <w:rPr>
          <w:color w:val="auto"/>
          <w:szCs w:val="21"/>
          <w:highlight w:val="none"/>
        </w:rPr>
      </w:pPr>
      <w:r>
        <w:rPr>
          <w:rFonts w:hint="eastAsia"/>
          <w:color w:val="auto"/>
          <w:szCs w:val="21"/>
          <w:highlight w:val="none"/>
        </w:rPr>
        <w:t>待</w:t>
      </w:r>
      <w:r>
        <w:rPr>
          <w:color w:val="auto"/>
          <w:szCs w:val="21"/>
          <w:highlight w:val="none"/>
        </w:rPr>
        <w:t>试样冷却至室温后将试样倒入布氏漏斗中抽滤</w:t>
      </w:r>
      <w:r>
        <w:rPr>
          <w:rFonts w:hint="eastAsia"/>
          <w:color w:val="auto"/>
          <w:szCs w:val="21"/>
          <w:highlight w:val="none"/>
        </w:rPr>
        <w:t>，</w:t>
      </w:r>
      <w:r>
        <w:rPr>
          <w:rFonts w:hint="eastAsia"/>
          <w:color w:val="auto"/>
          <w:szCs w:val="21"/>
          <w:highlight w:val="none"/>
        </w:rPr>
        <w:t>抽滤时间应</w:t>
      </w:r>
      <w:r>
        <w:rPr>
          <w:rFonts w:hint="eastAsia"/>
          <w:color w:val="auto"/>
          <w:szCs w:val="21"/>
          <w:highlight w:val="none"/>
        </w:rPr>
        <w:t>为</w:t>
      </w:r>
      <w:r>
        <w:rPr>
          <w:color w:val="auto"/>
          <w:szCs w:val="21"/>
          <w:highlight w:val="none"/>
        </w:rPr>
        <w:t xml:space="preserve">10min； </w:t>
      </w:r>
    </w:p>
    <w:p>
      <w:pPr>
        <w:numPr>
          <w:ilvl w:val="0"/>
          <w:numId w:val="31"/>
        </w:numPr>
        <w:tabs>
          <w:tab w:val="clear" w:pos="0"/>
        </w:tabs>
        <w:spacing w:line="360" w:lineRule="auto"/>
        <w:ind w:firstLine="420" w:firstLineChars="200"/>
        <w:rPr>
          <w:color w:val="auto"/>
          <w:szCs w:val="21"/>
        </w:rPr>
      </w:pPr>
      <w:r>
        <w:rPr>
          <w:color w:val="auto"/>
          <w:szCs w:val="21"/>
        </w:rPr>
        <w:t>将试样移</w:t>
      </w:r>
      <w:r>
        <w:rPr>
          <w:rFonts w:hint="eastAsia"/>
          <w:color w:val="auto"/>
          <w:szCs w:val="21"/>
        </w:rPr>
        <w:t>至</w:t>
      </w:r>
      <w:r>
        <w:rPr>
          <w:color w:val="auto"/>
          <w:szCs w:val="21"/>
        </w:rPr>
        <w:t>天平上称量</w:t>
      </w:r>
      <w:r>
        <w:rPr>
          <w:rFonts w:hint="eastAsia"/>
          <w:color w:val="auto"/>
          <w:szCs w:val="21"/>
        </w:rPr>
        <w:t>，记录质量为试样吸水后质量</w:t>
      </w:r>
      <w:r>
        <w:rPr>
          <w:color w:val="auto"/>
          <w:szCs w:val="21"/>
        </w:rPr>
        <w:t>。</w:t>
      </w:r>
    </w:p>
    <w:p>
      <w:pPr>
        <w:numPr>
          <w:ilvl w:val="0"/>
          <w:numId w:val="30"/>
        </w:numPr>
        <w:spacing w:line="360" w:lineRule="auto"/>
        <w:rPr>
          <w:color w:val="auto"/>
          <w:szCs w:val="21"/>
        </w:rPr>
      </w:pPr>
      <w:bookmarkStart w:id="113" w:name="_Toc285441236"/>
      <w:r>
        <w:rPr>
          <w:color w:val="auto"/>
          <w:szCs w:val="21"/>
        </w:rPr>
        <w:t>水容量应</w:t>
      </w:r>
      <w:r>
        <w:rPr>
          <w:rFonts w:hint="eastAsia"/>
          <w:color w:val="auto"/>
          <w:szCs w:val="21"/>
        </w:rPr>
        <w:t>根据本标准第6.9.1条所测试样吸水后质量</w:t>
      </w:r>
      <w:r>
        <w:rPr>
          <w:color w:val="auto"/>
          <w:szCs w:val="21"/>
        </w:rPr>
        <w:t>按下式进行计算：</w:t>
      </w:r>
    </w:p>
    <w:p>
      <w:pPr>
        <w:keepLines/>
        <w:tabs>
          <w:tab w:val="left" w:pos="0"/>
        </w:tabs>
        <w:spacing w:line="360" w:lineRule="auto"/>
        <w:jc w:val="right"/>
        <w:rPr>
          <w:color w:val="auto"/>
          <w:szCs w:val="21"/>
        </w:rPr>
      </w:pPr>
      <w:r>
        <w:rPr>
          <w:color w:val="auto"/>
          <w:position w:val="-32"/>
          <w:szCs w:val="21"/>
        </w:rPr>
        <w:object>
          <v:shape id="_x0000_i1063" o:spt="75" type="#_x0000_t75" style="height:36.95pt;width:160.9pt;" o:ole="t" filled="f" o:preferrelative="t" stroked="f" coordsize="21600,21600">
            <v:path/>
            <v:fill on="f" focussize="0,0"/>
            <v:stroke on="f" joinstyle="miter"/>
            <v:imagedata r:id="rId108" o:title=""/>
            <o:lock v:ext="edit" aspectratio="t"/>
            <w10:wrap type="none"/>
            <w10:anchorlock/>
          </v:shape>
          <o:OLEObject Type="Embed" ProgID="Equations" ShapeID="_x0000_i1063" DrawAspect="Content" ObjectID="_1468075763" r:id="rId107">
            <o:LockedField>false</o:LockedField>
          </o:OLEObject>
        </w:object>
      </w:r>
      <w:r>
        <w:rPr>
          <w:color w:val="auto"/>
        </w:rPr>
        <w:t>………………………………………………</w:t>
      </w:r>
      <w:r>
        <w:rPr>
          <w:color w:val="auto"/>
          <w:szCs w:val="21"/>
        </w:rPr>
        <w:t>（6.9.2）</w:t>
      </w:r>
    </w:p>
    <w:p>
      <w:pPr>
        <w:keepLines/>
        <w:tabs>
          <w:tab w:val="left" w:pos="0"/>
        </w:tabs>
        <w:spacing w:line="360" w:lineRule="auto"/>
        <w:rPr>
          <w:color w:val="auto"/>
        </w:rPr>
      </w:pPr>
      <w:r>
        <w:rPr>
          <w:color w:val="auto"/>
        </w:rPr>
        <w:t>式中：</w:t>
      </w:r>
      <w:r>
        <w:rPr>
          <w:color w:val="auto"/>
          <w:position w:val="-16"/>
          <w:szCs w:val="21"/>
        </w:rPr>
        <w:object>
          <v:shape id="_x0000_i1064" o:spt="75" type="#_x0000_t75" style="height:21.3pt;width:37.55pt;" o:ole="t" filled="f" o:preferrelative="t" stroked="f" coordsize="21600,21600">
            <v:path/>
            <v:fill on="f" focussize="0,0"/>
            <v:stroke on="f" joinstyle="miter"/>
            <v:imagedata r:id="rId110" o:title=""/>
            <o:lock v:ext="edit" aspectratio="t"/>
            <w10:wrap type="none"/>
            <w10:anchorlock/>
          </v:shape>
          <o:OLEObject Type="Embed" ProgID="Equations" ShapeID="_x0000_i1064" DrawAspect="Content" ObjectID="_1468075764" r:id="rId109">
            <o:LockedField>false</o:LockedField>
          </o:OLEObject>
        </w:object>
      </w:r>
      <w:r>
        <w:rPr>
          <w:color w:val="auto"/>
          <w:szCs w:val="21"/>
        </w:rPr>
        <w:t>——</w:t>
      </w:r>
      <w:r>
        <w:rPr>
          <w:color w:val="auto"/>
        </w:rPr>
        <w:t>水容量（%）；</w:t>
      </w:r>
    </w:p>
    <w:p>
      <w:pPr>
        <w:keepLines/>
        <w:tabs>
          <w:tab w:val="left" w:pos="0"/>
        </w:tabs>
        <w:spacing w:line="360" w:lineRule="auto"/>
        <w:ind w:firstLine="630" w:firstLineChars="300"/>
        <w:rPr>
          <w:color w:val="auto"/>
        </w:rPr>
      </w:pPr>
      <w:r>
        <w:rPr>
          <w:color w:val="auto"/>
          <w:szCs w:val="21"/>
        </w:rPr>
        <w:t xml:space="preserve"> </w:t>
      </w:r>
      <w:r>
        <w:rPr>
          <w:color w:val="auto"/>
          <w:position w:val="-14"/>
          <w:szCs w:val="21"/>
        </w:rPr>
        <w:object>
          <v:shape id="_x0000_i1065" o:spt="75" type="#_x0000_t75" style="height:19.4pt;width:33.2pt;" o:ole="t" filled="f" o:preferrelative="t" stroked="f" coordsize="21600,21600">
            <v:path/>
            <v:fill on="f" focussize="0,0"/>
            <v:stroke on="f" joinstyle="miter"/>
            <v:imagedata r:id="rId112" o:title=""/>
            <o:lock v:ext="edit" aspectratio="t"/>
            <w10:wrap type="none"/>
            <w10:anchorlock/>
          </v:shape>
          <o:OLEObject Type="Embed" ProgID="Equations" ShapeID="_x0000_i1065" DrawAspect="Content" ObjectID="_1468075765" r:id="rId111">
            <o:LockedField>false</o:LockedField>
          </o:OLEObject>
        </w:object>
      </w:r>
      <w:r>
        <w:rPr>
          <w:color w:val="auto"/>
          <w:szCs w:val="21"/>
        </w:rPr>
        <w:t>——</w:t>
      </w:r>
      <w:r>
        <w:rPr>
          <w:color w:val="auto"/>
        </w:rPr>
        <w:t>试样吸水前质量（g）；</w:t>
      </w:r>
    </w:p>
    <w:p>
      <w:pPr>
        <w:keepLines/>
        <w:tabs>
          <w:tab w:val="left" w:pos="0"/>
        </w:tabs>
        <w:spacing w:line="360" w:lineRule="auto"/>
        <w:ind w:firstLine="420" w:firstLineChars="200"/>
        <w:rPr>
          <w:color w:val="auto"/>
        </w:rPr>
      </w:pPr>
      <w:r>
        <w:rPr>
          <w:color w:val="auto"/>
          <w:szCs w:val="21"/>
        </w:rPr>
        <w:t xml:space="preserve">  </w:t>
      </w:r>
      <w:r>
        <w:rPr>
          <w:color w:val="auto"/>
          <w:position w:val="-14"/>
          <w:szCs w:val="21"/>
        </w:rPr>
        <w:object>
          <v:shape id="_x0000_i1066" o:spt="75" type="#_x0000_t75" style="height:19.4pt;width:33.2pt;" o:ole="t" filled="f" o:preferrelative="t" stroked="f" coordsize="21600,21600">
            <v:path/>
            <v:fill on="f" focussize="0,0"/>
            <v:stroke on="f" joinstyle="miter"/>
            <v:imagedata r:id="rId114" o:title=""/>
            <o:lock v:ext="edit" aspectratio="t"/>
            <w10:wrap type="none"/>
            <w10:anchorlock/>
          </v:shape>
          <o:OLEObject Type="Embed" ProgID="Equations" ShapeID="_x0000_i1066" DrawAspect="Content" ObjectID="_1468075766" r:id="rId113">
            <o:LockedField>false</o:LockedField>
          </o:OLEObject>
        </w:object>
      </w:r>
      <w:r>
        <w:rPr>
          <w:color w:val="auto"/>
          <w:szCs w:val="21"/>
        </w:rPr>
        <w:t>——</w:t>
      </w:r>
      <w:r>
        <w:rPr>
          <w:color w:val="auto"/>
        </w:rPr>
        <w:t>试样吸水后质量（g）。</w:t>
      </w:r>
    </w:p>
    <w:p>
      <w:pPr>
        <w:numPr>
          <w:ilvl w:val="0"/>
          <w:numId w:val="30"/>
        </w:numPr>
        <w:spacing w:line="360" w:lineRule="auto"/>
        <w:rPr>
          <w:color w:val="auto"/>
          <w:szCs w:val="21"/>
        </w:rPr>
      </w:pPr>
      <w:r>
        <w:rPr>
          <w:color w:val="auto"/>
          <w:szCs w:val="21"/>
        </w:rPr>
        <w:t>水容量测试应做两份平行样品测试，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w:t>
      </w:r>
      <w:r>
        <w:rPr>
          <w:rFonts w:hint="eastAsia"/>
          <w:color w:val="auto"/>
          <w:szCs w:val="21"/>
        </w:rPr>
        <w:t>术</w:t>
      </w:r>
      <w:r>
        <w:rPr>
          <w:color w:val="auto"/>
          <w:szCs w:val="21"/>
        </w:rPr>
        <w:t>平均值表示，并应精确至小数点后两位，且两次平行测试</w:t>
      </w:r>
      <w:r>
        <w:rPr>
          <w:rFonts w:hint="eastAsia"/>
          <w:color w:val="auto"/>
          <w:szCs w:val="21"/>
        </w:rPr>
        <w:t>计算</w:t>
      </w:r>
      <w:r>
        <w:rPr>
          <w:color w:val="auto"/>
          <w:szCs w:val="21"/>
        </w:rPr>
        <w:t>结果的差值不应大于3%。</w:t>
      </w:r>
    </w:p>
    <w:p>
      <w:pPr>
        <w:numPr>
          <w:ilvl w:val="0"/>
          <w:numId w:val="30"/>
        </w:numPr>
        <w:spacing w:line="360" w:lineRule="auto"/>
        <w:rPr>
          <w:color w:val="auto"/>
          <w:szCs w:val="21"/>
        </w:rPr>
      </w:pPr>
      <w:r>
        <w:rPr>
          <w:color w:val="auto"/>
          <w:szCs w:val="21"/>
        </w:rPr>
        <w:t>水容量测试报告应包括试样编号、测试标准、测试仪器和设备、测试项目、测试结果、测试人员及测试日期等内容。</w:t>
      </w:r>
      <w:bookmarkEnd w:id="113"/>
    </w:p>
    <w:p>
      <w:pPr>
        <w:pStyle w:val="3"/>
        <w:spacing w:beforeLines="50" w:afterLines="50" w:line="360" w:lineRule="auto"/>
        <w:jc w:val="center"/>
        <w:rPr>
          <w:rFonts w:ascii="Times New Roman" w:hAnsi="Times New Roman" w:eastAsia="宋体"/>
          <w:b w:val="0"/>
          <w:color w:val="auto"/>
          <w:sz w:val="24"/>
          <w:szCs w:val="24"/>
        </w:rPr>
      </w:pPr>
      <w:bookmarkStart w:id="114" w:name="_Toc30362"/>
      <w:bookmarkStart w:id="115" w:name="_Toc5244"/>
      <w:bookmarkStart w:id="116" w:name="_Toc12563"/>
      <w:r>
        <w:rPr>
          <w:rFonts w:ascii="Times New Roman" w:hAnsi="Times New Roman" w:eastAsia="宋体"/>
          <w:b w:val="0"/>
          <w:color w:val="auto"/>
          <w:sz w:val="24"/>
          <w:szCs w:val="24"/>
        </w:rPr>
        <w:t>6.10</w:t>
      </w:r>
      <w:r>
        <w:rPr>
          <w:rFonts w:hint="eastAsia" w:ascii="Times New Roman" w:hAnsi="Times New Roman" w:eastAsia="宋体"/>
          <w:b w:val="0"/>
          <w:color w:val="auto"/>
          <w:sz w:val="24"/>
          <w:szCs w:val="24"/>
        </w:rPr>
        <w:t xml:space="preserve"> </w:t>
      </w:r>
      <w:r>
        <w:rPr>
          <w:rFonts w:ascii="Times New Roman" w:hAnsi="Times New Roman" w:eastAsia="宋体"/>
          <w:b w:val="0"/>
          <w:color w:val="auto"/>
          <w:sz w:val="24"/>
          <w:szCs w:val="24"/>
        </w:rPr>
        <w:t xml:space="preserve"> </w:t>
      </w:r>
      <w:r>
        <w:rPr>
          <w:rFonts w:ascii="Times New Roman" w:hAnsi="Times New Roman" w:eastAsia="宋体"/>
          <w:b w:val="0"/>
          <w:color w:val="auto"/>
          <w:sz w:val="24"/>
          <w:szCs w:val="24"/>
        </w:rPr>
        <w:t>SO</w:t>
      </w:r>
      <w:r>
        <w:rPr>
          <w:rFonts w:ascii="Times New Roman" w:hAnsi="Times New Roman" w:eastAsia="宋体"/>
          <w:b w:val="0"/>
          <w:color w:val="auto"/>
          <w:sz w:val="24"/>
          <w:szCs w:val="24"/>
          <w:vertAlign w:val="subscript"/>
        </w:rPr>
        <w:t>2</w:t>
      </w:r>
      <w:r>
        <w:rPr>
          <w:rFonts w:ascii="Times New Roman" w:hAnsi="Times New Roman" w:eastAsia="宋体"/>
          <w:b w:val="0"/>
          <w:color w:val="auto"/>
          <w:sz w:val="24"/>
          <w:szCs w:val="24"/>
        </w:rPr>
        <w:t>吸附值</w:t>
      </w:r>
      <w:bookmarkEnd w:id="114"/>
      <w:bookmarkEnd w:id="115"/>
      <w:bookmarkEnd w:id="116"/>
    </w:p>
    <w:p>
      <w:pPr>
        <w:numPr>
          <w:ilvl w:val="0"/>
          <w:numId w:val="32"/>
        </w:numPr>
        <w:spacing w:line="360" w:lineRule="auto"/>
        <w:rPr>
          <w:color w:val="auto"/>
          <w:szCs w:val="21"/>
        </w:rPr>
      </w:pPr>
      <w:r>
        <w:rPr>
          <w:color w:val="auto"/>
          <w:szCs w:val="21"/>
        </w:rPr>
        <w:t>模拟脱硫烟气应符合下列规定：</w:t>
      </w:r>
    </w:p>
    <w:p>
      <w:pPr>
        <w:numPr>
          <w:ilvl w:val="0"/>
          <w:numId w:val="33"/>
        </w:numPr>
        <w:tabs>
          <w:tab w:val="clear" w:pos="0"/>
        </w:tabs>
        <w:spacing w:line="360" w:lineRule="auto"/>
        <w:ind w:firstLine="420" w:firstLineChars="200"/>
        <w:rPr>
          <w:color w:val="auto"/>
          <w:szCs w:val="21"/>
        </w:rPr>
      </w:pPr>
      <w:r>
        <w:rPr>
          <w:rFonts w:hint="eastAsia"/>
          <w:color w:val="auto"/>
          <w:szCs w:val="21"/>
        </w:rPr>
        <w:t>烟气</w:t>
      </w:r>
      <w:r>
        <w:rPr>
          <w:color w:val="auto"/>
          <w:szCs w:val="21"/>
        </w:rPr>
        <w:t>总流量应为26.0 L/ min（标况）；</w:t>
      </w:r>
    </w:p>
    <w:p>
      <w:pPr>
        <w:numPr>
          <w:ilvl w:val="0"/>
          <w:numId w:val="33"/>
        </w:numPr>
        <w:tabs>
          <w:tab w:val="clear" w:pos="0"/>
        </w:tabs>
        <w:spacing w:line="360" w:lineRule="auto"/>
        <w:ind w:firstLine="420" w:firstLineChars="200"/>
        <w:rPr>
          <w:color w:val="auto"/>
          <w:szCs w:val="21"/>
        </w:rPr>
      </w:pPr>
      <w:r>
        <w:rPr>
          <w:rFonts w:hint="eastAsia"/>
          <w:color w:val="auto"/>
          <w:szCs w:val="21"/>
        </w:rPr>
        <w:t>烟气中的</w:t>
      </w:r>
      <w:r>
        <w:rPr>
          <w:color w:val="auto"/>
          <w:szCs w:val="21"/>
        </w:rPr>
        <w:t>氧气浓度应为16 %（体积分数，干基），允许绝对偏差</w:t>
      </w:r>
      <w:r>
        <w:rPr>
          <w:rFonts w:hint="eastAsia"/>
          <w:color w:val="auto"/>
          <w:szCs w:val="21"/>
        </w:rPr>
        <w:t>应</w:t>
      </w:r>
      <w:r>
        <w:rPr>
          <w:color w:val="auto"/>
          <w:szCs w:val="21"/>
        </w:rPr>
        <w:t>为±0.5 %；</w:t>
      </w:r>
    </w:p>
    <w:p>
      <w:pPr>
        <w:numPr>
          <w:ilvl w:val="0"/>
          <w:numId w:val="33"/>
        </w:numPr>
        <w:tabs>
          <w:tab w:val="clear" w:pos="0"/>
        </w:tabs>
        <w:spacing w:line="360" w:lineRule="auto"/>
        <w:ind w:firstLine="420" w:firstLineChars="200"/>
        <w:rPr>
          <w:color w:val="auto"/>
          <w:szCs w:val="21"/>
        </w:rPr>
      </w:pPr>
      <w:r>
        <w:rPr>
          <w:rFonts w:hint="eastAsia"/>
          <w:color w:val="auto"/>
          <w:szCs w:val="21"/>
        </w:rPr>
        <w:t>烟气</w:t>
      </w:r>
      <w:r>
        <w:rPr>
          <w:color w:val="auto"/>
          <w:szCs w:val="21"/>
        </w:rPr>
        <w:t>湿度</w:t>
      </w:r>
      <w:r>
        <w:rPr>
          <w:color w:val="auto"/>
          <w:szCs w:val="21"/>
        </w:rPr>
        <w:t>应为</w:t>
      </w:r>
      <w:r>
        <w:rPr>
          <w:color w:val="auto"/>
          <w:szCs w:val="21"/>
        </w:rPr>
        <w:t>10 %（体积分数），允许绝对偏差</w:t>
      </w:r>
      <w:r>
        <w:rPr>
          <w:rFonts w:hint="eastAsia"/>
          <w:color w:val="auto"/>
          <w:szCs w:val="21"/>
        </w:rPr>
        <w:t>应</w:t>
      </w:r>
      <w:r>
        <w:rPr>
          <w:color w:val="auto"/>
          <w:szCs w:val="21"/>
        </w:rPr>
        <w:t>为±0.5 %；</w:t>
      </w:r>
    </w:p>
    <w:p>
      <w:pPr>
        <w:numPr>
          <w:ilvl w:val="0"/>
          <w:numId w:val="33"/>
        </w:numPr>
        <w:tabs>
          <w:tab w:val="clear" w:pos="0"/>
        </w:tabs>
        <w:spacing w:line="360" w:lineRule="auto"/>
        <w:ind w:firstLine="420" w:firstLineChars="200"/>
        <w:rPr>
          <w:color w:val="auto"/>
          <w:szCs w:val="21"/>
        </w:rPr>
      </w:pPr>
      <w:r>
        <w:rPr>
          <w:rFonts w:hint="eastAsia"/>
          <w:color w:val="auto"/>
          <w:szCs w:val="21"/>
        </w:rPr>
        <w:t>烟气中的</w:t>
      </w:r>
      <w:r>
        <w:rPr>
          <w:color w:val="auto"/>
          <w:szCs w:val="21"/>
        </w:rPr>
        <w:t>二氧化硫浓度应为1020 ppm（体积分数，干基），允许绝对偏差</w:t>
      </w:r>
      <w:r>
        <w:rPr>
          <w:rFonts w:hint="eastAsia"/>
          <w:color w:val="auto"/>
          <w:szCs w:val="21"/>
        </w:rPr>
        <w:t>应</w:t>
      </w:r>
      <w:r>
        <w:rPr>
          <w:color w:val="auto"/>
          <w:szCs w:val="21"/>
        </w:rPr>
        <w:t>为±10 ppm；</w:t>
      </w:r>
    </w:p>
    <w:p>
      <w:pPr>
        <w:numPr>
          <w:ilvl w:val="0"/>
          <w:numId w:val="33"/>
        </w:numPr>
        <w:tabs>
          <w:tab w:val="clear" w:pos="0"/>
        </w:tabs>
        <w:spacing w:line="360" w:lineRule="auto"/>
        <w:ind w:firstLine="420" w:firstLineChars="200"/>
        <w:rPr>
          <w:color w:val="auto"/>
          <w:szCs w:val="21"/>
        </w:rPr>
      </w:pPr>
      <w:r>
        <w:rPr>
          <w:rFonts w:hint="eastAsia"/>
          <w:color w:val="auto"/>
          <w:szCs w:val="21"/>
        </w:rPr>
        <w:t>应使用</w:t>
      </w:r>
      <w:r>
        <w:rPr>
          <w:color w:val="auto"/>
          <w:szCs w:val="21"/>
        </w:rPr>
        <w:t>氮气</w:t>
      </w:r>
      <w:r>
        <w:rPr>
          <w:rFonts w:hint="eastAsia"/>
          <w:color w:val="auto"/>
          <w:szCs w:val="21"/>
        </w:rPr>
        <w:t>作为</w:t>
      </w:r>
      <w:r>
        <w:rPr>
          <w:color w:val="auto"/>
          <w:szCs w:val="21"/>
        </w:rPr>
        <w:t>平衡气。</w:t>
      </w:r>
    </w:p>
    <w:p>
      <w:pPr>
        <w:numPr>
          <w:ilvl w:val="0"/>
          <w:numId w:val="32"/>
        </w:numPr>
        <w:spacing w:line="360" w:lineRule="auto"/>
        <w:rPr>
          <w:color w:val="auto"/>
          <w:szCs w:val="21"/>
        </w:rPr>
      </w:pPr>
      <w:r>
        <w:rPr>
          <w:color w:val="auto"/>
          <w:szCs w:val="21"/>
        </w:rPr>
        <w:t>吸附反应温度应为120 ℃，允许绝对偏差</w:t>
      </w:r>
      <w:r>
        <w:rPr>
          <w:rFonts w:hint="eastAsia"/>
          <w:color w:val="auto"/>
          <w:szCs w:val="21"/>
        </w:rPr>
        <w:t>应</w:t>
      </w:r>
      <w:r>
        <w:rPr>
          <w:color w:val="auto"/>
          <w:szCs w:val="21"/>
        </w:rPr>
        <w:t>为±5 ℃。</w:t>
      </w:r>
    </w:p>
    <w:p>
      <w:pPr>
        <w:numPr>
          <w:ilvl w:val="0"/>
          <w:numId w:val="32"/>
        </w:numPr>
        <w:spacing w:line="360" w:lineRule="auto"/>
        <w:rPr>
          <w:color w:val="auto"/>
          <w:szCs w:val="21"/>
        </w:rPr>
      </w:pPr>
      <w:r>
        <w:rPr>
          <w:color w:val="auto"/>
          <w:szCs w:val="21"/>
        </w:rPr>
        <w:t>SO</w:t>
      </w:r>
      <w:r>
        <w:rPr>
          <w:color w:val="auto"/>
          <w:szCs w:val="21"/>
          <w:vertAlign w:val="subscript"/>
        </w:rPr>
        <w:t>2</w:t>
      </w:r>
      <w:r>
        <w:rPr>
          <w:color w:val="auto"/>
          <w:szCs w:val="21"/>
        </w:rPr>
        <w:t>吸附值测试应符合下列规定：</w:t>
      </w:r>
    </w:p>
    <w:p>
      <w:pPr>
        <w:numPr>
          <w:ilvl w:val="0"/>
          <w:numId w:val="34"/>
        </w:numPr>
        <w:tabs>
          <w:tab w:val="clear" w:pos="0"/>
        </w:tabs>
        <w:spacing w:line="360" w:lineRule="auto"/>
        <w:ind w:firstLine="420" w:firstLineChars="200"/>
        <w:rPr>
          <w:color w:val="auto"/>
          <w:szCs w:val="21"/>
        </w:rPr>
      </w:pPr>
      <w:r>
        <w:rPr>
          <w:rFonts w:hint="eastAsia"/>
          <w:color w:val="auto"/>
          <w:szCs w:val="21"/>
        </w:rPr>
        <w:t>应</w:t>
      </w:r>
      <w:r>
        <w:rPr>
          <w:color w:val="auto"/>
          <w:szCs w:val="21"/>
        </w:rPr>
        <w:t>选用</w:t>
      </w:r>
      <w:r>
        <w:rPr>
          <w:i/>
          <w:iCs/>
          <w:color w:val="auto"/>
          <w:szCs w:val="21"/>
        </w:rPr>
        <w:sym w:font="Symbol" w:char="F066"/>
      </w:r>
      <w:r>
        <w:rPr>
          <w:i/>
          <w:iCs/>
          <w:color w:val="auto"/>
          <w:szCs w:val="21"/>
        </w:rPr>
        <w:t xml:space="preserve"> </w:t>
      </w:r>
      <w:r>
        <w:rPr>
          <w:rFonts w:hint="eastAsia"/>
          <w:color w:val="auto"/>
          <w:szCs w:val="21"/>
        </w:rPr>
        <w:t>200×50-1.0/0.71方孔</w:t>
      </w:r>
      <w:r>
        <w:rPr>
          <w:color w:val="auto"/>
          <w:szCs w:val="21"/>
        </w:rPr>
        <w:t>试验筛除去试样粉尘；</w:t>
      </w:r>
    </w:p>
    <w:p>
      <w:pPr>
        <w:numPr>
          <w:ilvl w:val="0"/>
          <w:numId w:val="34"/>
        </w:numPr>
        <w:tabs>
          <w:tab w:val="clear" w:pos="0"/>
        </w:tabs>
        <w:spacing w:line="360" w:lineRule="auto"/>
        <w:ind w:firstLine="420" w:firstLineChars="200"/>
        <w:rPr>
          <w:color w:val="auto"/>
          <w:szCs w:val="21"/>
        </w:rPr>
      </w:pPr>
      <w:r>
        <w:rPr>
          <w:rFonts w:hint="eastAsia"/>
          <w:color w:val="auto"/>
          <w:szCs w:val="21"/>
        </w:rPr>
        <w:t>应</w:t>
      </w:r>
      <w:r>
        <w:rPr>
          <w:color w:val="auto"/>
          <w:szCs w:val="21"/>
        </w:rPr>
        <w:t>称取（260±1）g样品，</w:t>
      </w:r>
      <w:r>
        <w:rPr>
          <w:rFonts w:hint="eastAsia"/>
          <w:color w:val="auto"/>
          <w:szCs w:val="21"/>
        </w:rPr>
        <w:t>且应</w:t>
      </w:r>
      <w:r>
        <w:rPr>
          <w:color w:val="auto"/>
          <w:szCs w:val="21"/>
        </w:rPr>
        <w:t>精确至0.01g</w:t>
      </w:r>
      <w:r>
        <w:rPr>
          <w:rFonts w:hint="eastAsia"/>
          <w:color w:val="auto"/>
          <w:szCs w:val="21"/>
        </w:rPr>
        <w:t>，</w:t>
      </w:r>
      <w:r>
        <w:rPr>
          <w:rFonts w:hint="eastAsia"/>
          <w:color w:val="auto"/>
          <w:szCs w:val="21"/>
        </w:rPr>
        <w:t>并将样品</w:t>
      </w:r>
      <w:r>
        <w:rPr>
          <w:color w:val="auto"/>
          <w:szCs w:val="21"/>
        </w:rPr>
        <w:t>填装至反应器恒温段</w:t>
      </w:r>
      <w:r>
        <w:rPr>
          <w:rFonts w:hint="eastAsia"/>
          <w:color w:val="auto"/>
          <w:szCs w:val="21"/>
        </w:rPr>
        <w:t>；</w:t>
      </w:r>
    </w:p>
    <w:p>
      <w:pPr>
        <w:numPr>
          <w:ilvl w:val="0"/>
          <w:numId w:val="34"/>
        </w:numPr>
        <w:tabs>
          <w:tab w:val="clear" w:pos="0"/>
        </w:tabs>
        <w:spacing w:line="360" w:lineRule="auto"/>
        <w:ind w:firstLine="420" w:firstLineChars="200"/>
        <w:rPr>
          <w:color w:val="auto"/>
          <w:szCs w:val="21"/>
        </w:rPr>
      </w:pPr>
      <w:r>
        <w:rPr>
          <w:rFonts w:hint="eastAsia"/>
          <w:color w:val="auto"/>
          <w:szCs w:val="21"/>
        </w:rPr>
        <w:t>在</w:t>
      </w:r>
      <w:r>
        <w:rPr>
          <w:color w:val="auto"/>
          <w:szCs w:val="21"/>
        </w:rPr>
        <w:t>测试管路内充入氮气</w:t>
      </w:r>
      <w:r>
        <w:rPr>
          <w:rFonts w:hint="eastAsia"/>
          <w:color w:val="auto"/>
          <w:szCs w:val="21"/>
        </w:rPr>
        <w:t>，氮气压力</w:t>
      </w:r>
      <w:r>
        <w:rPr>
          <w:color w:val="auto"/>
          <w:szCs w:val="21"/>
        </w:rPr>
        <w:t>应达到</w:t>
      </w:r>
      <w:r>
        <w:rPr>
          <w:color w:val="auto"/>
          <w:szCs w:val="21"/>
        </w:rPr>
        <w:t>13.3 kPa，</w:t>
      </w:r>
      <w:r>
        <w:rPr>
          <w:rFonts w:hint="eastAsia"/>
          <w:color w:val="auto"/>
          <w:szCs w:val="21"/>
        </w:rPr>
        <w:t>且</w:t>
      </w:r>
      <w:r>
        <w:rPr>
          <w:color w:val="auto"/>
          <w:szCs w:val="21"/>
        </w:rPr>
        <w:t>1 min内</w:t>
      </w:r>
      <w:r>
        <w:rPr>
          <w:rFonts w:hint="eastAsia"/>
          <w:color w:val="auto"/>
          <w:szCs w:val="21"/>
        </w:rPr>
        <w:t>氮气</w:t>
      </w:r>
      <w:r>
        <w:rPr>
          <w:color w:val="auto"/>
          <w:szCs w:val="21"/>
        </w:rPr>
        <w:t>压力降不应</w:t>
      </w:r>
      <w:r>
        <w:rPr>
          <w:rFonts w:hint="eastAsia"/>
          <w:color w:val="auto"/>
          <w:szCs w:val="21"/>
        </w:rPr>
        <w:t>大于</w:t>
      </w:r>
      <w:r>
        <w:rPr>
          <w:color w:val="auto"/>
          <w:szCs w:val="21"/>
        </w:rPr>
        <w:t>0.263 kPa；</w:t>
      </w:r>
    </w:p>
    <w:p>
      <w:pPr>
        <w:numPr>
          <w:ilvl w:val="0"/>
          <w:numId w:val="34"/>
        </w:numPr>
        <w:tabs>
          <w:tab w:val="clear" w:pos="0"/>
        </w:tabs>
        <w:spacing w:line="360" w:lineRule="auto"/>
        <w:ind w:firstLine="420" w:firstLineChars="200"/>
        <w:rPr>
          <w:color w:val="auto"/>
          <w:szCs w:val="21"/>
        </w:rPr>
      </w:pPr>
      <w:r>
        <w:rPr>
          <w:color w:val="auto"/>
          <w:szCs w:val="21"/>
        </w:rPr>
        <w:t>依次开启汽化炉、预热炉、反应器炉体和管路伴热</w:t>
      </w:r>
      <w:r>
        <w:rPr>
          <w:rFonts w:hint="eastAsia"/>
          <w:color w:val="auto"/>
          <w:szCs w:val="21"/>
        </w:rPr>
        <w:t>，并</w:t>
      </w:r>
      <w:r>
        <w:rPr>
          <w:color w:val="auto"/>
          <w:szCs w:val="21"/>
        </w:rPr>
        <w:t>使用高纯氮进行分析仪零点标定；</w:t>
      </w:r>
    </w:p>
    <w:p>
      <w:pPr>
        <w:numPr>
          <w:ilvl w:val="0"/>
          <w:numId w:val="34"/>
        </w:numPr>
        <w:tabs>
          <w:tab w:val="clear" w:pos="0"/>
        </w:tabs>
        <w:spacing w:line="360" w:lineRule="auto"/>
        <w:ind w:firstLine="420" w:firstLineChars="200"/>
        <w:rPr>
          <w:color w:val="auto"/>
          <w:szCs w:val="21"/>
        </w:rPr>
      </w:pPr>
      <w:r>
        <w:rPr>
          <w:color w:val="auto"/>
          <w:szCs w:val="21"/>
        </w:rPr>
        <w:t>设备预热完成后</w:t>
      </w:r>
      <w:r>
        <w:rPr>
          <w:rFonts w:hint="eastAsia"/>
          <w:color w:val="auto"/>
          <w:szCs w:val="21"/>
        </w:rPr>
        <w:t>应</w:t>
      </w:r>
      <w:r>
        <w:rPr>
          <w:color w:val="auto"/>
          <w:szCs w:val="21"/>
        </w:rPr>
        <w:t>开启旁路</w:t>
      </w:r>
      <w:r>
        <w:rPr>
          <w:rFonts w:hint="eastAsia"/>
          <w:color w:val="auto"/>
          <w:szCs w:val="21"/>
        </w:rPr>
        <w:t>并</w:t>
      </w:r>
      <w:r>
        <w:rPr>
          <w:color w:val="auto"/>
          <w:szCs w:val="21"/>
        </w:rPr>
        <w:t>通入模拟脱硫烟气，各组分达到预设值并稳定30 min</w:t>
      </w:r>
      <w:r>
        <w:rPr>
          <w:rFonts w:hint="eastAsia"/>
          <w:color w:val="auto"/>
          <w:szCs w:val="21"/>
        </w:rPr>
        <w:t>后，</w:t>
      </w:r>
      <w:r>
        <w:rPr>
          <w:rFonts w:hint="eastAsia"/>
          <w:color w:val="auto"/>
          <w:szCs w:val="21"/>
        </w:rPr>
        <w:t>记录此时的</w:t>
      </w:r>
      <w:r>
        <w:rPr>
          <w:color w:val="auto"/>
          <w:szCs w:val="21"/>
        </w:rPr>
        <w:t>二氧化硫</w:t>
      </w:r>
      <w:r>
        <w:rPr>
          <w:rFonts w:hint="eastAsia"/>
          <w:color w:val="auto"/>
          <w:szCs w:val="21"/>
        </w:rPr>
        <w:t>浓度为</w:t>
      </w:r>
      <w:r>
        <w:rPr>
          <w:color w:val="auto"/>
          <w:szCs w:val="21"/>
        </w:rPr>
        <w:t>初始浓度值</w:t>
      </w:r>
      <w:r>
        <w:rPr>
          <w:color w:val="auto"/>
          <w:szCs w:val="21"/>
        </w:rPr>
        <w:t>；</w:t>
      </w:r>
    </w:p>
    <w:p>
      <w:pPr>
        <w:numPr>
          <w:ilvl w:val="0"/>
          <w:numId w:val="34"/>
        </w:numPr>
        <w:tabs>
          <w:tab w:val="clear" w:pos="0"/>
        </w:tabs>
        <w:spacing w:line="360" w:lineRule="auto"/>
        <w:ind w:firstLine="420" w:firstLineChars="200"/>
        <w:rPr>
          <w:rFonts w:hint="eastAsia"/>
          <w:color w:val="auto"/>
          <w:szCs w:val="21"/>
        </w:rPr>
      </w:pPr>
      <w:r>
        <w:rPr>
          <w:rFonts w:hint="eastAsia"/>
          <w:color w:val="auto"/>
          <w:szCs w:val="21"/>
        </w:rPr>
        <w:t>将</w:t>
      </w:r>
      <w:r>
        <w:rPr>
          <w:color w:val="auto"/>
          <w:szCs w:val="21"/>
        </w:rPr>
        <w:t>模拟脱硫烟气通入反应器经过样品床层</w:t>
      </w:r>
      <w:r>
        <w:rPr>
          <w:rFonts w:hint="eastAsia"/>
          <w:color w:val="auto"/>
          <w:szCs w:val="21"/>
        </w:rPr>
        <w:t>进行吸附，</w:t>
      </w:r>
      <w:r>
        <w:rPr>
          <w:color w:val="auto"/>
          <w:szCs w:val="21"/>
        </w:rPr>
        <w:t>吸附</w:t>
      </w:r>
      <w:r>
        <w:rPr>
          <w:rFonts w:hint="eastAsia"/>
          <w:color w:val="auto"/>
          <w:szCs w:val="21"/>
        </w:rPr>
        <w:t>时间应为</w:t>
      </w:r>
      <w:r>
        <w:rPr>
          <w:color w:val="auto"/>
          <w:szCs w:val="21"/>
        </w:rPr>
        <w:t>5 h</w:t>
      </w:r>
      <w:r>
        <w:rPr>
          <w:rFonts w:hint="eastAsia"/>
          <w:color w:val="auto"/>
          <w:szCs w:val="21"/>
        </w:rPr>
        <w:t>，</w:t>
      </w:r>
      <w:r>
        <w:rPr>
          <w:rFonts w:hint="eastAsia"/>
          <w:color w:val="auto"/>
          <w:szCs w:val="21"/>
        </w:rPr>
        <w:t>且应记录每分钟</w:t>
      </w:r>
      <w:r>
        <w:rPr>
          <w:color w:val="auto"/>
          <w:szCs w:val="21"/>
        </w:rPr>
        <w:t>反应器出口</w:t>
      </w:r>
      <w:r>
        <w:rPr>
          <w:rFonts w:hint="eastAsia"/>
          <w:color w:val="auto"/>
          <w:szCs w:val="21"/>
        </w:rPr>
        <w:t>净</w:t>
      </w:r>
      <w:r>
        <w:rPr>
          <w:color w:val="auto"/>
          <w:szCs w:val="21"/>
        </w:rPr>
        <w:t>烟气</w:t>
      </w:r>
      <w:r>
        <w:rPr>
          <w:rFonts w:hint="eastAsia"/>
          <w:color w:val="auto"/>
          <w:szCs w:val="21"/>
        </w:rPr>
        <w:t>中的</w:t>
      </w:r>
      <w:r>
        <w:rPr>
          <w:color w:val="auto"/>
          <w:szCs w:val="21"/>
        </w:rPr>
        <w:t>二氧化硫</w:t>
      </w:r>
      <w:r>
        <w:rPr>
          <w:color w:val="auto"/>
        </w:rPr>
        <w:t>浓度</w:t>
      </w:r>
      <w:r>
        <w:rPr>
          <w:color w:val="auto"/>
          <w:szCs w:val="21"/>
        </w:rPr>
        <w:t>值</w:t>
      </w:r>
      <w:r>
        <w:rPr>
          <w:rFonts w:hint="eastAsia"/>
          <w:color w:val="auto"/>
          <w:szCs w:val="21"/>
        </w:rPr>
        <w:t>；</w:t>
      </w:r>
    </w:p>
    <w:p>
      <w:pPr>
        <w:numPr>
          <w:ilvl w:val="0"/>
          <w:numId w:val="34"/>
        </w:numPr>
        <w:tabs>
          <w:tab w:val="clear" w:pos="0"/>
        </w:tabs>
        <w:spacing w:line="360" w:lineRule="auto"/>
        <w:ind w:firstLine="420" w:firstLineChars="200"/>
        <w:rPr>
          <w:color w:val="auto"/>
          <w:szCs w:val="21"/>
        </w:rPr>
      </w:pPr>
      <w:r>
        <w:rPr>
          <w:rFonts w:hint="eastAsia"/>
          <w:color w:val="auto"/>
          <w:szCs w:val="21"/>
        </w:rPr>
        <w:t>吸附完成后，应</w:t>
      </w:r>
      <w:r>
        <w:rPr>
          <w:color w:val="auto"/>
          <w:szCs w:val="21"/>
        </w:rPr>
        <w:t>关闭氧气、去离子水、二氧化硫</w:t>
      </w:r>
      <w:r>
        <w:rPr>
          <w:rFonts w:hint="eastAsia"/>
          <w:color w:val="auto"/>
          <w:szCs w:val="21"/>
        </w:rPr>
        <w:t>并</w:t>
      </w:r>
      <w:r>
        <w:rPr>
          <w:color w:val="auto"/>
          <w:szCs w:val="21"/>
        </w:rPr>
        <w:t>继续通入氮气吹扫</w:t>
      </w:r>
      <w:r>
        <w:rPr>
          <w:color w:val="auto"/>
          <w:szCs w:val="21"/>
        </w:rPr>
        <w:t>测试系统</w:t>
      </w:r>
      <w:r>
        <w:rPr>
          <w:rFonts w:hint="eastAsia"/>
          <w:color w:val="auto"/>
          <w:szCs w:val="21"/>
        </w:rPr>
        <w:t>，吹扫时间不应少于</w:t>
      </w:r>
      <w:r>
        <w:rPr>
          <w:color w:val="auto"/>
          <w:szCs w:val="21"/>
        </w:rPr>
        <w:t>30 min。</w:t>
      </w:r>
    </w:p>
    <w:p>
      <w:pPr>
        <w:numPr>
          <w:ilvl w:val="0"/>
          <w:numId w:val="32"/>
        </w:numPr>
        <w:spacing w:line="360" w:lineRule="auto"/>
        <w:rPr>
          <w:color w:val="auto"/>
          <w:szCs w:val="21"/>
        </w:rPr>
      </w:pPr>
      <w:r>
        <w:rPr>
          <w:color w:val="auto"/>
          <w:szCs w:val="21"/>
        </w:rPr>
        <w:t>SO</w:t>
      </w:r>
      <w:r>
        <w:rPr>
          <w:color w:val="auto"/>
          <w:szCs w:val="21"/>
          <w:vertAlign w:val="subscript"/>
        </w:rPr>
        <w:t>2</w:t>
      </w:r>
      <w:r>
        <w:rPr>
          <w:color w:val="auto"/>
          <w:szCs w:val="21"/>
        </w:rPr>
        <w:t>吸附值应</w:t>
      </w:r>
      <w:r>
        <w:rPr>
          <w:rFonts w:hint="eastAsia"/>
          <w:color w:val="auto"/>
          <w:szCs w:val="21"/>
        </w:rPr>
        <w:t>根据本标准第6.10.3条所测</w:t>
      </w:r>
      <w:r>
        <w:rPr>
          <w:color w:val="auto"/>
          <w:szCs w:val="21"/>
        </w:rPr>
        <w:t>模拟脱硫烟气二氧化硫初始浓度值</w:t>
      </w:r>
      <w:r>
        <w:rPr>
          <w:rFonts w:hint="eastAsia"/>
          <w:color w:val="auto"/>
          <w:szCs w:val="21"/>
        </w:rPr>
        <w:t>、每分钟</w:t>
      </w:r>
      <w:r>
        <w:rPr>
          <w:color w:val="auto"/>
          <w:szCs w:val="21"/>
        </w:rPr>
        <w:t>反应器出口净烟气二氧化硫</w:t>
      </w:r>
      <w:r>
        <w:rPr>
          <w:color w:val="auto"/>
        </w:rPr>
        <w:t>浓度</w:t>
      </w:r>
      <w:r>
        <w:rPr>
          <w:color w:val="auto"/>
          <w:szCs w:val="21"/>
        </w:rPr>
        <w:t>值</w:t>
      </w:r>
      <w:r>
        <w:rPr>
          <w:color w:val="auto"/>
          <w:szCs w:val="21"/>
        </w:rPr>
        <w:t>按下式进行计算：</w:t>
      </w:r>
    </w:p>
    <w:p>
      <w:pPr>
        <w:keepLines/>
        <w:tabs>
          <w:tab w:val="left" w:pos="0"/>
        </w:tabs>
        <w:spacing w:line="360" w:lineRule="auto"/>
        <w:jc w:val="right"/>
        <w:rPr>
          <w:color w:val="auto"/>
        </w:rPr>
      </w:pPr>
      <w:r>
        <w:rPr>
          <w:color w:val="auto"/>
          <w:position w:val="-28"/>
          <w:szCs w:val="21"/>
        </w:rPr>
        <w:object>
          <v:shape id="_x0000_i1067" o:spt="75" type="#_x0000_t75" style="height:36.3pt;width:182.8pt;" o:ole="t" filled="f" o:preferrelative="t" stroked="f" coordsize="21600,21600">
            <v:path/>
            <v:fill on="f" focussize="0,0"/>
            <v:stroke on="f" joinstyle="miter"/>
            <v:imagedata r:id="rId116" o:title=""/>
            <o:lock v:ext="edit" aspectratio="t"/>
            <w10:wrap type="none"/>
            <w10:anchorlock/>
          </v:shape>
          <o:OLEObject Type="Embed" ProgID="Equations" ShapeID="_x0000_i1067" DrawAspect="Content" ObjectID="_1468075767" r:id="rId115">
            <o:LockedField>false</o:LockedField>
          </o:OLEObject>
        </w:object>
      </w:r>
      <w:r>
        <w:rPr>
          <w:color w:val="auto"/>
        </w:rPr>
        <w:t>…………………………………（6.10.4）</w:t>
      </w:r>
    </w:p>
    <w:p>
      <w:pPr>
        <w:keepLines/>
        <w:tabs>
          <w:tab w:val="left" w:pos="0"/>
        </w:tabs>
        <w:spacing w:line="360" w:lineRule="auto"/>
        <w:jc w:val="right"/>
        <w:rPr>
          <w:color w:val="auto"/>
        </w:rPr>
      </w:pPr>
    </w:p>
    <w:p>
      <w:pPr>
        <w:keepLines/>
        <w:tabs>
          <w:tab w:val="left" w:pos="0"/>
        </w:tabs>
        <w:spacing w:line="360" w:lineRule="auto"/>
        <w:rPr>
          <w:color w:val="auto"/>
        </w:rPr>
      </w:pPr>
      <w:r>
        <w:rPr>
          <w:color w:val="auto"/>
        </w:rPr>
        <w:t>式中：</w:t>
      </w:r>
      <w:r>
        <w:rPr>
          <w:i/>
          <w:color w:val="auto"/>
        </w:rPr>
        <w:t>S</w:t>
      </w:r>
      <w:r>
        <w:rPr>
          <w:color w:val="auto"/>
          <w:szCs w:val="21"/>
        </w:rPr>
        <w:t>——SO</w:t>
      </w:r>
      <w:r>
        <w:rPr>
          <w:color w:val="auto"/>
          <w:szCs w:val="21"/>
          <w:vertAlign w:val="subscript"/>
        </w:rPr>
        <w:t>2</w:t>
      </w:r>
      <w:r>
        <w:rPr>
          <w:color w:val="auto"/>
          <w:szCs w:val="21"/>
        </w:rPr>
        <w:t>吸附值</w:t>
      </w:r>
      <w:r>
        <w:rPr>
          <w:color w:val="auto"/>
        </w:rPr>
        <w:t>（</w:t>
      </w:r>
      <w:r>
        <w:rPr>
          <w:color w:val="auto"/>
          <w:szCs w:val="21"/>
        </w:rPr>
        <w:t>mg/g</w:t>
      </w:r>
      <w:r>
        <w:rPr>
          <w:color w:val="auto"/>
        </w:rPr>
        <w:t>）；</w:t>
      </w:r>
    </w:p>
    <w:p>
      <w:pPr>
        <w:keepLines/>
        <w:spacing w:line="360" w:lineRule="auto"/>
        <w:ind w:firstLine="630" w:firstLineChars="300"/>
        <w:rPr>
          <w:color w:val="auto"/>
        </w:rPr>
      </w:pPr>
      <w:r>
        <w:rPr>
          <w:color w:val="auto"/>
          <w:position w:val="-12"/>
          <w:szCs w:val="21"/>
        </w:rPr>
        <w:object>
          <v:shape id="_x0000_i1068" o:spt="75" type="#_x0000_t75" style="height:18.8pt;width:11.25pt;" o:ole="t" filled="f" o:preferrelative="t" stroked="f" coordsize="21600,21600">
            <v:path/>
            <v:fill on="f" focussize="0,0"/>
            <v:stroke on="f" joinstyle="miter"/>
            <v:imagedata r:id="rId118" o:title=""/>
            <o:lock v:ext="edit" aspectratio="t"/>
            <w10:wrap type="none"/>
            <w10:anchorlock/>
          </v:shape>
          <o:OLEObject Type="Embed" ProgID="Equations" ShapeID="_x0000_i1068" DrawAspect="Content" ObjectID="_1468075768" r:id="rId117">
            <o:LockedField>false</o:LockedField>
          </o:OLEObject>
        </w:object>
      </w:r>
      <w:r>
        <w:rPr>
          <w:color w:val="auto"/>
          <w:szCs w:val="21"/>
        </w:rPr>
        <w:t>——</w:t>
      </w:r>
      <w:r>
        <w:rPr>
          <w:color w:val="auto"/>
        </w:rPr>
        <w:t>第</w:t>
      </w:r>
      <w:r>
        <w:rPr>
          <w:i/>
          <w:iCs/>
          <w:color w:val="auto"/>
          <w:position w:val="-6"/>
          <w:szCs w:val="21"/>
        </w:rPr>
        <w:object>
          <v:shape id="_x0000_i1069" o:spt="75" type="#_x0000_t75" style="height:12.5pt;width:6.9pt;" o:ole="t" filled="f" o:preferrelative="t" stroked="f" coordsize="21600,21600">
            <v:path/>
            <v:fill on="f" focussize="0,0"/>
            <v:stroke on="f" joinstyle="miter"/>
            <v:imagedata r:id="rId74" o:title=""/>
            <o:lock v:ext="edit" aspectratio="t"/>
            <w10:wrap type="none"/>
            <w10:anchorlock/>
          </v:shape>
          <o:OLEObject Type="Embed" ProgID="Equations" ShapeID="_x0000_i1069" DrawAspect="Content" ObjectID="_1468075769" r:id="rId119">
            <o:LockedField>false</o:LockedField>
          </o:OLEObject>
        </w:object>
      </w:r>
      <w:r>
        <w:rPr>
          <w:color w:val="auto"/>
        </w:rPr>
        <w:t>分钟；</w:t>
      </w:r>
    </w:p>
    <w:p>
      <w:pPr>
        <w:keepLines/>
        <w:spacing w:line="360" w:lineRule="auto"/>
        <w:ind w:firstLine="630" w:firstLineChars="300"/>
        <w:rPr>
          <w:color w:val="auto"/>
          <w:szCs w:val="21"/>
        </w:rPr>
      </w:pPr>
      <w:r>
        <w:rPr>
          <w:color w:val="auto"/>
          <w:position w:val="-12"/>
          <w:szCs w:val="21"/>
        </w:rPr>
        <w:object>
          <v:shape id="_x0000_i1070" o:spt="75" type="#_x0000_t75" style="height:19.4pt;width:15.05pt;" o:ole="t" filled="f" o:preferrelative="t" stroked="f" coordsize="21600,21600">
            <v:path/>
            <v:fill on="f" focussize="0,0"/>
            <v:stroke on="f" joinstyle="miter"/>
            <v:imagedata r:id="rId121" o:title=""/>
            <o:lock v:ext="edit" aspectratio="t"/>
            <w10:wrap type="none"/>
            <w10:anchorlock/>
          </v:shape>
          <o:OLEObject Type="Embed" ProgID="Equations" ShapeID="_x0000_i1070" DrawAspect="Content" ObjectID="_1468075770" r:id="rId120">
            <o:LockedField>false</o:LockedField>
          </o:OLEObject>
        </w:object>
      </w:r>
      <w:r>
        <w:rPr>
          <w:color w:val="auto"/>
          <w:szCs w:val="21"/>
        </w:rPr>
        <w:t>——模拟脱硫烟气二氧化硫初始浓度值（ppm）；</w:t>
      </w:r>
    </w:p>
    <w:p>
      <w:pPr>
        <w:keepLines/>
        <w:spacing w:line="360" w:lineRule="auto"/>
        <w:ind w:firstLine="630" w:firstLineChars="300"/>
        <w:rPr>
          <w:color w:val="auto"/>
          <w:szCs w:val="21"/>
        </w:rPr>
      </w:pPr>
      <w:r>
        <w:rPr>
          <w:color w:val="auto"/>
          <w:position w:val="-12"/>
          <w:szCs w:val="21"/>
        </w:rPr>
        <w:object>
          <v:shape id="_x0000_i1071" o:spt="75" type="#_x0000_t75" style="height:18.8pt;width:15.05pt;" o:ole="t" filled="f" o:preferrelative="t" stroked="f" coordsize="21600,21600">
            <v:path/>
            <v:fill on="f" focussize="0,0"/>
            <v:stroke on="f" joinstyle="miter"/>
            <v:imagedata r:id="rId123" o:title=""/>
            <o:lock v:ext="edit" aspectratio="t"/>
            <w10:wrap type="none"/>
            <w10:anchorlock/>
          </v:shape>
          <o:OLEObject Type="Embed" ProgID="Equations" ShapeID="_x0000_i1071" DrawAspect="Content" ObjectID="_1468075771" r:id="rId122">
            <o:LockedField>false</o:LockedField>
          </o:OLEObject>
        </w:object>
      </w:r>
      <w:r>
        <w:rPr>
          <w:color w:val="auto"/>
          <w:szCs w:val="21"/>
        </w:rPr>
        <w:t>——第</w:t>
      </w:r>
      <w:r>
        <w:rPr>
          <w:i/>
          <w:iCs/>
          <w:color w:val="auto"/>
          <w:position w:val="-6"/>
          <w:szCs w:val="21"/>
        </w:rPr>
        <w:object>
          <v:shape id="_x0000_i1072" o:spt="75" type="#_x0000_t75" style="height:12.5pt;width:6.9pt;" o:ole="t" filled="f" o:preferrelative="t" stroked="f" coordsize="21600,21600">
            <v:path/>
            <v:fill on="f" focussize="0,0"/>
            <v:stroke on="f" joinstyle="miter"/>
            <v:imagedata r:id="rId74" o:title=""/>
            <o:lock v:ext="edit" aspectratio="t"/>
            <w10:wrap type="none"/>
            <w10:anchorlock/>
          </v:shape>
          <o:OLEObject Type="Embed" ProgID="Equations" ShapeID="_x0000_i1072" DrawAspect="Content" ObjectID="_1468075772" r:id="rId124">
            <o:LockedField>false</o:LockedField>
          </o:OLEObject>
        </w:object>
      </w:r>
      <w:r>
        <w:rPr>
          <w:color w:val="auto"/>
        </w:rPr>
        <w:t>分钟，</w:t>
      </w:r>
      <w:r>
        <w:rPr>
          <w:color w:val="auto"/>
          <w:szCs w:val="21"/>
        </w:rPr>
        <w:t>反应器出口净烟气二氧化硫</w:t>
      </w:r>
      <w:r>
        <w:rPr>
          <w:color w:val="auto"/>
        </w:rPr>
        <w:t>浓度</w:t>
      </w:r>
      <w:r>
        <w:rPr>
          <w:color w:val="auto"/>
          <w:szCs w:val="21"/>
        </w:rPr>
        <w:t>值（ppm）；</w:t>
      </w:r>
    </w:p>
    <w:p>
      <w:pPr>
        <w:keepLines/>
        <w:spacing w:line="360" w:lineRule="auto"/>
        <w:ind w:firstLine="630" w:firstLineChars="300"/>
        <w:rPr>
          <w:color w:val="auto"/>
        </w:rPr>
      </w:pPr>
      <w:r>
        <w:rPr>
          <w:color w:val="auto"/>
          <w:position w:val="-12"/>
          <w:szCs w:val="21"/>
        </w:rPr>
        <w:object>
          <v:shape id="_x0000_i1073" o:spt="75" type="#_x0000_t75" style="height:17.55pt;width:23.15pt;" o:ole="t" filled="f" o:preferrelative="t" stroked="f" coordsize="21600,21600">
            <v:path/>
            <v:fill on="f" focussize="0,0"/>
            <v:stroke on="f" joinstyle="miter"/>
            <v:imagedata r:id="rId126" o:title=""/>
            <o:lock v:ext="edit" aspectratio="t"/>
            <w10:wrap type="none"/>
            <w10:anchorlock/>
          </v:shape>
          <o:OLEObject Type="Embed" ProgID="Equations" ShapeID="_x0000_i1073" DrawAspect="Content" ObjectID="_1468075773" r:id="rId125">
            <o:LockedField>false</o:LockedField>
          </o:OLEObject>
        </w:object>
      </w:r>
      <w:r>
        <w:rPr>
          <w:color w:val="auto"/>
          <w:szCs w:val="21"/>
        </w:rPr>
        <w:t>——模拟脱硫烟气体积（干基，L）；</w:t>
      </w:r>
    </w:p>
    <w:p>
      <w:pPr>
        <w:keepLines/>
        <w:spacing w:line="360" w:lineRule="auto"/>
        <w:ind w:firstLine="630" w:firstLineChars="300"/>
        <w:rPr>
          <w:color w:val="auto"/>
          <w:szCs w:val="21"/>
        </w:rPr>
      </w:pPr>
      <w:r>
        <w:rPr>
          <w:color w:val="auto"/>
          <w:position w:val="-6"/>
          <w:szCs w:val="21"/>
        </w:rPr>
        <w:object>
          <v:shape id="_x0000_i1074" o:spt="75" type="#_x0000_t75" style="height:10.65pt;width:12.5pt;" o:ole="t" filled="f" o:preferrelative="t" stroked="f" coordsize="21600,21600">
            <v:path/>
            <v:fill on="f" focussize="0,0"/>
            <v:stroke on="f" joinstyle="miter"/>
            <v:imagedata r:id="rId128" o:title=""/>
            <o:lock v:ext="edit" aspectratio="t"/>
            <w10:wrap type="none"/>
            <w10:anchorlock/>
          </v:shape>
          <o:OLEObject Type="Embed" ProgID="Equations" ShapeID="_x0000_i1074" DrawAspect="Content" ObjectID="_1468075774" r:id="rId127">
            <o:LockedField>false</o:LockedField>
          </o:OLEObject>
        </w:object>
      </w:r>
      <w:r>
        <w:rPr>
          <w:color w:val="auto"/>
          <w:szCs w:val="21"/>
        </w:rPr>
        <w:t>——</w:t>
      </w:r>
      <w:r>
        <w:rPr>
          <w:color w:val="auto"/>
        </w:rPr>
        <w:t>样品</w:t>
      </w:r>
      <w:r>
        <w:rPr>
          <w:color w:val="auto"/>
          <w:szCs w:val="21"/>
        </w:rPr>
        <w:t>质量（g）。</w:t>
      </w:r>
    </w:p>
    <w:p>
      <w:pPr>
        <w:numPr>
          <w:ilvl w:val="0"/>
          <w:numId w:val="32"/>
        </w:numPr>
        <w:spacing w:line="360" w:lineRule="auto"/>
        <w:rPr>
          <w:color w:val="auto"/>
          <w:szCs w:val="21"/>
        </w:rPr>
      </w:pPr>
      <w:r>
        <w:rPr>
          <w:color w:val="auto"/>
          <w:szCs w:val="21"/>
        </w:rPr>
        <w:t>SO</w:t>
      </w:r>
      <w:r>
        <w:rPr>
          <w:color w:val="auto"/>
          <w:szCs w:val="21"/>
          <w:vertAlign w:val="subscript"/>
        </w:rPr>
        <w:t>2</w:t>
      </w:r>
      <w:r>
        <w:rPr>
          <w:color w:val="auto"/>
          <w:szCs w:val="21"/>
        </w:rPr>
        <w:t>吸附值测试应做两份平行样品测试，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w:t>
      </w:r>
      <w:r>
        <w:rPr>
          <w:rFonts w:hint="eastAsia"/>
          <w:color w:val="auto"/>
          <w:szCs w:val="21"/>
        </w:rPr>
        <w:t>术</w:t>
      </w:r>
      <w:r>
        <w:rPr>
          <w:color w:val="auto"/>
          <w:szCs w:val="21"/>
        </w:rPr>
        <w:t>平均值表示，并应精确到0.01 mg/g，且两次平行测试</w:t>
      </w:r>
      <w:r>
        <w:rPr>
          <w:rFonts w:hint="eastAsia"/>
          <w:color w:val="auto"/>
          <w:szCs w:val="21"/>
        </w:rPr>
        <w:t>计算</w:t>
      </w:r>
      <w:r>
        <w:rPr>
          <w:color w:val="auto"/>
          <w:szCs w:val="21"/>
        </w:rPr>
        <w:t>结果的相对偏差</w:t>
      </w:r>
      <w:r>
        <w:rPr>
          <w:rFonts w:hint="eastAsia"/>
          <w:color w:val="auto"/>
          <w:szCs w:val="21"/>
        </w:rPr>
        <w:t>不应大于</w:t>
      </w:r>
      <w:r>
        <w:rPr>
          <w:color w:val="auto"/>
          <w:szCs w:val="21"/>
        </w:rPr>
        <w:t>5%。</w:t>
      </w:r>
    </w:p>
    <w:p>
      <w:pPr>
        <w:numPr>
          <w:ilvl w:val="0"/>
          <w:numId w:val="32"/>
        </w:numPr>
        <w:spacing w:line="360" w:lineRule="auto"/>
        <w:rPr>
          <w:color w:val="auto"/>
          <w:szCs w:val="21"/>
        </w:rPr>
      </w:pPr>
      <w:r>
        <w:rPr>
          <w:color w:val="auto"/>
          <w:szCs w:val="21"/>
        </w:rPr>
        <w:t>SO</w:t>
      </w:r>
      <w:r>
        <w:rPr>
          <w:color w:val="auto"/>
          <w:szCs w:val="21"/>
          <w:vertAlign w:val="subscript"/>
        </w:rPr>
        <w:t>2</w:t>
      </w:r>
      <w:r>
        <w:rPr>
          <w:color w:val="auto"/>
          <w:szCs w:val="21"/>
        </w:rPr>
        <w:t>吸附值测试报告应包括试样编号、测试标准、测试仪器和设备、测试项目、测试结果、测试人员及测试日期等内容。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17" w:name="_Toc15940"/>
      <w:bookmarkStart w:id="118" w:name="_Toc18816"/>
      <w:bookmarkStart w:id="119" w:name="_Toc16242"/>
      <w:r>
        <w:rPr>
          <w:rFonts w:ascii="Times New Roman" w:hAnsi="Times New Roman" w:eastAsia="宋体"/>
          <w:b w:val="0"/>
          <w:color w:val="auto"/>
          <w:sz w:val="24"/>
          <w:szCs w:val="24"/>
        </w:rPr>
        <w:t xml:space="preserve">6.11 </w:t>
      </w:r>
      <w:r>
        <w:rPr>
          <w:rFonts w:hint="eastAsia" w:ascii="Times New Roman" w:hAnsi="Times New Roman" w:eastAsia="宋体"/>
          <w:b w:val="0"/>
          <w:color w:val="auto"/>
          <w:sz w:val="24"/>
          <w:szCs w:val="24"/>
        </w:rPr>
        <w:t xml:space="preserve"> </w:t>
      </w:r>
      <w:r>
        <w:rPr>
          <w:rFonts w:ascii="Times New Roman" w:hAnsi="Times New Roman" w:eastAsia="宋体"/>
          <w:b w:val="0"/>
          <w:color w:val="auto"/>
          <w:sz w:val="24"/>
          <w:szCs w:val="24"/>
        </w:rPr>
        <w:t>SO</w:t>
      </w:r>
      <w:r>
        <w:rPr>
          <w:rFonts w:ascii="Times New Roman" w:hAnsi="Times New Roman" w:eastAsia="宋体"/>
          <w:b w:val="0"/>
          <w:color w:val="auto"/>
          <w:sz w:val="24"/>
          <w:szCs w:val="24"/>
          <w:vertAlign w:val="subscript"/>
        </w:rPr>
        <w:t>2</w:t>
      </w:r>
      <w:r>
        <w:rPr>
          <w:rFonts w:ascii="Times New Roman" w:hAnsi="Times New Roman" w:eastAsia="宋体"/>
          <w:b w:val="0"/>
          <w:color w:val="auto"/>
          <w:sz w:val="24"/>
          <w:szCs w:val="24"/>
        </w:rPr>
        <w:t>循环吸附值</w:t>
      </w:r>
      <w:bookmarkEnd w:id="117"/>
      <w:bookmarkEnd w:id="118"/>
      <w:bookmarkEnd w:id="119"/>
    </w:p>
    <w:p>
      <w:pPr>
        <w:numPr>
          <w:ilvl w:val="0"/>
          <w:numId w:val="35"/>
        </w:numPr>
        <w:spacing w:line="360" w:lineRule="auto"/>
        <w:rPr>
          <w:color w:val="auto"/>
          <w:szCs w:val="21"/>
        </w:rPr>
      </w:pPr>
      <w:r>
        <w:rPr>
          <w:color w:val="auto"/>
          <w:szCs w:val="21"/>
        </w:rPr>
        <w:t>模拟脱硫烟气应符合本标准第6.10.1条的规定。</w:t>
      </w:r>
    </w:p>
    <w:p>
      <w:pPr>
        <w:numPr>
          <w:ilvl w:val="0"/>
          <w:numId w:val="35"/>
        </w:numPr>
        <w:spacing w:line="360" w:lineRule="auto"/>
        <w:rPr>
          <w:color w:val="auto"/>
          <w:szCs w:val="21"/>
          <w:highlight w:val="none"/>
        </w:rPr>
      </w:pPr>
      <w:r>
        <w:rPr>
          <w:color w:val="auto"/>
          <w:szCs w:val="21"/>
          <w:highlight w:val="none"/>
        </w:rPr>
        <w:t>吸附反应温度应为120 ℃，允许绝对偏差</w:t>
      </w:r>
      <w:r>
        <w:rPr>
          <w:rFonts w:hint="eastAsia"/>
          <w:color w:val="auto"/>
          <w:szCs w:val="21"/>
          <w:highlight w:val="none"/>
        </w:rPr>
        <w:t>应</w:t>
      </w:r>
      <w:r>
        <w:rPr>
          <w:color w:val="auto"/>
          <w:szCs w:val="21"/>
          <w:highlight w:val="none"/>
        </w:rPr>
        <w:t>为±5 ℃。</w:t>
      </w:r>
    </w:p>
    <w:p>
      <w:pPr>
        <w:numPr>
          <w:ilvl w:val="0"/>
          <w:numId w:val="35"/>
        </w:numPr>
        <w:spacing w:line="360" w:lineRule="auto"/>
        <w:rPr>
          <w:color w:val="auto"/>
          <w:szCs w:val="21"/>
        </w:rPr>
      </w:pPr>
      <w:r>
        <w:rPr>
          <w:color w:val="auto"/>
          <w:szCs w:val="21"/>
        </w:rPr>
        <w:t>解析载气应为高纯氮，流量</w:t>
      </w:r>
      <w:r>
        <w:rPr>
          <w:rFonts w:hint="eastAsia"/>
          <w:color w:val="auto"/>
          <w:szCs w:val="21"/>
        </w:rPr>
        <w:t>应</w:t>
      </w:r>
      <w:r>
        <w:rPr>
          <w:color w:val="auto"/>
          <w:szCs w:val="21"/>
        </w:rPr>
        <w:t>为5.0 L/ min（标况）</w:t>
      </w:r>
      <w:r>
        <w:rPr>
          <w:rFonts w:hint="eastAsia"/>
          <w:color w:val="auto"/>
          <w:szCs w:val="21"/>
        </w:rPr>
        <w:t>，解析</w:t>
      </w:r>
      <w:r>
        <w:rPr>
          <w:color w:val="auto"/>
          <w:szCs w:val="21"/>
        </w:rPr>
        <w:t>反应温度应为430 ℃，允许绝对偏差</w:t>
      </w:r>
      <w:r>
        <w:rPr>
          <w:rFonts w:hint="eastAsia"/>
          <w:color w:val="auto"/>
          <w:szCs w:val="21"/>
        </w:rPr>
        <w:t>应</w:t>
      </w:r>
      <w:r>
        <w:rPr>
          <w:color w:val="auto"/>
          <w:szCs w:val="21"/>
        </w:rPr>
        <w:t>为±5 ℃。</w:t>
      </w:r>
    </w:p>
    <w:p>
      <w:pPr>
        <w:numPr>
          <w:ilvl w:val="0"/>
          <w:numId w:val="35"/>
        </w:numPr>
        <w:spacing w:line="360" w:lineRule="auto"/>
        <w:rPr>
          <w:color w:val="auto"/>
          <w:szCs w:val="21"/>
        </w:rPr>
      </w:pPr>
      <w:r>
        <w:rPr>
          <w:color w:val="auto"/>
          <w:szCs w:val="21"/>
        </w:rPr>
        <w:t>SO</w:t>
      </w:r>
      <w:r>
        <w:rPr>
          <w:color w:val="auto"/>
          <w:szCs w:val="21"/>
          <w:vertAlign w:val="subscript"/>
        </w:rPr>
        <w:t>2</w:t>
      </w:r>
      <w:r>
        <w:rPr>
          <w:color w:val="auto"/>
          <w:szCs w:val="21"/>
        </w:rPr>
        <w:t>循环吸附值测试应符合下列规定：</w:t>
      </w:r>
    </w:p>
    <w:p>
      <w:pPr>
        <w:numPr>
          <w:ilvl w:val="0"/>
          <w:numId w:val="36"/>
        </w:numPr>
        <w:spacing w:line="360" w:lineRule="auto"/>
        <w:ind w:firstLine="426"/>
        <w:rPr>
          <w:color w:val="auto"/>
          <w:szCs w:val="21"/>
        </w:rPr>
      </w:pPr>
      <w:r>
        <w:rPr>
          <w:rFonts w:hint="eastAsia"/>
          <w:color w:val="auto"/>
          <w:szCs w:val="21"/>
        </w:rPr>
        <w:t>应</w:t>
      </w:r>
      <w:r>
        <w:rPr>
          <w:color w:val="auto"/>
          <w:szCs w:val="21"/>
        </w:rPr>
        <w:t>选用</w:t>
      </w:r>
      <w:r>
        <w:rPr>
          <w:i/>
          <w:iCs/>
          <w:color w:val="auto"/>
          <w:szCs w:val="21"/>
        </w:rPr>
        <w:sym w:font="Symbol" w:char="F066"/>
      </w:r>
      <w:r>
        <w:rPr>
          <w:i/>
          <w:iCs/>
          <w:color w:val="auto"/>
          <w:szCs w:val="21"/>
        </w:rPr>
        <w:t xml:space="preserve"> </w:t>
      </w:r>
      <w:r>
        <w:rPr>
          <w:rFonts w:hint="eastAsia"/>
          <w:color w:val="auto"/>
          <w:szCs w:val="21"/>
        </w:rPr>
        <w:t>200×50-1.0/0.71方孔</w:t>
      </w:r>
      <w:r>
        <w:rPr>
          <w:color w:val="auto"/>
          <w:szCs w:val="21"/>
        </w:rPr>
        <w:t>试验筛除去试样粉尘；</w:t>
      </w:r>
    </w:p>
    <w:p>
      <w:pPr>
        <w:numPr>
          <w:ilvl w:val="0"/>
          <w:numId w:val="36"/>
        </w:numPr>
        <w:spacing w:line="360" w:lineRule="auto"/>
        <w:ind w:firstLine="426"/>
        <w:rPr>
          <w:color w:val="auto"/>
          <w:szCs w:val="21"/>
        </w:rPr>
      </w:pPr>
      <w:r>
        <w:rPr>
          <w:rFonts w:hint="eastAsia"/>
          <w:color w:val="auto"/>
          <w:szCs w:val="21"/>
        </w:rPr>
        <w:t>应</w:t>
      </w:r>
      <w:r>
        <w:rPr>
          <w:color w:val="auto"/>
          <w:szCs w:val="21"/>
        </w:rPr>
        <w:t>称取（260±1）g样品，</w:t>
      </w:r>
      <w:r>
        <w:rPr>
          <w:rFonts w:hint="eastAsia"/>
          <w:color w:val="auto"/>
          <w:szCs w:val="21"/>
        </w:rPr>
        <w:t>且应</w:t>
      </w:r>
      <w:r>
        <w:rPr>
          <w:color w:val="auto"/>
          <w:szCs w:val="21"/>
        </w:rPr>
        <w:t>精确至0.01g</w:t>
      </w:r>
      <w:r>
        <w:rPr>
          <w:rFonts w:hint="eastAsia"/>
          <w:color w:val="auto"/>
          <w:szCs w:val="21"/>
        </w:rPr>
        <w:t>，并将样品</w:t>
      </w:r>
      <w:r>
        <w:rPr>
          <w:color w:val="auto"/>
          <w:szCs w:val="21"/>
        </w:rPr>
        <w:t>填装至反应器恒温段</w:t>
      </w:r>
      <w:r>
        <w:rPr>
          <w:rFonts w:hint="eastAsia"/>
          <w:color w:val="auto"/>
          <w:szCs w:val="21"/>
        </w:rPr>
        <w:t>；</w:t>
      </w:r>
    </w:p>
    <w:p>
      <w:pPr>
        <w:numPr>
          <w:ilvl w:val="0"/>
          <w:numId w:val="36"/>
        </w:numPr>
        <w:spacing w:line="360" w:lineRule="auto"/>
        <w:ind w:firstLine="426"/>
        <w:rPr>
          <w:color w:val="auto"/>
          <w:szCs w:val="21"/>
        </w:rPr>
      </w:pPr>
      <w:r>
        <w:rPr>
          <w:rFonts w:hint="eastAsia"/>
          <w:color w:val="auto"/>
          <w:szCs w:val="21"/>
        </w:rPr>
        <w:t>在</w:t>
      </w:r>
      <w:r>
        <w:rPr>
          <w:color w:val="auto"/>
          <w:szCs w:val="21"/>
        </w:rPr>
        <w:t>测试管路内充入氮气</w:t>
      </w:r>
      <w:r>
        <w:rPr>
          <w:rFonts w:hint="eastAsia"/>
          <w:color w:val="auto"/>
          <w:szCs w:val="21"/>
        </w:rPr>
        <w:t>，氮气压力</w:t>
      </w:r>
      <w:r>
        <w:rPr>
          <w:color w:val="auto"/>
          <w:szCs w:val="21"/>
        </w:rPr>
        <w:t>应达到13.3 kPa，</w:t>
      </w:r>
      <w:r>
        <w:rPr>
          <w:rFonts w:hint="eastAsia"/>
          <w:color w:val="auto"/>
          <w:szCs w:val="21"/>
        </w:rPr>
        <w:t>且</w:t>
      </w:r>
      <w:r>
        <w:rPr>
          <w:color w:val="auto"/>
          <w:szCs w:val="21"/>
        </w:rPr>
        <w:t>1 min内</w:t>
      </w:r>
      <w:r>
        <w:rPr>
          <w:rFonts w:hint="eastAsia"/>
          <w:color w:val="auto"/>
          <w:szCs w:val="21"/>
        </w:rPr>
        <w:t>氮气</w:t>
      </w:r>
      <w:r>
        <w:rPr>
          <w:color w:val="auto"/>
          <w:szCs w:val="21"/>
        </w:rPr>
        <w:t>压力降不应</w:t>
      </w:r>
      <w:r>
        <w:rPr>
          <w:rFonts w:hint="eastAsia"/>
          <w:color w:val="auto"/>
          <w:szCs w:val="21"/>
        </w:rPr>
        <w:t>大于</w:t>
      </w:r>
      <w:r>
        <w:rPr>
          <w:color w:val="auto"/>
          <w:szCs w:val="21"/>
        </w:rPr>
        <w:t>0.263 kPa；</w:t>
      </w:r>
    </w:p>
    <w:p>
      <w:pPr>
        <w:numPr>
          <w:ilvl w:val="0"/>
          <w:numId w:val="36"/>
        </w:numPr>
        <w:spacing w:line="360" w:lineRule="auto"/>
        <w:ind w:firstLine="426"/>
        <w:rPr>
          <w:color w:val="auto"/>
          <w:szCs w:val="21"/>
        </w:rPr>
      </w:pPr>
      <w:r>
        <w:rPr>
          <w:color w:val="auto"/>
          <w:szCs w:val="21"/>
        </w:rPr>
        <w:t>依次开启汽化炉、预热炉、反应器炉体和管路伴热</w:t>
      </w:r>
      <w:r>
        <w:rPr>
          <w:rFonts w:hint="eastAsia"/>
          <w:color w:val="auto"/>
          <w:szCs w:val="21"/>
        </w:rPr>
        <w:t>，并</w:t>
      </w:r>
      <w:r>
        <w:rPr>
          <w:color w:val="auto"/>
          <w:szCs w:val="21"/>
        </w:rPr>
        <w:t>使用高纯氮进行分析仪零点标定；</w:t>
      </w:r>
    </w:p>
    <w:p>
      <w:pPr>
        <w:numPr>
          <w:ilvl w:val="0"/>
          <w:numId w:val="36"/>
        </w:numPr>
        <w:tabs>
          <w:tab w:val="clear" w:pos="0"/>
        </w:tabs>
        <w:spacing w:line="360" w:lineRule="auto"/>
        <w:ind w:firstLine="420" w:firstLineChars="200"/>
        <w:rPr>
          <w:color w:val="auto"/>
          <w:szCs w:val="21"/>
        </w:rPr>
      </w:pPr>
      <w:r>
        <w:rPr>
          <w:color w:val="auto"/>
          <w:szCs w:val="21"/>
        </w:rPr>
        <w:t>设备预热完成后</w:t>
      </w:r>
      <w:r>
        <w:rPr>
          <w:rFonts w:hint="eastAsia"/>
          <w:color w:val="auto"/>
          <w:szCs w:val="21"/>
        </w:rPr>
        <w:t>应</w:t>
      </w:r>
      <w:r>
        <w:rPr>
          <w:color w:val="auto"/>
          <w:szCs w:val="21"/>
        </w:rPr>
        <w:t>开启旁路</w:t>
      </w:r>
      <w:r>
        <w:rPr>
          <w:rFonts w:hint="eastAsia"/>
          <w:color w:val="auto"/>
          <w:szCs w:val="21"/>
        </w:rPr>
        <w:t>并</w:t>
      </w:r>
      <w:r>
        <w:rPr>
          <w:color w:val="auto"/>
          <w:szCs w:val="21"/>
        </w:rPr>
        <w:t>通入模拟脱硫烟气，各组分达到预设值并稳定30 min</w:t>
      </w:r>
      <w:r>
        <w:rPr>
          <w:rFonts w:hint="eastAsia"/>
          <w:color w:val="auto"/>
          <w:szCs w:val="21"/>
        </w:rPr>
        <w:t>后，记录此时的</w:t>
      </w:r>
      <w:r>
        <w:rPr>
          <w:color w:val="auto"/>
          <w:szCs w:val="21"/>
        </w:rPr>
        <w:t>二氧化硫</w:t>
      </w:r>
      <w:r>
        <w:rPr>
          <w:rFonts w:hint="eastAsia"/>
          <w:color w:val="auto"/>
          <w:szCs w:val="21"/>
        </w:rPr>
        <w:t>浓度为</w:t>
      </w:r>
      <w:r>
        <w:rPr>
          <w:color w:val="auto"/>
          <w:szCs w:val="21"/>
        </w:rPr>
        <w:t>初始浓度值；</w:t>
      </w:r>
    </w:p>
    <w:p>
      <w:pPr>
        <w:numPr>
          <w:ilvl w:val="0"/>
          <w:numId w:val="36"/>
        </w:numPr>
        <w:spacing w:line="360" w:lineRule="auto"/>
        <w:ind w:firstLine="420" w:firstLineChars="200"/>
        <w:rPr>
          <w:color w:val="auto"/>
          <w:szCs w:val="21"/>
        </w:rPr>
      </w:pPr>
      <w:r>
        <w:rPr>
          <w:rFonts w:hint="eastAsia"/>
          <w:color w:val="auto"/>
          <w:szCs w:val="21"/>
        </w:rPr>
        <w:t>将</w:t>
      </w:r>
      <w:r>
        <w:rPr>
          <w:color w:val="auto"/>
          <w:szCs w:val="21"/>
        </w:rPr>
        <w:t>模拟脱硫烟气通入反应器经过样品床层</w:t>
      </w:r>
      <w:r>
        <w:rPr>
          <w:rFonts w:hint="eastAsia"/>
          <w:color w:val="auto"/>
          <w:szCs w:val="21"/>
        </w:rPr>
        <w:t>进行吸附，</w:t>
      </w:r>
      <w:r>
        <w:rPr>
          <w:color w:val="auto"/>
          <w:szCs w:val="21"/>
        </w:rPr>
        <w:t>吸附</w:t>
      </w:r>
      <w:r>
        <w:rPr>
          <w:rFonts w:hint="eastAsia"/>
          <w:color w:val="auto"/>
          <w:szCs w:val="21"/>
        </w:rPr>
        <w:t>时间应为</w:t>
      </w:r>
      <w:r>
        <w:rPr>
          <w:color w:val="auto"/>
          <w:szCs w:val="21"/>
        </w:rPr>
        <w:t>5 h</w:t>
      </w:r>
      <w:r>
        <w:rPr>
          <w:rFonts w:hint="eastAsia"/>
          <w:color w:val="auto"/>
          <w:szCs w:val="21"/>
        </w:rPr>
        <w:t>，且应记录每分钟</w:t>
      </w:r>
      <w:r>
        <w:rPr>
          <w:color w:val="auto"/>
          <w:szCs w:val="21"/>
        </w:rPr>
        <w:t>反应器出口</w:t>
      </w:r>
      <w:r>
        <w:rPr>
          <w:rFonts w:hint="eastAsia"/>
          <w:color w:val="auto"/>
          <w:szCs w:val="21"/>
        </w:rPr>
        <w:t>净</w:t>
      </w:r>
      <w:r>
        <w:rPr>
          <w:color w:val="auto"/>
          <w:szCs w:val="21"/>
        </w:rPr>
        <w:t>烟气</w:t>
      </w:r>
      <w:r>
        <w:rPr>
          <w:rFonts w:hint="eastAsia"/>
          <w:color w:val="auto"/>
          <w:szCs w:val="21"/>
        </w:rPr>
        <w:t>中的</w:t>
      </w:r>
      <w:r>
        <w:rPr>
          <w:color w:val="auto"/>
          <w:szCs w:val="21"/>
        </w:rPr>
        <w:t>二氧化硫</w:t>
      </w:r>
      <w:r>
        <w:rPr>
          <w:color w:val="auto"/>
        </w:rPr>
        <w:t>浓度</w:t>
      </w:r>
      <w:r>
        <w:rPr>
          <w:color w:val="auto"/>
          <w:szCs w:val="21"/>
        </w:rPr>
        <w:t>值</w:t>
      </w:r>
      <w:r>
        <w:rPr>
          <w:rFonts w:hint="eastAsia"/>
          <w:color w:val="auto"/>
          <w:szCs w:val="21"/>
        </w:rPr>
        <w:t>，然后</w:t>
      </w:r>
      <w:r>
        <w:rPr>
          <w:color w:val="auto"/>
          <w:szCs w:val="21"/>
        </w:rPr>
        <w:t>通入解析载气</w:t>
      </w:r>
      <w:r>
        <w:rPr>
          <w:rFonts w:hint="eastAsia"/>
          <w:color w:val="auto"/>
          <w:szCs w:val="21"/>
        </w:rPr>
        <w:t>进行</w:t>
      </w:r>
      <w:r>
        <w:rPr>
          <w:color w:val="auto"/>
          <w:szCs w:val="21"/>
        </w:rPr>
        <w:t>解析</w:t>
      </w:r>
      <w:r>
        <w:rPr>
          <w:rFonts w:hint="eastAsia"/>
          <w:color w:val="auto"/>
          <w:szCs w:val="21"/>
        </w:rPr>
        <w:t>，解析时间应为</w:t>
      </w:r>
      <w:r>
        <w:rPr>
          <w:color w:val="auto"/>
          <w:szCs w:val="21"/>
        </w:rPr>
        <w:t>2 h；</w:t>
      </w:r>
    </w:p>
    <w:p>
      <w:pPr>
        <w:numPr>
          <w:ilvl w:val="0"/>
          <w:numId w:val="36"/>
        </w:numPr>
        <w:tabs>
          <w:tab w:val="clear" w:pos="0"/>
        </w:tabs>
        <w:spacing w:line="360" w:lineRule="auto"/>
        <w:ind w:firstLine="420" w:firstLineChars="200"/>
        <w:rPr>
          <w:color w:val="auto"/>
          <w:szCs w:val="21"/>
        </w:rPr>
      </w:pPr>
      <w:r>
        <w:rPr>
          <w:rFonts w:hint="eastAsia"/>
          <w:color w:val="auto"/>
          <w:szCs w:val="21"/>
        </w:rPr>
        <w:t>应</w:t>
      </w:r>
      <w:r>
        <w:rPr>
          <w:color w:val="auto"/>
          <w:szCs w:val="21"/>
        </w:rPr>
        <w:t>重复</w:t>
      </w:r>
      <w:r>
        <w:rPr>
          <w:rFonts w:hint="eastAsia"/>
          <w:color w:val="auto"/>
          <w:szCs w:val="21"/>
          <w:lang w:eastAsia="zh-CN"/>
        </w:rPr>
        <w:t>本条第</w:t>
      </w:r>
      <w:r>
        <w:rPr>
          <w:rFonts w:hint="eastAsia"/>
          <w:color w:val="auto"/>
          <w:szCs w:val="21"/>
          <w:highlight w:val="none"/>
          <w:lang w:val="en-US" w:eastAsia="zh-CN"/>
        </w:rPr>
        <w:t>6款规定步骤</w:t>
      </w:r>
      <w:r>
        <w:rPr>
          <w:color w:val="auto"/>
          <w:szCs w:val="21"/>
        </w:rPr>
        <w:t>共10次；</w:t>
      </w:r>
    </w:p>
    <w:p>
      <w:pPr>
        <w:numPr>
          <w:ilvl w:val="0"/>
          <w:numId w:val="36"/>
        </w:numPr>
        <w:tabs>
          <w:tab w:val="clear" w:pos="0"/>
        </w:tabs>
        <w:spacing w:line="360" w:lineRule="auto"/>
        <w:ind w:firstLine="420" w:firstLineChars="200"/>
        <w:rPr>
          <w:color w:val="auto"/>
          <w:szCs w:val="21"/>
        </w:rPr>
      </w:pPr>
      <w:r>
        <w:rPr>
          <w:rFonts w:hint="eastAsia"/>
          <w:color w:val="auto"/>
          <w:szCs w:val="21"/>
          <w:lang w:eastAsia="zh-CN"/>
        </w:rPr>
        <w:t>最后一次</w:t>
      </w:r>
      <w:r>
        <w:rPr>
          <w:rFonts w:hint="eastAsia"/>
          <w:color w:val="auto"/>
          <w:szCs w:val="21"/>
        </w:rPr>
        <w:t>解析完成后，应</w:t>
      </w:r>
      <w:r>
        <w:rPr>
          <w:color w:val="auto"/>
          <w:szCs w:val="21"/>
        </w:rPr>
        <w:t>关闭氧气、去离子水、二氧化硫</w:t>
      </w:r>
      <w:r>
        <w:rPr>
          <w:rFonts w:hint="eastAsia"/>
          <w:color w:val="auto"/>
          <w:szCs w:val="21"/>
        </w:rPr>
        <w:t>并</w:t>
      </w:r>
      <w:r>
        <w:rPr>
          <w:color w:val="auto"/>
          <w:szCs w:val="21"/>
        </w:rPr>
        <w:t>继续通入氮气吹扫测试系统</w:t>
      </w:r>
      <w:r>
        <w:rPr>
          <w:rFonts w:hint="eastAsia"/>
          <w:color w:val="auto"/>
          <w:szCs w:val="21"/>
        </w:rPr>
        <w:t>，吹扫时间不应少于</w:t>
      </w:r>
      <w:r>
        <w:rPr>
          <w:color w:val="auto"/>
          <w:szCs w:val="21"/>
        </w:rPr>
        <w:t>30 min。</w:t>
      </w:r>
    </w:p>
    <w:p>
      <w:pPr>
        <w:numPr>
          <w:ilvl w:val="0"/>
          <w:numId w:val="35"/>
        </w:numPr>
        <w:spacing w:line="360" w:lineRule="auto"/>
        <w:rPr>
          <w:color w:val="auto"/>
          <w:szCs w:val="21"/>
        </w:rPr>
      </w:pPr>
      <w:r>
        <w:rPr>
          <w:color w:val="auto"/>
          <w:szCs w:val="21"/>
        </w:rPr>
        <w:t>SO</w:t>
      </w:r>
      <w:r>
        <w:rPr>
          <w:color w:val="auto"/>
          <w:szCs w:val="21"/>
          <w:vertAlign w:val="subscript"/>
        </w:rPr>
        <w:t>2</w:t>
      </w:r>
      <w:r>
        <w:rPr>
          <w:color w:val="auto"/>
          <w:szCs w:val="21"/>
        </w:rPr>
        <w:t>循环吸附值应</w:t>
      </w:r>
      <w:r>
        <w:rPr>
          <w:rFonts w:hint="eastAsia"/>
          <w:color w:val="auto"/>
          <w:szCs w:val="21"/>
        </w:rPr>
        <w:t>根据本标准第6.11.4条所测</w:t>
      </w:r>
      <w:r>
        <w:rPr>
          <w:color w:val="auto"/>
          <w:szCs w:val="21"/>
        </w:rPr>
        <w:t>模拟脱硫烟气二氧化硫初始浓度值</w:t>
      </w:r>
      <w:r>
        <w:rPr>
          <w:rFonts w:hint="eastAsia"/>
          <w:color w:val="auto"/>
          <w:szCs w:val="21"/>
        </w:rPr>
        <w:t>、循环检测的每分钟</w:t>
      </w:r>
      <w:r>
        <w:rPr>
          <w:color w:val="auto"/>
          <w:szCs w:val="21"/>
        </w:rPr>
        <w:t>反应器出口净烟气二氧化硫</w:t>
      </w:r>
      <w:r>
        <w:rPr>
          <w:color w:val="auto"/>
        </w:rPr>
        <w:t>浓度</w:t>
      </w:r>
      <w:r>
        <w:rPr>
          <w:color w:val="auto"/>
          <w:szCs w:val="21"/>
        </w:rPr>
        <w:t>值</w:t>
      </w:r>
      <w:r>
        <w:rPr>
          <w:color w:val="auto"/>
          <w:szCs w:val="21"/>
        </w:rPr>
        <w:t>按下式进行计算：</w:t>
      </w:r>
    </w:p>
    <w:p>
      <w:pPr>
        <w:keepLines/>
        <w:tabs>
          <w:tab w:val="left" w:pos="0"/>
        </w:tabs>
        <w:spacing w:line="360" w:lineRule="auto"/>
        <w:jc w:val="right"/>
        <w:rPr>
          <w:color w:val="auto"/>
          <w:szCs w:val="21"/>
        </w:rPr>
      </w:pPr>
      <w:r>
        <w:rPr>
          <w:color w:val="auto"/>
          <w:position w:val="-28"/>
          <w:szCs w:val="21"/>
        </w:rPr>
        <w:object>
          <v:shape id="_x0000_i1075" o:spt="75" type="#_x0000_t75" style="height:36.3pt;width:213.5pt;" o:ole="t" filled="f" o:preferrelative="t" stroked="f" coordsize="21600,21600">
            <v:path/>
            <v:fill on="f" focussize="0,0"/>
            <v:stroke on="f" joinstyle="miter"/>
            <v:imagedata r:id="rId130" o:title=""/>
            <o:lock v:ext="edit" aspectratio="t"/>
            <w10:wrap type="none"/>
            <w10:anchorlock/>
          </v:shape>
          <o:OLEObject Type="Embed" ProgID="Equations" ShapeID="_x0000_i1075" DrawAspect="Content" ObjectID="_1468075775" r:id="rId129">
            <o:LockedField>false</o:LockedField>
          </o:OLEObject>
        </w:object>
      </w:r>
      <w:r>
        <w:rPr>
          <w:color w:val="auto"/>
        </w:rPr>
        <w:t>……………………………（6.11.5）</w:t>
      </w:r>
    </w:p>
    <w:p>
      <w:pPr>
        <w:keepLines/>
        <w:spacing w:line="360" w:lineRule="auto"/>
        <w:ind w:firstLine="420" w:firstLineChars="200"/>
        <w:rPr>
          <w:color w:val="auto"/>
        </w:rPr>
      </w:pPr>
      <w:r>
        <w:rPr>
          <w:color w:val="auto"/>
        </w:rPr>
        <w:t>式中：</w:t>
      </w:r>
      <w:r>
        <w:rPr>
          <w:color w:val="auto"/>
          <w:position w:val="-20"/>
          <w:szCs w:val="21"/>
        </w:rPr>
        <w:object>
          <v:shape id="_x0000_i1076" o:spt="75" type="#_x0000_t75" style="height:20.65pt;width:17.55pt;" o:ole="t" filled="f" o:preferrelative="t" stroked="f" coordsize="21600,21600">
            <v:path/>
            <v:fill on="f" focussize="0,0"/>
            <v:stroke on="f" joinstyle="miter"/>
            <v:imagedata r:id="rId132" o:title=""/>
            <o:lock v:ext="edit" aspectratio="t"/>
            <w10:wrap type="none"/>
            <w10:anchorlock/>
          </v:shape>
          <o:OLEObject Type="Embed" ProgID="Equations" ShapeID="_x0000_i1076" DrawAspect="Content" ObjectID="_1468075776" r:id="rId131">
            <o:LockedField>false</o:LockedField>
          </o:OLEObject>
        </w:object>
      </w:r>
      <w:r>
        <w:rPr>
          <w:color w:val="auto"/>
          <w:szCs w:val="21"/>
        </w:rPr>
        <w:t>——</w:t>
      </w:r>
      <w:r>
        <w:rPr>
          <w:color w:val="auto"/>
        </w:rPr>
        <w:t>第</w:t>
      </w:r>
      <w:r>
        <w:rPr>
          <w:color w:val="auto"/>
          <w:position w:val="-6"/>
          <w:szCs w:val="21"/>
        </w:rPr>
        <w:object>
          <v:shape id="_x0000_i1077" o:spt="75" type="#_x0000_t75" style="height:13.15pt;width:10pt;" o:ole="t" filled="f" o:preferrelative="t" stroked="f" coordsize="21600,21600">
            <v:path/>
            <v:fill on="f" focussize="0,0"/>
            <v:stroke on="f" joinstyle="miter"/>
            <v:imagedata r:id="rId134" o:title=""/>
            <o:lock v:ext="edit" aspectratio="t"/>
            <w10:wrap type="none"/>
            <w10:anchorlock/>
          </v:shape>
          <o:OLEObject Type="Embed" ProgID="Equations" ShapeID="_x0000_i1077" DrawAspect="Content" ObjectID="_1468075777" r:id="rId133">
            <o:LockedField>false</o:LockedField>
          </o:OLEObject>
        </w:object>
      </w:r>
      <w:r>
        <w:rPr>
          <w:color w:val="auto"/>
        </w:rPr>
        <w:t>次</w:t>
      </w:r>
      <w:r>
        <w:rPr>
          <w:color w:val="auto"/>
          <w:szCs w:val="21"/>
        </w:rPr>
        <w:t>SO</w:t>
      </w:r>
      <w:r>
        <w:rPr>
          <w:color w:val="auto"/>
          <w:szCs w:val="21"/>
          <w:vertAlign w:val="subscript"/>
        </w:rPr>
        <w:t>2</w:t>
      </w:r>
      <w:r>
        <w:rPr>
          <w:color w:val="auto"/>
          <w:szCs w:val="21"/>
        </w:rPr>
        <w:t>吸附值</w:t>
      </w:r>
      <w:r>
        <w:rPr>
          <w:color w:val="auto"/>
        </w:rPr>
        <w:t>（</w:t>
      </w:r>
      <w:r>
        <w:rPr>
          <w:color w:val="auto"/>
          <w:szCs w:val="21"/>
        </w:rPr>
        <w:t>mg/g</w:t>
      </w:r>
      <w:r>
        <w:rPr>
          <w:color w:val="auto"/>
        </w:rPr>
        <w:t>），</w:t>
      </w:r>
      <w:r>
        <w:rPr>
          <w:color w:val="auto"/>
          <w:position w:val="-6"/>
          <w:szCs w:val="21"/>
        </w:rPr>
        <w:object>
          <v:shape id="_x0000_i1078" o:spt="75" type="#_x0000_t75" style="height:13.15pt;width:10pt;" o:ole="t" filled="f" o:preferrelative="t" stroked="f" coordsize="21600,21600">
            <v:path/>
            <v:fill on="f" focussize="0,0"/>
            <v:stroke on="f" joinstyle="miter"/>
            <v:imagedata r:id="rId134" o:title=""/>
            <o:lock v:ext="edit" aspectratio="t"/>
            <w10:wrap type="none"/>
            <w10:anchorlock/>
          </v:shape>
          <o:OLEObject Type="Embed" ProgID="Equations" ShapeID="_x0000_i1078" DrawAspect="Content" ObjectID="_1468075778" r:id="rId135">
            <o:LockedField>false</o:LockedField>
          </o:OLEObject>
        </w:object>
      </w:r>
      <w:r>
        <w:rPr>
          <w:color w:val="auto"/>
        </w:rPr>
        <w:t>=1、2、3、······、10；</w:t>
      </w:r>
    </w:p>
    <w:p>
      <w:pPr>
        <w:keepLines/>
        <w:spacing w:line="360" w:lineRule="auto"/>
        <w:ind w:firstLine="1050" w:firstLineChars="500"/>
        <w:rPr>
          <w:color w:val="auto"/>
        </w:rPr>
      </w:pPr>
      <w:r>
        <w:rPr>
          <w:color w:val="auto"/>
          <w:position w:val="-12"/>
          <w:szCs w:val="21"/>
        </w:rPr>
        <w:object>
          <v:shape id="_x0000_i1079" o:spt="75" type="#_x0000_t75" style="height:18.8pt;width:13.75pt;" o:ole="t" filled="f" o:preferrelative="t" stroked="f" coordsize="21600,21600">
            <v:path/>
            <v:fill on="f" focussize="0,0"/>
            <v:stroke on="f" joinstyle="miter"/>
            <v:imagedata r:id="rId137" o:title=""/>
            <o:lock v:ext="edit" aspectratio="t"/>
            <w10:wrap type="none"/>
            <w10:anchorlock/>
          </v:shape>
          <o:OLEObject Type="Embed" ProgID="Equations" ShapeID="_x0000_i1079" DrawAspect="Content" ObjectID="_1468075779" r:id="rId136">
            <o:LockedField>false</o:LockedField>
          </o:OLEObject>
        </w:object>
      </w:r>
      <w:r>
        <w:rPr>
          <w:color w:val="auto"/>
          <w:szCs w:val="21"/>
        </w:rPr>
        <w:t>——</w:t>
      </w:r>
      <w:r>
        <w:rPr>
          <w:color w:val="auto"/>
        </w:rPr>
        <w:t>第</w:t>
      </w:r>
      <w:r>
        <w:rPr>
          <w:color w:val="auto"/>
          <w:position w:val="-6"/>
          <w:szCs w:val="21"/>
        </w:rPr>
        <w:object>
          <v:shape id="_x0000_i1080" o:spt="75" type="#_x0000_t75" style="height:13.15pt;width:10pt;" o:ole="t" filled="f" o:preferrelative="t" stroked="f" coordsize="21600,21600">
            <v:path/>
            <v:fill on="f" focussize="0,0"/>
            <v:stroke on="f" joinstyle="miter"/>
            <v:imagedata r:id="rId134" o:title=""/>
            <o:lock v:ext="edit" aspectratio="t"/>
            <w10:wrap type="none"/>
            <w10:anchorlock/>
          </v:shape>
          <o:OLEObject Type="Embed" ProgID="Equations" ShapeID="_x0000_i1080" DrawAspect="Content" ObjectID="_1468075780" r:id="rId138">
            <o:LockedField>false</o:LockedField>
          </o:OLEObject>
        </w:object>
      </w:r>
      <w:r>
        <w:rPr>
          <w:color w:val="auto"/>
        </w:rPr>
        <w:t>次吸附第</w:t>
      </w:r>
      <w:r>
        <w:rPr>
          <w:i/>
          <w:iCs/>
          <w:color w:val="auto"/>
          <w:position w:val="-6"/>
          <w:szCs w:val="21"/>
        </w:rPr>
        <w:object>
          <v:shape id="_x0000_i1081" o:spt="75" type="#_x0000_t75" style="height:12.5pt;width:6.9pt;" o:ole="t" filled="f" o:preferrelative="t" stroked="f" coordsize="21600,21600">
            <v:path/>
            <v:fill on="f" focussize="0,0"/>
            <v:stroke on="f" joinstyle="miter"/>
            <v:imagedata r:id="rId74" o:title=""/>
            <o:lock v:ext="edit" aspectratio="t"/>
            <w10:wrap type="none"/>
            <w10:anchorlock/>
          </v:shape>
          <o:OLEObject Type="Embed" ProgID="Equations" ShapeID="_x0000_i1081" DrawAspect="Content" ObjectID="_1468075781" r:id="rId139">
            <o:LockedField>false</o:LockedField>
          </o:OLEObject>
        </w:object>
      </w:r>
      <w:r>
        <w:rPr>
          <w:color w:val="auto"/>
        </w:rPr>
        <w:t>分钟；</w:t>
      </w:r>
    </w:p>
    <w:p>
      <w:pPr>
        <w:keepLines/>
        <w:spacing w:line="360" w:lineRule="auto"/>
        <w:ind w:firstLine="1050" w:firstLineChars="500"/>
        <w:rPr>
          <w:color w:val="auto"/>
          <w:szCs w:val="21"/>
        </w:rPr>
      </w:pPr>
      <w:r>
        <w:rPr>
          <w:color w:val="auto"/>
          <w:position w:val="-12"/>
          <w:szCs w:val="21"/>
        </w:rPr>
        <w:object>
          <v:shape id="_x0000_i1082" o:spt="75" type="#_x0000_t75" style="height:19.4pt;width:18.15pt;" o:ole="t" filled="f" o:preferrelative="t" stroked="f" coordsize="21600,21600">
            <v:path/>
            <v:fill on="f" focussize="0,0"/>
            <v:stroke on="f" joinstyle="miter"/>
            <v:imagedata r:id="rId141" o:title=""/>
            <o:lock v:ext="edit" aspectratio="t"/>
            <w10:wrap type="none"/>
            <w10:anchorlock/>
          </v:shape>
          <o:OLEObject Type="Embed" ProgID="Equations" ShapeID="_x0000_i1082" DrawAspect="Content" ObjectID="_1468075782" r:id="rId140">
            <o:LockedField>false</o:LockedField>
          </o:OLEObject>
        </w:object>
      </w:r>
      <w:r>
        <w:rPr>
          <w:color w:val="auto"/>
          <w:szCs w:val="21"/>
        </w:rPr>
        <w:t>——</w:t>
      </w:r>
      <w:r>
        <w:rPr>
          <w:color w:val="auto"/>
        </w:rPr>
        <w:t>第</w:t>
      </w:r>
      <w:r>
        <w:rPr>
          <w:color w:val="auto"/>
          <w:position w:val="-6"/>
          <w:szCs w:val="21"/>
        </w:rPr>
        <w:object>
          <v:shape id="_x0000_i1083" o:spt="75" type="#_x0000_t75" style="height:13.15pt;width:10pt;" o:ole="t" filled="f" o:preferrelative="t" stroked="f" coordsize="21600,21600">
            <v:path/>
            <v:fill on="f" focussize="0,0"/>
            <v:stroke on="f" joinstyle="miter"/>
            <v:imagedata r:id="rId134" o:title=""/>
            <o:lock v:ext="edit" aspectratio="t"/>
            <w10:wrap type="none"/>
            <w10:anchorlock/>
          </v:shape>
          <o:OLEObject Type="Embed" ProgID="Equations" ShapeID="_x0000_i1083" DrawAspect="Content" ObjectID="_1468075783" r:id="rId142">
            <o:LockedField>false</o:LockedField>
          </o:OLEObject>
        </w:object>
      </w:r>
      <w:r>
        <w:rPr>
          <w:color w:val="auto"/>
        </w:rPr>
        <w:t>次吸附</w:t>
      </w:r>
      <w:r>
        <w:rPr>
          <w:color w:val="auto"/>
          <w:szCs w:val="21"/>
        </w:rPr>
        <w:t>模拟脱硫烟气SO</w:t>
      </w:r>
      <w:r>
        <w:rPr>
          <w:color w:val="auto"/>
          <w:szCs w:val="21"/>
          <w:vertAlign w:val="subscript"/>
        </w:rPr>
        <w:t>2</w:t>
      </w:r>
      <w:r>
        <w:rPr>
          <w:color w:val="auto"/>
          <w:szCs w:val="21"/>
        </w:rPr>
        <w:t>初始</w:t>
      </w:r>
      <w:r>
        <w:rPr>
          <w:color w:val="auto"/>
        </w:rPr>
        <w:t>浓度</w:t>
      </w:r>
      <w:r>
        <w:rPr>
          <w:color w:val="auto"/>
          <w:szCs w:val="21"/>
        </w:rPr>
        <w:t>值（ppm）；</w:t>
      </w:r>
    </w:p>
    <w:p>
      <w:pPr>
        <w:keepLines/>
        <w:spacing w:line="360" w:lineRule="auto"/>
        <w:ind w:firstLine="1050" w:firstLineChars="500"/>
        <w:rPr>
          <w:color w:val="auto"/>
          <w:szCs w:val="21"/>
        </w:rPr>
      </w:pPr>
      <w:r>
        <w:rPr>
          <w:color w:val="auto"/>
          <w:position w:val="-12"/>
          <w:szCs w:val="21"/>
        </w:rPr>
        <w:object>
          <v:shape id="_x0000_i1084" o:spt="75" type="#_x0000_t75" style="height:18.8pt;width:15.65pt;" o:ole="t" filled="f" o:preferrelative="t" stroked="f" coordsize="21600,21600">
            <v:path/>
            <v:fill on="f" focussize="0,0"/>
            <v:stroke on="f" joinstyle="miter"/>
            <v:imagedata r:id="rId144" o:title=""/>
            <o:lock v:ext="edit" aspectratio="t"/>
            <w10:wrap type="none"/>
            <w10:anchorlock/>
          </v:shape>
          <o:OLEObject Type="Embed" ProgID="Equations" ShapeID="_x0000_i1084" DrawAspect="Content" ObjectID="_1468075784" r:id="rId143">
            <o:LockedField>false</o:LockedField>
          </o:OLEObject>
        </w:object>
      </w:r>
      <w:r>
        <w:rPr>
          <w:color w:val="auto"/>
          <w:szCs w:val="21"/>
        </w:rPr>
        <w:t>——</w:t>
      </w:r>
      <w:r>
        <w:rPr>
          <w:color w:val="auto"/>
        </w:rPr>
        <w:t>第</w:t>
      </w:r>
      <w:r>
        <w:rPr>
          <w:color w:val="auto"/>
          <w:position w:val="-6"/>
          <w:szCs w:val="21"/>
        </w:rPr>
        <w:object>
          <v:shape id="_x0000_i1085" o:spt="75" type="#_x0000_t75" style="height:13.15pt;width:10pt;" o:ole="t" filled="f" o:preferrelative="t" stroked="f" coordsize="21600,21600">
            <v:path/>
            <v:fill on="f" focussize="0,0"/>
            <v:stroke on="f" joinstyle="miter"/>
            <v:imagedata r:id="rId134" o:title=""/>
            <o:lock v:ext="edit" aspectratio="t"/>
            <w10:wrap type="none"/>
            <w10:anchorlock/>
          </v:shape>
          <o:OLEObject Type="Embed" ProgID="Equations" ShapeID="_x0000_i1085" DrawAspect="Content" ObjectID="_1468075785" r:id="rId145">
            <o:LockedField>false</o:LockedField>
          </o:OLEObject>
        </w:object>
      </w:r>
      <w:r>
        <w:rPr>
          <w:color w:val="auto"/>
        </w:rPr>
        <w:t>次吸附</w:t>
      </w:r>
      <w:r>
        <w:rPr>
          <w:color w:val="auto"/>
          <w:szCs w:val="21"/>
        </w:rPr>
        <w:t>第</w:t>
      </w:r>
      <w:r>
        <w:rPr>
          <w:i/>
          <w:iCs/>
          <w:color w:val="auto"/>
          <w:position w:val="-6"/>
          <w:szCs w:val="21"/>
        </w:rPr>
        <w:object>
          <v:shape id="_x0000_i1086" o:spt="75" type="#_x0000_t75" style="height:12.5pt;width:6.9pt;" o:ole="t" filled="f" o:preferrelative="t" stroked="f" coordsize="21600,21600">
            <v:path/>
            <v:fill on="f" focussize="0,0"/>
            <v:stroke on="f" joinstyle="miter"/>
            <v:imagedata r:id="rId74" o:title=""/>
            <o:lock v:ext="edit" aspectratio="t"/>
            <w10:wrap type="none"/>
            <w10:anchorlock/>
          </v:shape>
          <o:OLEObject Type="Embed" ProgID="Equations" ShapeID="_x0000_i1086" DrawAspect="Content" ObjectID="_1468075786" r:id="rId146">
            <o:LockedField>false</o:LockedField>
          </o:OLEObject>
        </w:object>
      </w:r>
      <w:r>
        <w:rPr>
          <w:color w:val="auto"/>
        </w:rPr>
        <w:t>分钟，</w:t>
      </w:r>
      <w:r>
        <w:rPr>
          <w:color w:val="auto"/>
          <w:szCs w:val="21"/>
        </w:rPr>
        <w:t>反应器出口净烟气SO</w:t>
      </w:r>
      <w:r>
        <w:rPr>
          <w:color w:val="auto"/>
          <w:szCs w:val="21"/>
          <w:vertAlign w:val="subscript"/>
        </w:rPr>
        <w:t>2</w:t>
      </w:r>
      <w:r>
        <w:rPr>
          <w:color w:val="auto"/>
        </w:rPr>
        <w:t>浓度</w:t>
      </w:r>
      <w:r>
        <w:rPr>
          <w:color w:val="auto"/>
          <w:szCs w:val="21"/>
        </w:rPr>
        <w:t>值（ppm）；</w:t>
      </w:r>
    </w:p>
    <w:p>
      <w:pPr>
        <w:keepLines/>
        <w:spacing w:line="360" w:lineRule="auto"/>
        <w:ind w:firstLine="945" w:firstLineChars="450"/>
        <w:rPr>
          <w:color w:val="auto"/>
        </w:rPr>
      </w:pPr>
      <w:r>
        <w:rPr>
          <w:color w:val="auto"/>
          <w:position w:val="-12"/>
          <w:szCs w:val="21"/>
        </w:rPr>
        <w:object>
          <v:shape id="_x0000_i1087" o:spt="75" type="#_x0000_t75" style="height:17.55pt;width:23.15pt;" o:ole="t" filled="f" o:preferrelative="t" stroked="f" coordsize="21600,21600">
            <v:path/>
            <v:fill on="f" focussize="0,0"/>
            <v:stroke on="f" joinstyle="miter"/>
            <v:imagedata r:id="rId148" o:title=""/>
            <o:lock v:ext="edit" aspectratio="t"/>
            <w10:wrap type="none"/>
            <w10:anchorlock/>
          </v:shape>
          <o:OLEObject Type="Embed" ProgID="Equations" ShapeID="_x0000_i1087" DrawAspect="Content" ObjectID="_1468075787" r:id="rId147">
            <o:LockedField>false</o:LockedField>
          </o:OLEObject>
        </w:object>
      </w:r>
      <w:r>
        <w:rPr>
          <w:color w:val="auto"/>
          <w:szCs w:val="21"/>
        </w:rPr>
        <w:t>——模拟脱硫烟气体积（干基，L）；</w:t>
      </w:r>
    </w:p>
    <w:p>
      <w:pPr>
        <w:keepLines/>
        <w:spacing w:line="360" w:lineRule="auto"/>
        <w:ind w:firstLine="1050" w:firstLineChars="500"/>
        <w:rPr>
          <w:color w:val="auto"/>
          <w:szCs w:val="21"/>
        </w:rPr>
      </w:pPr>
      <w:r>
        <w:rPr>
          <w:color w:val="auto"/>
          <w:position w:val="-6"/>
          <w:szCs w:val="21"/>
        </w:rPr>
        <w:object>
          <v:shape id="_x0000_i1088" o:spt="75" type="#_x0000_t75" style="height:10.65pt;width:12.5pt;" o:ole="t" filled="f" o:preferrelative="t" stroked="f" coordsize="21600,21600">
            <v:path/>
            <v:fill on="f" focussize="0,0"/>
            <v:stroke on="f" joinstyle="miter"/>
            <v:imagedata r:id="rId150" o:title=""/>
            <o:lock v:ext="edit" aspectratio="t"/>
            <w10:wrap type="none"/>
            <w10:anchorlock/>
          </v:shape>
          <o:OLEObject Type="Embed" ProgID="Equations" ShapeID="_x0000_i1088" DrawAspect="Content" ObjectID="_1468075788" r:id="rId149">
            <o:LockedField>false</o:LockedField>
          </o:OLEObject>
        </w:object>
      </w:r>
      <w:r>
        <w:rPr>
          <w:color w:val="auto"/>
          <w:szCs w:val="21"/>
        </w:rPr>
        <w:t>——</w:t>
      </w:r>
      <w:r>
        <w:rPr>
          <w:color w:val="auto"/>
        </w:rPr>
        <w:t>样品</w:t>
      </w:r>
      <w:r>
        <w:rPr>
          <w:color w:val="auto"/>
          <w:szCs w:val="21"/>
        </w:rPr>
        <w:t>质量（g）。</w:t>
      </w:r>
    </w:p>
    <w:p>
      <w:pPr>
        <w:numPr>
          <w:ilvl w:val="0"/>
          <w:numId w:val="35"/>
        </w:numPr>
        <w:spacing w:line="360" w:lineRule="auto"/>
        <w:rPr>
          <w:color w:val="auto"/>
        </w:rPr>
      </w:pPr>
      <w:r>
        <w:rPr>
          <w:color w:val="auto"/>
          <w:szCs w:val="21"/>
        </w:rPr>
        <w:t>SO</w:t>
      </w:r>
      <w:r>
        <w:rPr>
          <w:color w:val="auto"/>
          <w:szCs w:val="21"/>
          <w:vertAlign w:val="subscript"/>
        </w:rPr>
        <w:t>2</w:t>
      </w:r>
      <w:r>
        <w:rPr>
          <w:color w:val="auto"/>
          <w:szCs w:val="21"/>
        </w:rPr>
        <w:t>吸附值测试应做两份平行样品测试，单次SO</w:t>
      </w:r>
      <w:r>
        <w:rPr>
          <w:color w:val="auto"/>
          <w:szCs w:val="21"/>
          <w:vertAlign w:val="subscript"/>
        </w:rPr>
        <w:t>2</w:t>
      </w:r>
      <w:r>
        <w:rPr>
          <w:color w:val="auto"/>
          <w:szCs w:val="21"/>
        </w:rPr>
        <w:t>吸附值</w:t>
      </w:r>
      <w:r>
        <w:rPr>
          <w:rFonts w:hint="eastAsia"/>
          <w:color w:val="auto"/>
          <w:szCs w:val="21"/>
        </w:rPr>
        <w:t>应</w:t>
      </w:r>
      <w:r>
        <w:rPr>
          <w:color w:val="auto"/>
          <w:szCs w:val="21"/>
        </w:rPr>
        <w:t>以两份样品两次测试结果平均值表示，并应精确到0.01 mg/g，且两份样品10次SO</w:t>
      </w:r>
      <w:r>
        <w:rPr>
          <w:color w:val="auto"/>
          <w:szCs w:val="21"/>
          <w:vertAlign w:val="subscript"/>
        </w:rPr>
        <w:t>2</w:t>
      </w:r>
      <w:r>
        <w:rPr>
          <w:color w:val="auto"/>
          <w:szCs w:val="21"/>
        </w:rPr>
        <w:t>吸附值测试平均值相对偏差</w:t>
      </w:r>
      <w:r>
        <w:rPr>
          <w:rFonts w:hint="eastAsia"/>
          <w:color w:val="auto"/>
          <w:szCs w:val="21"/>
        </w:rPr>
        <w:t>不应大于</w:t>
      </w:r>
      <w:r>
        <w:rPr>
          <w:color w:val="auto"/>
          <w:szCs w:val="21"/>
        </w:rPr>
        <w:t xml:space="preserve">5 %。  </w:t>
      </w:r>
    </w:p>
    <w:p>
      <w:pPr>
        <w:numPr>
          <w:ilvl w:val="0"/>
          <w:numId w:val="35"/>
        </w:numPr>
        <w:spacing w:line="360" w:lineRule="auto"/>
        <w:rPr>
          <w:color w:val="auto"/>
          <w:szCs w:val="21"/>
        </w:rPr>
      </w:pPr>
      <w:r>
        <w:rPr>
          <w:color w:val="auto"/>
          <w:szCs w:val="21"/>
        </w:rPr>
        <w:t>SO</w:t>
      </w:r>
      <w:r>
        <w:rPr>
          <w:color w:val="auto"/>
          <w:szCs w:val="21"/>
          <w:vertAlign w:val="subscript"/>
        </w:rPr>
        <w:t>2</w:t>
      </w:r>
      <w:r>
        <w:rPr>
          <w:color w:val="auto"/>
          <w:szCs w:val="21"/>
        </w:rPr>
        <w:t>循环吸附值测试报告应包括试样编号、测试标准、测试仪器和设备、测试项目、测试结果、测试人员及测试日期等内容。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20" w:name="_Toc32525"/>
      <w:bookmarkStart w:id="121" w:name="_Toc24504"/>
      <w:bookmarkStart w:id="122" w:name="_Toc25190"/>
      <w:r>
        <w:rPr>
          <w:rFonts w:ascii="Times New Roman" w:hAnsi="Times New Roman" w:eastAsia="宋体"/>
          <w:b w:val="0"/>
          <w:color w:val="auto"/>
          <w:sz w:val="24"/>
          <w:szCs w:val="24"/>
        </w:rPr>
        <w:t>6.12 脱硝率</w:t>
      </w:r>
      <w:bookmarkEnd w:id="120"/>
      <w:bookmarkEnd w:id="121"/>
      <w:bookmarkEnd w:id="122"/>
    </w:p>
    <w:p>
      <w:pPr>
        <w:numPr>
          <w:ilvl w:val="0"/>
          <w:numId w:val="37"/>
        </w:numPr>
        <w:spacing w:line="360" w:lineRule="auto"/>
        <w:rPr>
          <w:color w:val="auto"/>
          <w:szCs w:val="21"/>
        </w:rPr>
      </w:pPr>
      <w:r>
        <w:rPr>
          <w:color w:val="auto"/>
          <w:szCs w:val="21"/>
        </w:rPr>
        <w:t>模拟脱硝烟气应符合下列规定：</w:t>
      </w:r>
    </w:p>
    <w:p>
      <w:pPr>
        <w:numPr>
          <w:ilvl w:val="0"/>
          <w:numId w:val="38"/>
        </w:numPr>
        <w:tabs>
          <w:tab w:val="clear" w:pos="0"/>
        </w:tabs>
        <w:spacing w:line="360" w:lineRule="auto"/>
        <w:ind w:firstLine="420" w:firstLineChars="200"/>
        <w:rPr>
          <w:color w:val="auto"/>
          <w:szCs w:val="21"/>
        </w:rPr>
      </w:pPr>
      <w:r>
        <w:rPr>
          <w:rFonts w:hint="eastAsia"/>
          <w:color w:val="auto"/>
          <w:szCs w:val="21"/>
        </w:rPr>
        <w:t>烟气</w:t>
      </w:r>
      <w:r>
        <w:rPr>
          <w:color w:val="auto"/>
          <w:szCs w:val="21"/>
        </w:rPr>
        <w:t>总流量应为4.42 L/ min（标况）；</w:t>
      </w:r>
    </w:p>
    <w:p>
      <w:pPr>
        <w:numPr>
          <w:ilvl w:val="0"/>
          <w:numId w:val="38"/>
        </w:numPr>
        <w:tabs>
          <w:tab w:val="clear" w:pos="0"/>
        </w:tabs>
        <w:spacing w:line="360" w:lineRule="auto"/>
        <w:ind w:firstLine="420" w:firstLineChars="200"/>
        <w:rPr>
          <w:color w:val="auto"/>
          <w:szCs w:val="21"/>
        </w:rPr>
      </w:pPr>
      <w:r>
        <w:rPr>
          <w:rFonts w:hint="eastAsia"/>
          <w:color w:val="auto"/>
          <w:szCs w:val="21"/>
        </w:rPr>
        <w:t>烟气中</w:t>
      </w:r>
      <w:r>
        <w:rPr>
          <w:rFonts w:hint="eastAsia"/>
          <w:color w:val="auto"/>
          <w:szCs w:val="21"/>
        </w:rPr>
        <w:t>的</w:t>
      </w:r>
      <w:r>
        <w:rPr>
          <w:color w:val="auto"/>
          <w:szCs w:val="21"/>
        </w:rPr>
        <w:t>氧气浓度应为16 %（体积分数，干基），允许绝对偏差</w:t>
      </w:r>
      <w:r>
        <w:rPr>
          <w:rFonts w:hint="eastAsia"/>
          <w:color w:val="auto"/>
          <w:szCs w:val="21"/>
        </w:rPr>
        <w:t>应</w:t>
      </w:r>
      <w:r>
        <w:rPr>
          <w:color w:val="auto"/>
          <w:szCs w:val="21"/>
        </w:rPr>
        <w:t>为±0.5 %；</w:t>
      </w:r>
    </w:p>
    <w:p>
      <w:pPr>
        <w:numPr>
          <w:ilvl w:val="0"/>
          <w:numId w:val="38"/>
        </w:numPr>
        <w:tabs>
          <w:tab w:val="clear" w:pos="0"/>
        </w:tabs>
        <w:spacing w:line="360" w:lineRule="auto"/>
        <w:ind w:firstLine="420" w:firstLineChars="200"/>
        <w:rPr>
          <w:color w:val="auto"/>
          <w:szCs w:val="21"/>
        </w:rPr>
      </w:pPr>
      <w:r>
        <w:rPr>
          <w:rFonts w:hint="eastAsia"/>
          <w:color w:val="auto"/>
          <w:szCs w:val="21"/>
        </w:rPr>
        <w:t>烟气</w:t>
      </w:r>
      <w:r>
        <w:rPr>
          <w:color w:val="auto"/>
          <w:szCs w:val="21"/>
        </w:rPr>
        <w:t>湿度应为10 %（体积分数），允许绝对偏差</w:t>
      </w:r>
      <w:r>
        <w:rPr>
          <w:rFonts w:hint="eastAsia"/>
          <w:color w:val="auto"/>
          <w:szCs w:val="21"/>
        </w:rPr>
        <w:t>应</w:t>
      </w:r>
      <w:r>
        <w:rPr>
          <w:color w:val="auto"/>
          <w:szCs w:val="21"/>
        </w:rPr>
        <w:t>为±0.5 %；</w:t>
      </w:r>
    </w:p>
    <w:p>
      <w:pPr>
        <w:numPr>
          <w:ilvl w:val="0"/>
          <w:numId w:val="38"/>
        </w:numPr>
        <w:tabs>
          <w:tab w:val="clear" w:pos="0"/>
        </w:tabs>
        <w:spacing w:line="360" w:lineRule="auto"/>
        <w:ind w:firstLine="420" w:firstLineChars="200"/>
        <w:rPr>
          <w:color w:val="auto"/>
          <w:szCs w:val="21"/>
        </w:rPr>
      </w:pPr>
      <w:r>
        <w:rPr>
          <w:rFonts w:hint="eastAsia"/>
          <w:color w:val="auto"/>
          <w:szCs w:val="21"/>
        </w:rPr>
        <w:t>烟气中的</w:t>
      </w:r>
      <w:r>
        <w:rPr>
          <w:color w:val="auto"/>
          <w:szCs w:val="21"/>
        </w:rPr>
        <w:t>一氧化氮浓度应为400 ppm（体积分数，干基），允许绝对偏差</w:t>
      </w:r>
      <w:r>
        <w:rPr>
          <w:rFonts w:hint="eastAsia"/>
          <w:color w:val="auto"/>
          <w:szCs w:val="21"/>
        </w:rPr>
        <w:t>应</w:t>
      </w:r>
      <w:r>
        <w:rPr>
          <w:color w:val="auto"/>
          <w:szCs w:val="21"/>
        </w:rPr>
        <w:t>为±10 ppm；</w:t>
      </w:r>
    </w:p>
    <w:p>
      <w:pPr>
        <w:numPr>
          <w:ilvl w:val="0"/>
          <w:numId w:val="38"/>
        </w:numPr>
        <w:tabs>
          <w:tab w:val="clear" w:pos="0"/>
        </w:tabs>
        <w:spacing w:line="360" w:lineRule="auto"/>
        <w:ind w:firstLine="420" w:firstLineChars="200"/>
        <w:rPr>
          <w:color w:val="auto"/>
          <w:szCs w:val="21"/>
        </w:rPr>
      </w:pPr>
      <w:r>
        <w:rPr>
          <w:rFonts w:hint="eastAsia"/>
          <w:color w:val="auto"/>
          <w:szCs w:val="21"/>
        </w:rPr>
        <w:t>烟气中的</w:t>
      </w:r>
      <w:r>
        <w:rPr>
          <w:color w:val="auto"/>
          <w:szCs w:val="21"/>
        </w:rPr>
        <w:t>氨气浓度应为400 ppm（体积分数，干基），允许绝对偏差</w:t>
      </w:r>
      <w:r>
        <w:rPr>
          <w:rFonts w:hint="eastAsia"/>
          <w:color w:val="auto"/>
          <w:szCs w:val="21"/>
        </w:rPr>
        <w:t>应</w:t>
      </w:r>
      <w:r>
        <w:rPr>
          <w:color w:val="auto"/>
          <w:szCs w:val="21"/>
        </w:rPr>
        <w:t>为±10 ppm；</w:t>
      </w:r>
    </w:p>
    <w:p>
      <w:pPr>
        <w:numPr>
          <w:ilvl w:val="0"/>
          <w:numId w:val="38"/>
        </w:numPr>
        <w:tabs>
          <w:tab w:val="clear" w:pos="0"/>
        </w:tabs>
        <w:spacing w:line="360" w:lineRule="auto"/>
        <w:ind w:firstLine="420" w:firstLineChars="200"/>
        <w:rPr>
          <w:color w:val="auto"/>
          <w:szCs w:val="21"/>
        </w:rPr>
      </w:pPr>
      <w:r>
        <w:rPr>
          <w:rFonts w:hint="eastAsia"/>
          <w:color w:val="auto"/>
          <w:szCs w:val="21"/>
        </w:rPr>
        <w:t>应使用</w:t>
      </w:r>
      <w:r>
        <w:rPr>
          <w:color w:val="auto"/>
          <w:szCs w:val="21"/>
        </w:rPr>
        <w:t>氮气</w:t>
      </w:r>
      <w:r>
        <w:rPr>
          <w:rFonts w:hint="eastAsia"/>
          <w:color w:val="auto"/>
          <w:szCs w:val="21"/>
        </w:rPr>
        <w:t>作</w:t>
      </w:r>
      <w:r>
        <w:rPr>
          <w:color w:val="auto"/>
          <w:szCs w:val="21"/>
        </w:rPr>
        <w:t>为平衡气；</w:t>
      </w:r>
    </w:p>
    <w:p>
      <w:pPr>
        <w:numPr>
          <w:ilvl w:val="0"/>
          <w:numId w:val="38"/>
        </w:numPr>
        <w:tabs>
          <w:tab w:val="clear" w:pos="0"/>
        </w:tabs>
        <w:spacing w:line="360" w:lineRule="auto"/>
        <w:ind w:firstLine="420" w:firstLineChars="200"/>
        <w:rPr>
          <w:color w:val="auto"/>
          <w:szCs w:val="21"/>
        </w:rPr>
      </w:pPr>
      <w:r>
        <w:rPr>
          <w:color w:val="auto"/>
          <w:szCs w:val="21"/>
        </w:rPr>
        <w:t>空速</w:t>
      </w:r>
      <w:r>
        <w:rPr>
          <w:rFonts w:hint="eastAsia"/>
          <w:color w:val="auto"/>
          <w:szCs w:val="21"/>
        </w:rPr>
        <w:t>应</w:t>
      </w:r>
      <w:r>
        <w:rPr>
          <w:color w:val="auto"/>
          <w:szCs w:val="21"/>
        </w:rPr>
        <w:t>为265h</w:t>
      </w:r>
      <w:r>
        <w:rPr>
          <w:color w:val="auto"/>
          <w:szCs w:val="21"/>
          <w:vertAlign w:val="superscript"/>
        </w:rPr>
        <w:t>-1</w:t>
      </w:r>
      <w:r>
        <w:rPr>
          <w:color w:val="auto"/>
          <w:szCs w:val="21"/>
        </w:rPr>
        <w:t>。</w:t>
      </w:r>
    </w:p>
    <w:p>
      <w:pPr>
        <w:numPr>
          <w:ilvl w:val="0"/>
          <w:numId w:val="37"/>
        </w:numPr>
        <w:spacing w:line="360" w:lineRule="auto"/>
        <w:rPr>
          <w:color w:val="auto"/>
          <w:szCs w:val="21"/>
        </w:rPr>
      </w:pPr>
      <w:r>
        <w:rPr>
          <w:color w:val="auto"/>
          <w:szCs w:val="21"/>
        </w:rPr>
        <w:t>脱硝反应温度应为120 ℃，允许绝对偏差</w:t>
      </w:r>
      <w:r>
        <w:rPr>
          <w:rFonts w:hint="eastAsia"/>
          <w:color w:val="auto"/>
          <w:szCs w:val="21"/>
        </w:rPr>
        <w:t>应</w:t>
      </w:r>
      <w:r>
        <w:rPr>
          <w:color w:val="auto"/>
          <w:szCs w:val="21"/>
        </w:rPr>
        <w:t>为±5 ℃。</w:t>
      </w:r>
    </w:p>
    <w:p>
      <w:pPr>
        <w:numPr>
          <w:ilvl w:val="0"/>
          <w:numId w:val="37"/>
        </w:numPr>
        <w:spacing w:line="360" w:lineRule="auto"/>
        <w:rPr>
          <w:color w:val="auto"/>
          <w:szCs w:val="21"/>
        </w:rPr>
      </w:pPr>
      <w:r>
        <w:rPr>
          <w:color w:val="auto"/>
          <w:szCs w:val="21"/>
        </w:rPr>
        <w:t>脱硝率测试应符合下列规定：</w:t>
      </w:r>
    </w:p>
    <w:p>
      <w:pPr>
        <w:numPr>
          <w:ilvl w:val="0"/>
          <w:numId w:val="39"/>
        </w:numPr>
        <w:tabs>
          <w:tab w:val="clear" w:pos="0"/>
        </w:tabs>
        <w:spacing w:line="360" w:lineRule="auto"/>
        <w:ind w:firstLine="420" w:firstLineChars="200"/>
        <w:rPr>
          <w:color w:val="auto"/>
          <w:szCs w:val="21"/>
        </w:rPr>
      </w:pPr>
      <w:r>
        <w:rPr>
          <w:rFonts w:hint="eastAsia"/>
          <w:color w:val="auto"/>
          <w:szCs w:val="21"/>
        </w:rPr>
        <w:t>应</w:t>
      </w:r>
      <w:r>
        <w:rPr>
          <w:color w:val="auto"/>
          <w:szCs w:val="21"/>
        </w:rPr>
        <w:t>选用</w:t>
      </w:r>
      <w:r>
        <w:rPr>
          <w:i/>
          <w:iCs/>
          <w:color w:val="auto"/>
          <w:szCs w:val="21"/>
        </w:rPr>
        <w:sym w:font="Symbol" w:char="F066"/>
      </w:r>
      <w:r>
        <w:rPr>
          <w:i/>
          <w:iCs/>
          <w:color w:val="auto"/>
          <w:szCs w:val="21"/>
        </w:rPr>
        <w:t xml:space="preserve"> </w:t>
      </w:r>
      <w:r>
        <w:rPr>
          <w:rFonts w:hint="eastAsia"/>
          <w:color w:val="auto"/>
          <w:szCs w:val="21"/>
        </w:rPr>
        <w:t>200×50-1.0/0.71方孔</w:t>
      </w:r>
      <w:r>
        <w:rPr>
          <w:color w:val="auto"/>
          <w:szCs w:val="21"/>
        </w:rPr>
        <w:t>试验筛除去试样粉尘；</w:t>
      </w:r>
    </w:p>
    <w:p>
      <w:pPr>
        <w:numPr>
          <w:ilvl w:val="0"/>
          <w:numId w:val="39"/>
        </w:numPr>
        <w:tabs>
          <w:tab w:val="clear" w:pos="0"/>
        </w:tabs>
        <w:spacing w:line="360" w:lineRule="auto"/>
        <w:ind w:firstLine="420" w:firstLineChars="200"/>
        <w:rPr>
          <w:color w:val="auto"/>
          <w:szCs w:val="21"/>
        </w:rPr>
      </w:pPr>
      <w:r>
        <w:rPr>
          <w:rFonts w:hint="eastAsia"/>
          <w:color w:val="auto"/>
          <w:szCs w:val="21"/>
        </w:rPr>
        <w:t>应</w:t>
      </w:r>
      <w:r>
        <w:rPr>
          <w:color w:val="auto"/>
          <w:szCs w:val="21"/>
        </w:rPr>
        <w:t>量取1 L样品</w:t>
      </w:r>
      <w:r>
        <w:rPr>
          <w:rFonts w:hint="eastAsia"/>
          <w:color w:val="auto"/>
          <w:szCs w:val="21"/>
        </w:rPr>
        <w:t>并</w:t>
      </w:r>
      <w:r>
        <w:rPr>
          <w:color w:val="auto"/>
          <w:szCs w:val="21"/>
        </w:rPr>
        <w:t>填装至反应器恒温段；</w:t>
      </w:r>
    </w:p>
    <w:p>
      <w:pPr>
        <w:numPr>
          <w:ilvl w:val="0"/>
          <w:numId w:val="39"/>
        </w:numPr>
        <w:tabs>
          <w:tab w:val="clear" w:pos="0"/>
        </w:tabs>
        <w:spacing w:line="360" w:lineRule="auto"/>
        <w:ind w:firstLine="420" w:firstLineChars="200"/>
        <w:rPr>
          <w:color w:val="auto"/>
          <w:szCs w:val="21"/>
        </w:rPr>
      </w:pPr>
      <w:r>
        <w:rPr>
          <w:rFonts w:hint="eastAsia"/>
          <w:color w:val="auto"/>
          <w:szCs w:val="21"/>
        </w:rPr>
        <w:t>在</w:t>
      </w:r>
      <w:r>
        <w:rPr>
          <w:color w:val="auto"/>
          <w:szCs w:val="21"/>
        </w:rPr>
        <w:t>测试管路内充入氮气</w:t>
      </w:r>
      <w:r>
        <w:rPr>
          <w:rFonts w:hint="eastAsia"/>
          <w:color w:val="auto"/>
          <w:szCs w:val="21"/>
        </w:rPr>
        <w:t>，氮气压力</w:t>
      </w:r>
      <w:r>
        <w:rPr>
          <w:color w:val="auto"/>
          <w:szCs w:val="21"/>
        </w:rPr>
        <w:t>应达到13.3 kPa，</w:t>
      </w:r>
      <w:r>
        <w:rPr>
          <w:rFonts w:hint="eastAsia"/>
          <w:color w:val="auto"/>
          <w:szCs w:val="21"/>
        </w:rPr>
        <w:t>且</w:t>
      </w:r>
      <w:r>
        <w:rPr>
          <w:color w:val="auto"/>
          <w:szCs w:val="21"/>
        </w:rPr>
        <w:t>1 min内</w:t>
      </w:r>
      <w:r>
        <w:rPr>
          <w:rFonts w:hint="eastAsia"/>
          <w:color w:val="auto"/>
          <w:szCs w:val="21"/>
        </w:rPr>
        <w:t>氮气</w:t>
      </w:r>
      <w:r>
        <w:rPr>
          <w:color w:val="auto"/>
          <w:szCs w:val="21"/>
        </w:rPr>
        <w:t>压力降不应</w:t>
      </w:r>
      <w:r>
        <w:rPr>
          <w:rFonts w:hint="eastAsia"/>
          <w:color w:val="auto"/>
          <w:szCs w:val="21"/>
        </w:rPr>
        <w:t>大于</w:t>
      </w:r>
      <w:r>
        <w:rPr>
          <w:color w:val="auto"/>
          <w:szCs w:val="21"/>
        </w:rPr>
        <w:t>0.263 kPa</w:t>
      </w:r>
      <w:r>
        <w:rPr>
          <w:color w:val="auto"/>
          <w:szCs w:val="21"/>
        </w:rPr>
        <w:t>；</w:t>
      </w:r>
    </w:p>
    <w:p>
      <w:pPr>
        <w:numPr>
          <w:ilvl w:val="0"/>
          <w:numId w:val="39"/>
        </w:numPr>
        <w:tabs>
          <w:tab w:val="clear" w:pos="0"/>
        </w:tabs>
        <w:spacing w:line="360" w:lineRule="auto"/>
        <w:ind w:firstLine="420" w:firstLineChars="200"/>
        <w:rPr>
          <w:color w:val="auto"/>
          <w:szCs w:val="21"/>
        </w:rPr>
      </w:pPr>
      <w:r>
        <w:rPr>
          <w:color w:val="auto"/>
          <w:szCs w:val="21"/>
        </w:rPr>
        <w:t>依次开启汽化炉、预热炉、反应器炉体和管路伴热</w:t>
      </w:r>
      <w:r>
        <w:rPr>
          <w:rFonts w:hint="eastAsia"/>
          <w:color w:val="auto"/>
          <w:szCs w:val="21"/>
        </w:rPr>
        <w:t>，并</w:t>
      </w:r>
      <w:r>
        <w:rPr>
          <w:color w:val="auto"/>
          <w:szCs w:val="21"/>
        </w:rPr>
        <w:t>使用高纯氮进行分析仪零点标定</w:t>
      </w:r>
      <w:r>
        <w:rPr>
          <w:color w:val="auto"/>
          <w:szCs w:val="21"/>
        </w:rPr>
        <w:t>；</w:t>
      </w:r>
    </w:p>
    <w:p>
      <w:pPr>
        <w:numPr>
          <w:ilvl w:val="0"/>
          <w:numId w:val="39"/>
        </w:numPr>
        <w:tabs>
          <w:tab w:val="clear" w:pos="0"/>
        </w:tabs>
        <w:spacing w:line="360" w:lineRule="auto"/>
        <w:ind w:firstLine="420" w:firstLineChars="200"/>
        <w:rPr>
          <w:color w:val="auto"/>
          <w:szCs w:val="21"/>
        </w:rPr>
      </w:pPr>
      <w:r>
        <w:rPr>
          <w:color w:val="auto"/>
          <w:szCs w:val="21"/>
        </w:rPr>
        <w:t>设备预热完成后</w:t>
      </w:r>
      <w:r>
        <w:rPr>
          <w:rFonts w:hint="eastAsia"/>
          <w:color w:val="auto"/>
          <w:szCs w:val="21"/>
        </w:rPr>
        <w:t>应</w:t>
      </w:r>
      <w:r>
        <w:rPr>
          <w:color w:val="auto"/>
          <w:szCs w:val="21"/>
        </w:rPr>
        <w:t>开启旁路</w:t>
      </w:r>
      <w:r>
        <w:rPr>
          <w:rFonts w:hint="eastAsia"/>
          <w:color w:val="auto"/>
          <w:szCs w:val="21"/>
        </w:rPr>
        <w:t>并</w:t>
      </w:r>
      <w:r>
        <w:rPr>
          <w:color w:val="auto"/>
          <w:szCs w:val="21"/>
        </w:rPr>
        <w:t>通入模拟脱硝烟气，各组分达到预设值并稳定30 min</w:t>
      </w:r>
      <w:r>
        <w:rPr>
          <w:rFonts w:hint="eastAsia"/>
          <w:color w:val="auto"/>
          <w:szCs w:val="21"/>
        </w:rPr>
        <w:t>后，</w:t>
      </w:r>
      <w:r>
        <w:rPr>
          <w:rFonts w:hint="eastAsia"/>
          <w:color w:val="auto"/>
          <w:szCs w:val="21"/>
        </w:rPr>
        <w:t>记录此时的</w:t>
      </w:r>
      <w:r>
        <w:rPr>
          <w:color w:val="auto"/>
          <w:szCs w:val="21"/>
        </w:rPr>
        <w:t>一氧化氮</w:t>
      </w:r>
      <w:r>
        <w:rPr>
          <w:rFonts w:hint="eastAsia"/>
          <w:color w:val="auto"/>
          <w:szCs w:val="21"/>
        </w:rPr>
        <w:t>浓度</w:t>
      </w:r>
      <w:r>
        <w:rPr>
          <w:color w:val="auto"/>
          <w:szCs w:val="21"/>
        </w:rPr>
        <w:t>作</w:t>
      </w:r>
      <w:r>
        <w:rPr>
          <w:rFonts w:hint="eastAsia"/>
          <w:color w:val="auto"/>
          <w:szCs w:val="21"/>
        </w:rPr>
        <w:t>为</w:t>
      </w:r>
      <w:r>
        <w:rPr>
          <w:color w:val="auto"/>
          <w:szCs w:val="21"/>
        </w:rPr>
        <w:t>初始</w:t>
      </w:r>
      <w:r>
        <w:rPr>
          <w:rFonts w:hint="eastAsia"/>
          <w:color w:val="auto"/>
          <w:szCs w:val="21"/>
          <w:highlight w:val="none"/>
          <w:lang w:eastAsia="zh-CN"/>
        </w:rPr>
        <w:t>浓度</w:t>
      </w:r>
      <w:r>
        <w:rPr>
          <w:color w:val="auto"/>
          <w:szCs w:val="21"/>
        </w:rPr>
        <w:t>值；</w:t>
      </w:r>
    </w:p>
    <w:p>
      <w:pPr>
        <w:numPr>
          <w:ilvl w:val="0"/>
          <w:numId w:val="39"/>
        </w:numPr>
        <w:tabs>
          <w:tab w:val="clear" w:pos="0"/>
        </w:tabs>
        <w:spacing w:line="360" w:lineRule="auto"/>
        <w:ind w:firstLine="420" w:firstLineChars="200"/>
        <w:rPr>
          <w:color w:val="auto"/>
          <w:szCs w:val="21"/>
        </w:rPr>
      </w:pPr>
      <w:r>
        <w:rPr>
          <w:rFonts w:hint="eastAsia"/>
          <w:color w:val="auto"/>
          <w:szCs w:val="21"/>
        </w:rPr>
        <w:t>将</w:t>
      </w:r>
      <w:r>
        <w:rPr>
          <w:color w:val="auto"/>
          <w:szCs w:val="21"/>
        </w:rPr>
        <w:t>模拟脱硝烟气通入反应器经过样品床层</w:t>
      </w:r>
      <w:r>
        <w:rPr>
          <w:rFonts w:hint="eastAsia"/>
          <w:color w:val="auto"/>
          <w:szCs w:val="21"/>
        </w:rPr>
        <w:t>进行</w:t>
      </w:r>
      <w:r>
        <w:rPr>
          <w:rFonts w:hint="eastAsia"/>
          <w:color w:val="auto"/>
          <w:szCs w:val="21"/>
        </w:rPr>
        <w:t>反应，反应时间应为</w:t>
      </w:r>
      <w:r>
        <w:rPr>
          <w:color w:val="auto"/>
          <w:szCs w:val="21"/>
        </w:rPr>
        <w:t>20 h</w:t>
      </w:r>
      <w:r>
        <w:rPr>
          <w:rFonts w:hint="eastAsia"/>
          <w:color w:val="auto"/>
          <w:szCs w:val="21"/>
        </w:rPr>
        <w:t>，且应记录每分钟</w:t>
      </w:r>
      <w:r>
        <w:rPr>
          <w:color w:val="auto"/>
          <w:szCs w:val="21"/>
        </w:rPr>
        <w:t>反应器出口</w:t>
      </w:r>
      <w:r>
        <w:rPr>
          <w:rFonts w:hint="eastAsia"/>
          <w:color w:val="auto"/>
          <w:szCs w:val="21"/>
        </w:rPr>
        <w:t>净</w:t>
      </w:r>
      <w:r>
        <w:rPr>
          <w:color w:val="auto"/>
          <w:szCs w:val="21"/>
        </w:rPr>
        <w:t>烟气</w:t>
      </w:r>
      <w:r>
        <w:rPr>
          <w:rFonts w:hint="eastAsia"/>
          <w:color w:val="auto"/>
          <w:szCs w:val="21"/>
        </w:rPr>
        <w:t>中的</w:t>
      </w:r>
      <w:r>
        <w:rPr>
          <w:color w:val="auto"/>
          <w:szCs w:val="21"/>
        </w:rPr>
        <w:t>一氧化氮</w:t>
      </w:r>
      <w:r>
        <w:rPr>
          <w:color w:val="auto"/>
        </w:rPr>
        <w:t>浓度</w:t>
      </w:r>
      <w:r>
        <w:rPr>
          <w:color w:val="auto"/>
          <w:szCs w:val="21"/>
        </w:rPr>
        <w:t>值</w:t>
      </w:r>
      <w:r>
        <w:rPr>
          <w:rFonts w:hint="eastAsia"/>
          <w:color w:val="auto"/>
          <w:szCs w:val="21"/>
        </w:rPr>
        <w:t>，</w:t>
      </w:r>
      <w:r>
        <w:rPr>
          <w:rFonts w:hint="eastAsia"/>
          <w:color w:val="auto"/>
          <w:szCs w:val="21"/>
          <w:highlight w:val="none"/>
        </w:rPr>
        <w:t>并应据此计算反应末期5h内</w:t>
      </w:r>
      <w:r>
        <w:rPr>
          <w:color w:val="auto"/>
          <w:szCs w:val="21"/>
          <w:highlight w:val="none"/>
        </w:rPr>
        <w:t>一氧化氮</w:t>
      </w:r>
      <w:r>
        <w:rPr>
          <w:rFonts w:hint="eastAsia"/>
          <w:color w:val="auto"/>
          <w:szCs w:val="21"/>
          <w:highlight w:val="none"/>
          <w:lang w:eastAsia="zh-CN"/>
        </w:rPr>
        <w:t>浓度</w:t>
      </w:r>
      <w:r>
        <w:rPr>
          <w:color w:val="auto"/>
          <w:szCs w:val="21"/>
          <w:highlight w:val="none"/>
        </w:rPr>
        <w:t>平均值</w:t>
      </w:r>
      <w:r>
        <w:rPr>
          <w:color w:val="auto"/>
          <w:szCs w:val="21"/>
          <w:highlight w:val="none"/>
        </w:rPr>
        <w:t>；</w:t>
      </w:r>
    </w:p>
    <w:p>
      <w:pPr>
        <w:numPr>
          <w:ilvl w:val="0"/>
          <w:numId w:val="39"/>
        </w:numPr>
        <w:tabs>
          <w:tab w:val="clear" w:pos="0"/>
        </w:tabs>
        <w:spacing w:line="360" w:lineRule="auto"/>
        <w:ind w:firstLine="420" w:firstLineChars="200"/>
        <w:rPr>
          <w:color w:val="auto"/>
          <w:szCs w:val="21"/>
        </w:rPr>
      </w:pPr>
      <w:r>
        <w:rPr>
          <w:rFonts w:hint="eastAsia"/>
          <w:color w:val="auto"/>
          <w:szCs w:val="21"/>
        </w:rPr>
        <w:t>反应完成后，</w:t>
      </w:r>
      <w:r>
        <w:rPr>
          <w:rFonts w:hint="eastAsia"/>
          <w:color w:val="auto"/>
          <w:szCs w:val="21"/>
        </w:rPr>
        <w:t>应</w:t>
      </w:r>
      <w:r>
        <w:rPr>
          <w:color w:val="auto"/>
          <w:szCs w:val="21"/>
        </w:rPr>
        <w:t>关闭氧气、去离子水、</w:t>
      </w:r>
      <w:r>
        <w:rPr>
          <w:color w:val="auto"/>
          <w:szCs w:val="21"/>
        </w:rPr>
        <w:t>一氧化氮</w:t>
      </w:r>
      <w:r>
        <w:rPr>
          <w:rFonts w:hint="eastAsia"/>
          <w:color w:val="auto"/>
          <w:szCs w:val="21"/>
        </w:rPr>
        <w:t>并</w:t>
      </w:r>
      <w:r>
        <w:rPr>
          <w:color w:val="auto"/>
          <w:szCs w:val="21"/>
        </w:rPr>
        <w:t>继续通入氮气吹扫测试系统</w:t>
      </w:r>
      <w:r>
        <w:rPr>
          <w:rFonts w:hint="eastAsia"/>
          <w:color w:val="auto"/>
          <w:szCs w:val="21"/>
        </w:rPr>
        <w:t>，</w:t>
      </w:r>
      <w:r>
        <w:rPr>
          <w:rFonts w:hint="eastAsia"/>
          <w:color w:val="auto"/>
          <w:szCs w:val="21"/>
        </w:rPr>
        <w:t>吹扫时间不应少于</w:t>
      </w:r>
      <w:r>
        <w:rPr>
          <w:color w:val="auto"/>
          <w:szCs w:val="21"/>
        </w:rPr>
        <w:t>30 min。</w:t>
      </w:r>
    </w:p>
    <w:p>
      <w:pPr>
        <w:numPr>
          <w:ilvl w:val="0"/>
          <w:numId w:val="37"/>
        </w:numPr>
        <w:spacing w:line="360" w:lineRule="auto"/>
        <w:rPr>
          <w:color w:val="auto"/>
          <w:szCs w:val="21"/>
        </w:rPr>
      </w:pPr>
      <w:r>
        <w:rPr>
          <w:color w:val="auto"/>
          <w:szCs w:val="21"/>
        </w:rPr>
        <w:t>脱硝率应</w:t>
      </w:r>
      <w:r>
        <w:rPr>
          <w:rFonts w:hint="eastAsia"/>
          <w:color w:val="auto"/>
          <w:szCs w:val="21"/>
        </w:rPr>
        <w:t>根据本标准第6.12.3条所测</w:t>
      </w:r>
      <w:r>
        <w:rPr>
          <w:color w:val="auto"/>
          <w:szCs w:val="21"/>
        </w:rPr>
        <w:t>模拟脱硝烟气一氧化氮初始</w:t>
      </w:r>
      <w:r>
        <w:rPr>
          <w:rFonts w:hint="eastAsia"/>
          <w:color w:val="auto"/>
          <w:szCs w:val="21"/>
          <w:highlight w:val="none"/>
          <w:lang w:eastAsia="zh-CN"/>
        </w:rPr>
        <w:t>浓度</w:t>
      </w:r>
      <w:r>
        <w:rPr>
          <w:color w:val="auto"/>
          <w:szCs w:val="21"/>
        </w:rPr>
        <w:t>值</w:t>
      </w:r>
      <w:r>
        <w:rPr>
          <w:rFonts w:hint="eastAsia"/>
          <w:color w:val="auto"/>
          <w:szCs w:val="21"/>
        </w:rPr>
        <w:t>、</w:t>
      </w:r>
      <w:r>
        <w:rPr>
          <w:color w:val="auto"/>
          <w:szCs w:val="21"/>
        </w:rPr>
        <w:t>反应末期5 h内净烟气中一氧化氮</w:t>
      </w:r>
      <w:r>
        <w:rPr>
          <w:rFonts w:hint="eastAsia"/>
          <w:color w:val="auto"/>
          <w:szCs w:val="21"/>
          <w:highlight w:val="none"/>
          <w:lang w:eastAsia="zh-CN"/>
        </w:rPr>
        <w:t>浓度</w:t>
      </w:r>
      <w:r>
        <w:rPr>
          <w:color w:val="auto"/>
          <w:szCs w:val="21"/>
        </w:rPr>
        <w:t>平均值</w:t>
      </w:r>
      <w:r>
        <w:rPr>
          <w:color w:val="auto"/>
          <w:szCs w:val="21"/>
        </w:rPr>
        <w:t>按下式进行计算：</w:t>
      </w:r>
    </w:p>
    <w:p>
      <w:pPr>
        <w:keepLines/>
        <w:spacing w:line="360" w:lineRule="auto"/>
        <w:jc w:val="right"/>
        <w:rPr>
          <w:color w:val="auto"/>
          <w:position w:val="-30"/>
          <w:szCs w:val="21"/>
        </w:rPr>
      </w:pPr>
      <w:r>
        <w:rPr>
          <w:color w:val="auto"/>
          <w:position w:val="-30"/>
          <w:szCs w:val="21"/>
        </w:rPr>
        <w:object>
          <v:shape id="_x0000_i1089" o:spt="75" type="#_x0000_t75" style="height:36.3pt;width:98.9pt;" o:ole="t" filled="f" o:preferrelative="t" stroked="f" coordsize="21600,21600">
            <v:path/>
            <v:fill on="f" focussize="0,0"/>
            <v:stroke on="f" joinstyle="miter"/>
            <v:imagedata r:id="rId152" o:title=""/>
            <o:lock v:ext="edit" aspectratio="t"/>
            <w10:wrap type="none"/>
            <w10:anchorlock/>
          </v:shape>
          <o:OLEObject Type="Embed" ProgID="Equations" ShapeID="_x0000_i1089" DrawAspect="Content" ObjectID="_1468075789" r:id="rId151">
            <o:LockedField>false</o:LockedField>
          </o:OLEObject>
        </w:object>
      </w:r>
      <w:r>
        <w:rPr>
          <w:color w:val="auto"/>
        </w:rPr>
        <w:t>……………………………………………（6.12.4）</w:t>
      </w:r>
    </w:p>
    <w:p>
      <w:pPr>
        <w:keepLines/>
        <w:tabs>
          <w:tab w:val="left" w:pos="0"/>
        </w:tabs>
        <w:spacing w:line="360" w:lineRule="auto"/>
        <w:rPr>
          <w:color w:val="auto"/>
          <w:szCs w:val="21"/>
        </w:rPr>
      </w:pPr>
      <w:r>
        <w:rPr>
          <w:color w:val="auto"/>
          <w:szCs w:val="21"/>
        </w:rPr>
        <w:t>式中：</w:t>
      </w:r>
      <w:r>
        <w:rPr>
          <w:color w:val="auto"/>
          <w:position w:val="-10"/>
          <w:szCs w:val="21"/>
        </w:rPr>
        <w:object>
          <v:shape id="_x0000_i1090" o:spt="75" type="#_x0000_t75" style="height:13.15pt;width:11.9pt;" o:ole="t" filled="f" o:preferrelative="t" stroked="f" coordsize="21600,21600">
            <v:path/>
            <v:fill on="f" focussize="0,0"/>
            <v:stroke on="f" joinstyle="miter"/>
            <v:imagedata r:id="rId154" o:title=""/>
            <o:lock v:ext="edit" aspectratio="t"/>
            <w10:wrap type="none"/>
            <w10:anchorlock/>
          </v:shape>
          <o:OLEObject Type="Embed" ProgID="Equations" ShapeID="_x0000_i1090" DrawAspect="Content" ObjectID="_1468075790" r:id="rId153">
            <o:LockedField>false</o:LockedField>
          </o:OLEObject>
        </w:object>
      </w:r>
      <w:r>
        <w:rPr>
          <w:color w:val="auto"/>
          <w:szCs w:val="21"/>
        </w:rPr>
        <w:t>——脱硝率</w:t>
      </w:r>
      <w:r>
        <w:rPr>
          <w:color w:val="auto"/>
        </w:rPr>
        <w:t>（%）</w:t>
      </w:r>
    </w:p>
    <w:p>
      <w:pPr>
        <w:keepLines/>
        <w:tabs>
          <w:tab w:val="left" w:pos="0"/>
        </w:tabs>
        <w:spacing w:line="360" w:lineRule="auto"/>
        <w:ind w:firstLine="525" w:firstLineChars="250"/>
        <w:rPr>
          <w:color w:val="auto"/>
          <w:szCs w:val="21"/>
        </w:rPr>
      </w:pPr>
      <w:r>
        <w:rPr>
          <w:color w:val="auto"/>
          <w:position w:val="-12"/>
          <w:szCs w:val="21"/>
        </w:rPr>
        <w:object>
          <v:shape id="_x0000_i1091" o:spt="75" type="#_x0000_t75" style="height:19.4pt;width:15.65pt;" o:ole="t" filled="f" o:preferrelative="t" stroked="f" coordsize="21600,21600">
            <v:path/>
            <v:fill on="f" focussize="0,0"/>
            <v:stroke on="f" joinstyle="miter"/>
            <v:imagedata r:id="rId156" o:title=""/>
            <o:lock v:ext="edit" aspectratio="t"/>
            <w10:wrap type="none"/>
            <w10:anchorlock/>
          </v:shape>
          <o:OLEObject Type="Embed" ProgID="Equations" ShapeID="_x0000_i1091" DrawAspect="Content" ObjectID="_1468075791" r:id="rId155">
            <o:LockedField>false</o:LockedField>
          </o:OLEObject>
        </w:object>
      </w:r>
      <w:r>
        <w:rPr>
          <w:color w:val="auto"/>
          <w:szCs w:val="21"/>
        </w:rPr>
        <w:t>——模拟脱硝烟气一氧化氮初始</w:t>
      </w:r>
      <w:r>
        <w:rPr>
          <w:rFonts w:hint="eastAsia"/>
          <w:color w:val="auto"/>
          <w:szCs w:val="21"/>
          <w:highlight w:val="none"/>
          <w:lang w:eastAsia="zh-CN"/>
        </w:rPr>
        <w:t>浓度</w:t>
      </w:r>
      <w:r>
        <w:rPr>
          <w:color w:val="auto"/>
          <w:szCs w:val="21"/>
        </w:rPr>
        <w:t xml:space="preserve">值（ppm）； </w:t>
      </w:r>
    </w:p>
    <w:p>
      <w:pPr>
        <w:keepLines/>
        <w:tabs>
          <w:tab w:val="left" w:pos="0"/>
        </w:tabs>
        <w:spacing w:line="360" w:lineRule="auto"/>
        <w:ind w:firstLine="630" w:firstLineChars="300"/>
        <w:rPr>
          <w:color w:val="auto"/>
          <w:szCs w:val="21"/>
        </w:rPr>
      </w:pPr>
      <w:r>
        <w:rPr>
          <w:color w:val="auto"/>
          <w:position w:val="-6"/>
          <w:szCs w:val="21"/>
        </w:rPr>
        <w:object>
          <v:shape id="_x0000_i1092" o:spt="75" type="#_x0000_t75" style="height:10.65pt;width:11.9pt;" o:ole="t" filled="f" o:preferrelative="t" stroked="f" coordsize="21600,21600">
            <v:path/>
            <v:fill on="f" focussize="0,0"/>
            <v:stroke on="f" joinstyle="miter"/>
            <v:imagedata r:id="rId158" o:title=""/>
            <o:lock v:ext="edit" aspectratio="t"/>
            <w10:wrap type="none"/>
            <w10:anchorlock/>
          </v:shape>
          <o:OLEObject Type="Embed" ProgID="Equations" ShapeID="_x0000_i1092" DrawAspect="Content" ObjectID="_1468075792" r:id="rId157">
            <o:LockedField>false</o:LockedField>
          </o:OLEObject>
        </w:object>
      </w:r>
      <w:r>
        <w:rPr>
          <w:color w:val="auto"/>
          <w:szCs w:val="21"/>
        </w:rPr>
        <w:t>——反应末期5 h内净烟气中一氧化氮</w:t>
      </w:r>
      <w:r>
        <w:rPr>
          <w:rFonts w:hint="eastAsia"/>
          <w:color w:val="auto"/>
          <w:szCs w:val="21"/>
          <w:highlight w:val="none"/>
          <w:lang w:eastAsia="zh-CN"/>
        </w:rPr>
        <w:t>浓度</w:t>
      </w:r>
      <w:r>
        <w:rPr>
          <w:color w:val="auto"/>
          <w:szCs w:val="21"/>
        </w:rPr>
        <w:t>平均值（ppm）。</w:t>
      </w:r>
    </w:p>
    <w:p>
      <w:pPr>
        <w:numPr>
          <w:ilvl w:val="0"/>
          <w:numId w:val="37"/>
        </w:numPr>
        <w:spacing w:line="360" w:lineRule="auto"/>
        <w:rPr>
          <w:color w:val="auto"/>
          <w:szCs w:val="21"/>
        </w:rPr>
      </w:pPr>
      <w:r>
        <w:rPr>
          <w:color w:val="auto"/>
          <w:szCs w:val="21"/>
        </w:rPr>
        <w:t>脱硝率测试应做两份平行样品测试，</w:t>
      </w:r>
      <w:r>
        <w:rPr>
          <w:rFonts w:hint="eastAsia"/>
          <w:color w:val="auto"/>
          <w:szCs w:val="21"/>
        </w:rPr>
        <w:t>计算</w:t>
      </w:r>
      <w:r>
        <w:rPr>
          <w:color w:val="auto"/>
          <w:szCs w:val="21"/>
        </w:rPr>
        <w:t>结果</w:t>
      </w:r>
      <w:r>
        <w:rPr>
          <w:rFonts w:hint="eastAsia"/>
          <w:color w:val="auto"/>
          <w:szCs w:val="21"/>
        </w:rPr>
        <w:t>应</w:t>
      </w:r>
      <w:r>
        <w:rPr>
          <w:color w:val="auto"/>
          <w:szCs w:val="21"/>
        </w:rPr>
        <w:t>以算</w:t>
      </w:r>
      <w:r>
        <w:rPr>
          <w:rFonts w:hint="eastAsia"/>
          <w:color w:val="auto"/>
          <w:szCs w:val="21"/>
        </w:rPr>
        <w:t>术</w:t>
      </w:r>
      <w:r>
        <w:rPr>
          <w:color w:val="auto"/>
          <w:szCs w:val="21"/>
        </w:rPr>
        <w:t>平均值表示，并应精确到0.01 %，且两次平行测试</w:t>
      </w:r>
      <w:r>
        <w:rPr>
          <w:rFonts w:hint="eastAsia"/>
          <w:color w:val="auto"/>
          <w:szCs w:val="21"/>
        </w:rPr>
        <w:t>计算</w:t>
      </w:r>
      <w:r>
        <w:rPr>
          <w:color w:val="auto"/>
          <w:szCs w:val="21"/>
        </w:rPr>
        <w:t>结果的相对偏差</w:t>
      </w:r>
      <w:r>
        <w:rPr>
          <w:rFonts w:hint="eastAsia"/>
          <w:color w:val="auto"/>
          <w:szCs w:val="21"/>
        </w:rPr>
        <w:t>不应大于</w:t>
      </w:r>
      <w:r>
        <w:rPr>
          <w:color w:val="auto"/>
          <w:szCs w:val="21"/>
        </w:rPr>
        <w:t>5%。</w:t>
      </w:r>
    </w:p>
    <w:p>
      <w:pPr>
        <w:numPr>
          <w:ilvl w:val="0"/>
          <w:numId w:val="37"/>
        </w:numPr>
        <w:spacing w:line="360" w:lineRule="auto"/>
        <w:rPr>
          <w:color w:val="auto"/>
          <w:szCs w:val="21"/>
        </w:rPr>
      </w:pPr>
      <w:r>
        <w:rPr>
          <w:color w:val="auto"/>
          <w:szCs w:val="21"/>
        </w:rPr>
        <w:t>脱硝率测试报告应包括试样编号、测试标准、测试仪器和设备、测试项目、测试结果、测试人员及测试日期等内容。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23" w:name="_Toc23892"/>
      <w:bookmarkStart w:id="124" w:name="_Toc6978"/>
      <w:bookmarkStart w:id="125" w:name="_Toc21687"/>
      <w:r>
        <w:rPr>
          <w:rFonts w:ascii="Times New Roman" w:hAnsi="Times New Roman" w:eastAsia="宋体"/>
          <w:b w:val="0"/>
          <w:color w:val="auto"/>
          <w:sz w:val="24"/>
          <w:szCs w:val="24"/>
        </w:rPr>
        <w:t>6.13 循环脱硫脱硝性能</w:t>
      </w:r>
      <w:bookmarkEnd w:id="123"/>
      <w:bookmarkEnd w:id="124"/>
      <w:bookmarkEnd w:id="125"/>
    </w:p>
    <w:p>
      <w:pPr>
        <w:numPr>
          <w:ilvl w:val="0"/>
          <w:numId w:val="40"/>
        </w:numPr>
        <w:spacing w:line="360" w:lineRule="auto"/>
        <w:rPr>
          <w:color w:val="auto"/>
          <w:szCs w:val="21"/>
        </w:rPr>
      </w:pPr>
      <w:r>
        <w:rPr>
          <w:color w:val="auto"/>
          <w:szCs w:val="21"/>
        </w:rPr>
        <w:t xml:space="preserve">模拟脱硝烟气应符合本标准第6.12.1条的规定。脱硝反应温度应为120 </w:t>
      </w:r>
      <w:r>
        <w:rPr>
          <w:rFonts w:hint="eastAsia" w:ascii="宋体" w:hAnsi="宋体" w:cs="宋体"/>
          <w:color w:val="auto"/>
          <w:szCs w:val="21"/>
        </w:rPr>
        <w:t>℃</w:t>
      </w:r>
      <w:r>
        <w:rPr>
          <w:color w:val="auto"/>
          <w:szCs w:val="21"/>
        </w:rPr>
        <w:t>，允许绝对偏差</w:t>
      </w:r>
      <w:r>
        <w:rPr>
          <w:rFonts w:hint="eastAsia"/>
          <w:color w:val="auto"/>
          <w:szCs w:val="21"/>
        </w:rPr>
        <w:t>应</w:t>
      </w:r>
      <w:r>
        <w:rPr>
          <w:color w:val="auto"/>
          <w:szCs w:val="21"/>
        </w:rPr>
        <w:t xml:space="preserve">为±5 </w:t>
      </w:r>
      <w:r>
        <w:rPr>
          <w:rFonts w:hint="eastAsia" w:ascii="宋体" w:hAnsi="宋体" w:cs="宋体"/>
          <w:color w:val="auto"/>
          <w:szCs w:val="21"/>
        </w:rPr>
        <w:t>℃</w:t>
      </w:r>
      <w:r>
        <w:rPr>
          <w:color w:val="auto"/>
          <w:szCs w:val="21"/>
        </w:rPr>
        <w:t>h。</w:t>
      </w:r>
    </w:p>
    <w:p>
      <w:pPr>
        <w:numPr>
          <w:ilvl w:val="0"/>
          <w:numId w:val="40"/>
        </w:numPr>
        <w:spacing w:line="360" w:lineRule="auto"/>
        <w:rPr>
          <w:color w:val="auto"/>
          <w:szCs w:val="21"/>
        </w:rPr>
      </w:pPr>
      <w:r>
        <w:rPr>
          <w:color w:val="auto"/>
          <w:szCs w:val="21"/>
          <w:highlight w:val="none"/>
        </w:rPr>
        <w:t>模拟脱</w:t>
      </w:r>
      <w:r>
        <w:rPr>
          <w:rFonts w:hint="eastAsia"/>
          <w:color w:val="auto"/>
          <w:szCs w:val="21"/>
          <w:highlight w:val="none"/>
        </w:rPr>
        <w:t>硫</w:t>
      </w:r>
      <w:r>
        <w:rPr>
          <w:color w:val="auto"/>
          <w:szCs w:val="21"/>
          <w:highlight w:val="none"/>
        </w:rPr>
        <w:t>烟气</w:t>
      </w:r>
      <w:r>
        <w:rPr>
          <w:rFonts w:hint="eastAsia"/>
          <w:color w:val="auto"/>
          <w:szCs w:val="21"/>
          <w:highlight w:val="none"/>
          <w:lang w:eastAsia="zh-CN"/>
        </w:rPr>
        <w:t>除</w:t>
      </w:r>
      <w:r>
        <w:rPr>
          <w:color w:val="auto"/>
          <w:szCs w:val="21"/>
          <w:highlight w:val="none"/>
        </w:rPr>
        <w:t>总流量应为31.0 L/ min（标况）</w:t>
      </w:r>
      <w:r>
        <w:rPr>
          <w:rFonts w:hint="eastAsia"/>
          <w:color w:val="auto"/>
          <w:szCs w:val="21"/>
          <w:highlight w:val="none"/>
          <w:lang w:eastAsia="zh-CN"/>
        </w:rPr>
        <w:t>外，其他要求</w:t>
      </w:r>
      <w:r>
        <w:rPr>
          <w:color w:val="auto"/>
          <w:szCs w:val="21"/>
          <w:highlight w:val="none"/>
        </w:rPr>
        <w:t>应符合本标准第6.1</w:t>
      </w:r>
      <w:r>
        <w:rPr>
          <w:rFonts w:hint="eastAsia"/>
          <w:color w:val="auto"/>
          <w:szCs w:val="21"/>
          <w:highlight w:val="none"/>
        </w:rPr>
        <w:t>0</w:t>
      </w:r>
      <w:r>
        <w:rPr>
          <w:color w:val="auto"/>
          <w:szCs w:val="21"/>
          <w:highlight w:val="none"/>
        </w:rPr>
        <w:t>.1条的规定</w:t>
      </w:r>
      <w:r>
        <w:rPr>
          <w:rFonts w:hint="eastAsia"/>
          <w:color w:val="auto"/>
          <w:szCs w:val="21"/>
          <w:highlight w:val="none"/>
        </w:rPr>
        <w:t>。</w:t>
      </w:r>
      <w:r>
        <w:rPr>
          <w:color w:val="auto"/>
          <w:szCs w:val="21"/>
        </w:rPr>
        <w:t>吸附反应温度应为120 ℃，允许绝对偏差</w:t>
      </w:r>
      <w:r>
        <w:rPr>
          <w:rFonts w:hint="eastAsia"/>
          <w:color w:val="auto"/>
          <w:szCs w:val="21"/>
        </w:rPr>
        <w:t>应</w:t>
      </w:r>
      <w:r>
        <w:rPr>
          <w:color w:val="auto"/>
          <w:szCs w:val="21"/>
        </w:rPr>
        <w:t>为±5 ℃。解析载气应为高纯氮，流量</w:t>
      </w:r>
      <w:r>
        <w:rPr>
          <w:rFonts w:hint="eastAsia"/>
          <w:color w:val="auto"/>
          <w:szCs w:val="21"/>
        </w:rPr>
        <w:t>应</w:t>
      </w:r>
      <w:r>
        <w:rPr>
          <w:color w:val="auto"/>
          <w:szCs w:val="21"/>
        </w:rPr>
        <w:t>为5.0 L/ min（标况）；反应温度应为430 ℃，允许绝对偏差</w:t>
      </w:r>
      <w:r>
        <w:rPr>
          <w:rFonts w:hint="eastAsia"/>
          <w:color w:val="auto"/>
          <w:szCs w:val="21"/>
        </w:rPr>
        <w:t>应</w:t>
      </w:r>
      <w:r>
        <w:rPr>
          <w:color w:val="auto"/>
          <w:szCs w:val="21"/>
        </w:rPr>
        <w:t>为±5 ℃。</w:t>
      </w:r>
    </w:p>
    <w:p>
      <w:pPr>
        <w:numPr>
          <w:ilvl w:val="0"/>
          <w:numId w:val="40"/>
        </w:numPr>
        <w:spacing w:line="360" w:lineRule="auto"/>
        <w:rPr>
          <w:color w:val="auto"/>
          <w:szCs w:val="21"/>
        </w:rPr>
      </w:pPr>
      <w:r>
        <w:rPr>
          <w:color w:val="auto"/>
          <w:szCs w:val="21"/>
        </w:rPr>
        <w:t>循环脱硫脱硝性能测试应符合下列规定：</w:t>
      </w:r>
    </w:p>
    <w:p>
      <w:pPr>
        <w:numPr>
          <w:ilvl w:val="0"/>
          <w:numId w:val="41"/>
        </w:numPr>
        <w:tabs>
          <w:tab w:val="clear" w:pos="0"/>
        </w:tabs>
        <w:spacing w:line="360" w:lineRule="auto"/>
        <w:ind w:firstLine="420" w:firstLineChars="200"/>
        <w:rPr>
          <w:color w:val="auto"/>
          <w:szCs w:val="21"/>
        </w:rPr>
      </w:pPr>
      <w:r>
        <w:rPr>
          <w:rFonts w:hint="eastAsia"/>
          <w:color w:val="auto"/>
          <w:szCs w:val="21"/>
        </w:rPr>
        <w:t>应</w:t>
      </w:r>
      <w:r>
        <w:rPr>
          <w:color w:val="auto"/>
          <w:szCs w:val="21"/>
        </w:rPr>
        <w:t>选用</w:t>
      </w:r>
      <w:r>
        <w:rPr>
          <w:i/>
          <w:iCs/>
          <w:color w:val="auto"/>
          <w:szCs w:val="21"/>
        </w:rPr>
        <w:sym w:font="Symbol" w:char="F066"/>
      </w:r>
      <w:r>
        <w:rPr>
          <w:i/>
          <w:iCs/>
          <w:color w:val="auto"/>
          <w:szCs w:val="21"/>
        </w:rPr>
        <w:t xml:space="preserve"> </w:t>
      </w:r>
      <w:r>
        <w:rPr>
          <w:rFonts w:hint="eastAsia"/>
          <w:color w:val="auto"/>
          <w:szCs w:val="21"/>
        </w:rPr>
        <w:t>200×50-1.0/0.71方孔</w:t>
      </w:r>
      <w:r>
        <w:rPr>
          <w:color w:val="auto"/>
          <w:szCs w:val="21"/>
        </w:rPr>
        <w:t>试验筛除去试样粉尘；</w:t>
      </w:r>
    </w:p>
    <w:p>
      <w:pPr>
        <w:numPr>
          <w:ilvl w:val="0"/>
          <w:numId w:val="41"/>
        </w:numPr>
        <w:tabs>
          <w:tab w:val="clear" w:pos="0"/>
        </w:tabs>
        <w:spacing w:line="360" w:lineRule="auto"/>
        <w:ind w:firstLine="420" w:firstLineChars="200"/>
        <w:rPr>
          <w:color w:val="auto"/>
          <w:szCs w:val="21"/>
        </w:rPr>
      </w:pPr>
      <w:r>
        <w:rPr>
          <w:rFonts w:hint="eastAsia"/>
          <w:color w:val="auto"/>
          <w:szCs w:val="21"/>
        </w:rPr>
        <w:t>应</w:t>
      </w:r>
      <w:r>
        <w:rPr>
          <w:color w:val="auto"/>
          <w:szCs w:val="21"/>
        </w:rPr>
        <w:t>量取1 L样品并称重</w:t>
      </w:r>
      <w:r>
        <w:rPr>
          <w:rFonts w:hint="eastAsia"/>
          <w:color w:val="auto"/>
          <w:szCs w:val="21"/>
        </w:rPr>
        <w:t>，且应</w:t>
      </w:r>
      <w:r>
        <w:rPr>
          <w:color w:val="auto"/>
          <w:szCs w:val="21"/>
        </w:rPr>
        <w:t>精确</w:t>
      </w:r>
      <w:r>
        <w:rPr>
          <w:rFonts w:hint="eastAsia"/>
          <w:color w:val="auto"/>
          <w:szCs w:val="21"/>
        </w:rPr>
        <w:t>至</w:t>
      </w:r>
      <w:r>
        <w:rPr>
          <w:color w:val="auto"/>
          <w:szCs w:val="21"/>
        </w:rPr>
        <w:t>0.01 g，</w:t>
      </w:r>
      <w:r>
        <w:rPr>
          <w:rFonts w:hint="eastAsia"/>
          <w:color w:val="auto"/>
          <w:szCs w:val="21"/>
        </w:rPr>
        <w:t>并</w:t>
      </w:r>
      <w:r>
        <w:rPr>
          <w:rFonts w:hint="eastAsia"/>
          <w:color w:val="auto"/>
          <w:szCs w:val="21"/>
          <w:highlight w:val="none"/>
          <w:lang w:eastAsia="zh-CN"/>
        </w:rPr>
        <w:t>将样品</w:t>
      </w:r>
      <w:r>
        <w:rPr>
          <w:color w:val="auto"/>
          <w:szCs w:val="21"/>
        </w:rPr>
        <w:t>填装至反应器恒温段；</w:t>
      </w:r>
    </w:p>
    <w:p>
      <w:pPr>
        <w:numPr>
          <w:ilvl w:val="0"/>
          <w:numId w:val="41"/>
        </w:numPr>
        <w:tabs>
          <w:tab w:val="clear" w:pos="0"/>
        </w:tabs>
        <w:spacing w:line="360" w:lineRule="auto"/>
        <w:ind w:firstLine="420" w:firstLineChars="200"/>
        <w:rPr>
          <w:color w:val="auto"/>
          <w:szCs w:val="21"/>
        </w:rPr>
      </w:pPr>
      <w:r>
        <w:rPr>
          <w:rFonts w:hint="eastAsia"/>
          <w:color w:val="auto"/>
          <w:szCs w:val="21"/>
        </w:rPr>
        <w:t>在</w:t>
      </w:r>
      <w:r>
        <w:rPr>
          <w:color w:val="auto"/>
          <w:szCs w:val="21"/>
        </w:rPr>
        <w:t>测试管路内充入氮气</w:t>
      </w:r>
      <w:r>
        <w:rPr>
          <w:rFonts w:hint="eastAsia"/>
          <w:color w:val="auto"/>
          <w:szCs w:val="21"/>
        </w:rPr>
        <w:t>，氮气压力</w:t>
      </w:r>
      <w:r>
        <w:rPr>
          <w:color w:val="auto"/>
          <w:szCs w:val="21"/>
        </w:rPr>
        <w:t>应达到13.3 kPa，</w:t>
      </w:r>
      <w:r>
        <w:rPr>
          <w:rFonts w:hint="eastAsia"/>
          <w:color w:val="auto"/>
          <w:szCs w:val="21"/>
        </w:rPr>
        <w:t>且</w:t>
      </w:r>
      <w:r>
        <w:rPr>
          <w:color w:val="auto"/>
          <w:szCs w:val="21"/>
        </w:rPr>
        <w:t>1 min内</w:t>
      </w:r>
      <w:r>
        <w:rPr>
          <w:rFonts w:hint="eastAsia"/>
          <w:color w:val="auto"/>
          <w:szCs w:val="21"/>
        </w:rPr>
        <w:t>氮气</w:t>
      </w:r>
      <w:r>
        <w:rPr>
          <w:color w:val="auto"/>
          <w:szCs w:val="21"/>
        </w:rPr>
        <w:t>压力降不应</w:t>
      </w:r>
      <w:r>
        <w:rPr>
          <w:rFonts w:hint="eastAsia"/>
          <w:color w:val="auto"/>
          <w:szCs w:val="21"/>
        </w:rPr>
        <w:t>大于</w:t>
      </w:r>
      <w:r>
        <w:rPr>
          <w:color w:val="auto"/>
          <w:szCs w:val="21"/>
        </w:rPr>
        <w:t>0.263 kPa；</w:t>
      </w:r>
    </w:p>
    <w:p>
      <w:pPr>
        <w:numPr>
          <w:ilvl w:val="0"/>
          <w:numId w:val="41"/>
        </w:numPr>
        <w:tabs>
          <w:tab w:val="clear" w:pos="0"/>
        </w:tabs>
        <w:spacing w:line="360" w:lineRule="auto"/>
        <w:ind w:firstLine="420" w:firstLineChars="200"/>
        <w:rPr>
          <w:color w:val="auto"/>
          <w:szCs w:val="21"/>
        </w:rPr>
      </w:pPr>
      <w:r>
        <w:rPr>
          <w:color w:val="auto"/>
          <w:szCs w:val="21"/>
          <w:highlight w:val="none"/>
        </w:rPr>
        <w:t>依次开启汽化炉、预热炉、反应器炉体和管路伴热</w:t>
      </w:r>
      <w:r>
        <w:rPr>
          <w:rFonts w:hint="eastAsia"/>
          <w:color w:val="auto"/>
          <w:szCs w:val="21"/>
          <w:highlight w:val="none"/>
        </w:rPr>
        <w:t>，并</w:t>
      </w:r>
      <w:r>
        <w:rPr>
          <w:color w:val="auto"/>
          <w:szCs w:val="21"/>
          <w:highlight w:val="none"/>
        </w:rPr>
        <w:t>使用高纯氮进行分析仪零点标定</w:t>
      </w:r>
      <w:r>
        <w:rPr>
          <w:color w:val="auto"/>
          <w:szCs w:val="21"/>
          <w:highlight w:val="none"/>
        </w:rPr>
        <w:t>；</w:t>
      </w:r>
    </w:p>
    <w:p>
      <w:pPr>
        <w:numPr>
          <w:ilvl w:val="0"/>
          <w:numId w:val="41"/>
        </w:numPr>
        <w:tabs>
          <w:tab w:val="clear" w:pos="0"/>
        </w:tabs>
        <w:spacing w:line="360" w:lineRule="auto"/>
        <w:ind w:firstLine="420" w:firstLineChars="200"/>
        <w:rPr>
          <w:color w:val="auto"/>
          <w:szCs w:val="21"/>
        </w:rPr>
      </w:pPr>
      <w:r>
        <w:rPr>
          <w:color w:val="auto"/>
          <w:szCs w:val="21"/>
        </w:rPr>
        <w:t>设备预热完成后</w:t>
      </w:r>
      <w:r>
        <w:rPr>
          <w:rFonts w:hint="eastAsia"/>
          <w:color w:val="auto"/>
          <w:szCs w:val="21"/>
        </w:rPr>
        <w:t>应</w:t>
      </w:r>
      <w:r>
        <w:rPr>
          <w:color w:val="auto"/>
          <w:szCs w:val="21"/>
        </w:rPr>
        <w:t>开启旁路</w:t>
      </w:r>
      <w:r>
        <w:rPr>
          <w:rFonts w:hint="eastAsia"/>
          <w:color w:val="auto"/>
          <w:szCs w:val="21"/>
        </w:rPr>
        <w:t>并</w:t>
      </w:r>
      <w:r>
        <w:rPr>
          <w:color w:val="auto"/>
          <w:szCs w:val="21"/>
        </w:rPr>
        <w:t>通入模拟脱硝烟气，各组分达到预设值并稳定30 min</w:t>
      </w:r>
      <w:r>
        <w:rPr>
          <w:rFonts w:hint="eastAsia"/>
          <w:color w:val="auto"/>
          <w:szCs w:val="21"/>
        </w:rPr>
        <w:t>后，记录此时的</w:t>
      </w:r>
      <w:r>
        <w:rPr>
          <w:color w:val="auto"/>
          <w:szCs w:val="21"/>
        </w:rPr>
        <w:t>一氧化氮</w:t>
      </w:r>
      <w:r>
        <w:rPr>
          <w:rFonts w:hint="eastAsia"/>
          <w:color w:val="auto"/>
          <w:szCs w:val="21"/>
        </w:rPr>
        <w:t>浓度</w:t>
      </w:r>
      <w:r>
        <w:rPr>
          <w:color w:val="auto"/>
          <w:szCs w:val="21"/>
        </w:rPr>
        <w:t>作</w:t>
      </w:r>
      <w:r>
        <w:rPr>
          <w:rFonts w:hint="eastAsia"/>
          <w:color w:val="auto"/>
          <w:szCs w:val="21"/>
        </w:rPr>
        <w:t>为</w:t>
      </w:r>
      <w:r>
        <w:rPr>
          <w:color w:val="auto"/>
          <w:szCs w:val="21"/>
        </w:rPr>
        <w:t>初始</w:t>
      </w:r>
      <w:r>
        <w:rPr>
          <w:rFonts w:hint="eastAsia"/>
          <w:color w:val="auto"/>
          <w:szCs w:val="21"/>
          <w:highlight w:val="none"/>
          <w:lang w:eastAsia="zh-CN"/>
        </w:rPr>
        <w:t>浓度</w:t>
      </w:r>
      <w:r>
        <w:rPr>
          <w:color w:val="auto"/>
          <w:szCs w:val="21"/>
        </w:rPr>
        <w:t>值；</w:t>
      </w:r>
    </w:p>
    <w:p>
      <w:pPr>
        <w:numPr>
          <w:ilvl w:val="0"/>
          <w:numId w:val="41"/>
        </w:numPr>
        <w:tabs>
          <w:tab w:val="clear" w:pos="0"/>
        </w:tabs>
        <w:spacing w:line="360" w:lineRule="auto"/>
        <w:ind w:firstLine="420" w:firstLineChars="200"/>
        <w:rPr>
          <w:color w:val="auto"/>
          <w:szCs w:val="21"/>
        </w:rPr>
      </w:pPr>
      <w:r>
        <w:rPr>
          <w:rFonts w:hint="eastAsia"/>
          <w:color w:val="auto"/>
          <w:szCs w:val="21"/>
        </w:rPr>
        <w:t>将</w:t>
      </w:r>
      <w:r>
        <w:rPr>
          <w:color w:val="auto"/>
          <w:szCs w:val="21"/>
        </w:rPr>
        <w:t>模拟脱硝烟气通入反应器经过样品床层</w:t>
      </w:r>
      <w:r>
        <w:rPr>
          <w:rFonts w:hint="eastAsia"/>
          <w:color w:val="auto"/>
          <w:szCs w:val="21"/>
        </w:rPr>
        <w:t>进行反应，反应时间应为</w:t>
      </w:r>
      <w:r>
        <w:rPr>
          <w:color w:val="auto"/>
          <w:szCs w:val="21"/>
        </w:rPr>
        <w:t>20 h</w:t>
      </w:r>
      <w:r>
        <w:rPr>
          <w:rFonts w:hint="eastAsia"/>
          <w:color w:val="auto"/>
          <w:szCs w:val="21"/>
        </w:rPr>
        <w:t>，且应记录每分钟</w:t>
      </w:r>
      <w:r>
        <w:rPr>
          <w:color w:val="auto"/>
          <w:szCs w:val="21"/>
        </w:rPr>
        <w:t>反应器出口</w:t>
      </w:r>
      <w:r>
        <w:rPr>
          <w:rFonts w:hint="eastAsia"/>
          <w:color w:val="auto"/>
          <w:szCs w:val="21"/>
        </w:rPr>
        <w:t>净</w:t>
      </w:r>
      <w:r>
        <w:rPr>
          <w:color w:val="auto"/>
          <w:szCs w:val="21"/>
        </w:rPr>
        <w:t>烟气</w:t>
      </w:r>
      <w:r>
        <w:rPr>
          <w:rFonts w:hint="eastAsia"/>
          <w:color w:val="auto"/>
          <w:szCs w:val="21"/>
        </w:rPr>
        <w:t>中的</w:t>
      </w:r>
      <w:r>
        <w:rPr>
          <w:color w:val="auto"/>
          <w:szCs w:val="21"/>
        </w:rPr>
        <w:t>一氧化氮</w:t>
      </w:r>
      <w:r>
        <w:rPr>
          <w:color w:val="auto"/>
        </w:rPr>
        <w:t>浓度</w:t>
      </w:r>
      <w:r>
        <w:rPr>
          <w:color w:val="auto"/>
          <w:szCs w:val="21"/>
        </w:rPr>
        <w:t>值</w:t>
      </w:r>
      <w:r>
        <w:rPr>
          <w:rFonts w:hint="eastAsia"/>
          <w:color w:val="auto"/>
          <w:szCs w:val="21"/>
        </w:rPr>
        <w:t>，</w:t>
      </w:r>
      <w:r>
        <w:rPr>
          <w:rFonts w:hint="eastAsia"/>
          <w:color w:val="auto"/>
          <w:szCs w:val="21"/>
          <w:highlight w:val="none"/>
        </w:rPr>
        <w:t>并应据此计算反应末期5h内</w:t>
      </w:r>
      <w:r>
        <w:rPr>
          <w:color w:val="auto"/>
          <w:szCs w:val="21"/>
          <w:highlight w:val="none"/>
        </w:rPr>
        <w:t>一氧化氮</w:t>
      </w:r>
      <w:r>
        <w:rPr>
          <w:rFonts w:hint="eastAsia"/>
          <w:color w:val="auto"/>
          <w:szCs w:val="21"/>
          <w:highlight w:val="none"/>
          <w:lang w:eastAsia="zh-CN"/>
        </w:rPr>
        <w:t>浓度</w:t>
      </w:r>
      <w:r>
        <w:rPr>
          <w:color w:val="auto"/>
          <w:szCs w:val="21"/>
          <w:highlight w:val="none"/>
        </w:rPr>
        <w:t>平均值；</w:t>
      </w:r>
      <w:r>
        <w:rPr>
          <w:rFonts w:hint="eastAsia"/>
          <w:color w:val="auto"/>
          <w:szCs w:val="21"/>
          <w:highlight w:val="none"/>
          <w:lang w:val="en-US" w:eastAsia="zh-CN"/>
        </w:rPr>
        <w:t xml:space="preserve"> </w:t>
      </w:r>
    </w:p>
    <w:p>
      <w:pPr>
        <w:numPr>
          <w:ilvl w:val="0"/>
          <w:numId w:val="41"/>
        </w:numPr>
        <w:tabs>
          <w:tab w:val="clear" w:pos="0"/>
        </w:tabs>
        <w:spacing w:line="360" w:lineRule="auto"/>
        <w:ind w:firstLine="420" w:firstLineChars="200"/>
        <w:rPr>
          <w:rFonts w:hint="eastAsia"/>
          <w:color w:val="auto"/>
          <w:szCs w:val="21"/>
        </w:rPr>
      </w:pPr>
      <w:r>
        <w:rPr>
          <w:rFonts w:hint="eastAsia"/>
          <w:color w:val="auto"/>
          <w:szCs w:val="21"/>
        </w:rPr>
        <w:t>反应完成后，应</w:t>
      </w:r>
      <w:r>
        <w:rPr>
          <w:color w:val="auto"/>
          <w:szCs w:val="21"/>
        </w:rPr>
        <w:t>通入5 L/ min高纯氮吹扫</w:t>
      </w:r>
      <w:r>
        <w:rPr>
          <w:rFonts w:hint="eastAsia"/>
          <w:color w:val="auto"/>
          <w:szCs w:val="21"/>
        </w:rPr>
        <w:t>测试系统，</w:t>
      </w:r>
      <w:r>
        <w:rPr>
          <w:color w:val="auto"/>
          <w:szCs w:val="21"/>
        </w:rPr>
        <w:t>吹扫</w:t>
      </w:r>
      <w:r>
        <w:rPr>
          <w:rFonts w:hint="eastAsia"/>
          <w:color w:val="auto"/>
          <w:szCs w:val="21"/>
        </w:rPr>
        <w:t>时间应为</w:t>
      </w:r>
      <w:r>
        <w:rPr>
          <w:color w:val="auto"/>
          <w:szCs w:val="21"/>
        </w:rPr>
        <w:t>1 h；</w:t>
      </w:r>
    </w:p>
    <w:p>
      <w:pPr>
        <w:numPr>
          <w:ilvl w:val="0"/>
          <w:numId w:val="41"/>
        </w:numPr>
        <w:tabs>
          <w:tab w:val="clear" w:pos="0"/>
        </w:tabs>
        <w:spacing w:line="360" w:lineRule="auto"/>
        <w:ind w:firstLine="420" w:firstLineChars="200"/>
        <w:rPr>
          <w:color w:val="auto"/>
          <w:szCs w:val="21"/>
        </w:rPr>
      </w:pPr>
      <w:r>
        <w:rPr>
          <w:rFonts w:hint="eastAsia"/>
          <w:color w:val="auto"/>
          <w:szCs w:val="21"/>
        </w:rPr>
        <w:t>将</w:t>
      </w:r>
      <w:r>
        <w:rPr>
          <w:color w:val="auto"/>
          <w:szCs w:val="21"/>
        </w:rPr>
        <w:t>模拟脱硫烟气通入反应器，各组分达到预设值并稳定30 min</w:t>
      </w:r>
      <w:r>
        <w:rPr>
          <w:rFonts w:hint="eastAsia"/>
          <w:color w:val="auto"/>
          <w:szCs w:val="21"/>
        </w:rPr>
        <w:t>后，记录此时的</w:t>
      </w:r>
      <w:r>
        <w:rPr>
          <w:color w:val="auto"/>
          <w:szCs w:val="21"/>
        </w:rPr>
        <w:t>二氧化硫</w:t>
      </w:r>
      <w:r>
        <w:rPr>
          <w:rFonts w:hint="eastAsia"/>
          <w:color w:val="auto"/>
          <w:szCs w:val="21"/>
        </w:rPr>
        <w:t>浓度为</w:t>
      </w:r>
      <w:r>
        <w:rPr>
          <w:color w:val="auto"/>
          <w:szCs w:val="21"/>
        </w:rPr>
        <w:t>初始浓度值；</w:t>
      </w:r>
    </w:p>
    <w:p>
      <w:pPr>
        <w:numPr>
          <w:ilvl w:val="0"/>
          <w:numId w:val="41"/>
        </w:numPr>
        <w:tabs>
          <w:tab w:val="clear" w:pos="0"/>
        </w:tabs>
        <w:spacing w:line="360" w:lineRule="auto"/>
        <w:ind w:firstLine="420" w:firstLineChars="200"/>
        <w:rPr>
          <w:color w:val="auto"/>
          <w:szCs w:val="21"/>
        </w:rPr>
      </w:pPr>
      <w:r>
        <w:rPr>
          <w:rFonts w:hint="eastAsia"/>
          <w:color w:val="auto"/>
          <w:szCs w:val="21"/>
        </w:rPr>
        <w:t>将</w:t>
      </w:r>
      <w:r>
        <w:rPr>
          <w:color w:val="auto"/>
          <w:szCs w:val="21"/>
        </w:rPr>
        <w:t>模拟脱硫烟气通入反应器经过样品床层</w:t>
      </w:r>
      <w:r>
        <w:rPr>
          <w:rFonts w:hint="eastAsia"/>
          <w:color w:val="auto"/>
          <w:szCs w:val="21"/>
        </w:rPr>
        <w:t>进行吸附，</w:t>
      </w:r>
      <w:r>
        <w:rPr>
          <w:color w:val="auto"/>
          <w:szCs w:val="21"/>
        </w:rPr>
        <w:t>吸附</w:t>
      </w:r>
      <w:r>
        <w:rPr>
          <w:rFonts w:hint="eastAsia"/>
          <w:color w:val="auto"/>
          <w:szCs w:val="21"/>
        </w:rPr>
        <w:t>时间应为</w:t>
      </w:r>
      <w:r>
        <w:rPr>
          <w:color w:val="auto"/>
          <w:szCs w:val="21"/>
        </w:rPr>
        <w:t>5 h</w:t>
      </w:r>
      <w:r>
        <w:rPr>
          <w:rFonts w:hint="eastAsia"/>
          <w:color w:val="auto"/>
          <w:szCs w:val="21"/>
        </w:rPr>
        <w:t>，且应记录每分钟</w:t>
      </w:r>
      <w:r>
        <w:rPr>
          <w:color w:val="auto"/>
          <w:szCs w:val="21"/>
        </w:rPr>
        <w:t>反应器出口</w:t>
      </w:r>
      <w:r>
        <w:rPr>
          <w:rFonts w:hint="eastAsia"/>
          <w:color w:val="auto"/>
          <w:szCs w:val="21"/>
        </w:rPr>
        <w:t>净</w:t>
      </w:r>
      <w:r>
        <w:rPr>
          <w:color w:val="auto"/>
          <w:szCs w:val="21"/>
        </w:rPr>
        <w:t>烟气</w:t>
      </w:r>
      <w:r>
        <w:rPr>
          <w:rFonts w:hint="eastAsia"/>
          <w:color w:val="auto"/>
          <w:szCs w:val="21"/>
        </w:rPr>
        <w:t>中的</w:t>
      </w:r>
      <w:r>
        <w:rPr>
          <w:color w:val="auto"/>
          <w:szCs w:val="21"/>
        </w:rPr>
        <w:t>二氧化硫</w:t>
      </w:r>
      <w:r>
        <w:rPr>
          <w:color w:val="auto"/>
        </w:rPr>
        <w:t>浓度</w:t>
      </w:r>
      <w:r>
        <w:rPr>
          <w:color w:val="auto"/>
          <w:szCs w:val="21"/>
        </w:rPr>
        <w:t>值</w:t>
      </w:r>
      <w:r>
        <w:rPr>
          <w:rFonts w:hint="eastAsia"/>
          <w:color w:val="auto"/>
          <w:szCs w:val="21"/>
        </w:rPr>
        <w:t>，然后</w:t>
      </w:r>
      <w:r>
        <w:rPr>
          <w:color w:val="auto"/>
          <w:szCs w:val="21"/>
        </w:rPr>
        <w:t>通入解析载气</w:t>
      </w:r>
      <w:r>
        <w:rPr>
          <w:rFonts w:hint="eastAsia"/>
          <w:color w:val="auto"/>
          <w:szCs w:val="21"/>
        </w:rPr>
        <w:t>进行</w:t>
      </w:r>
      <w:r>
        <w:rPr>
          <w:color w:val="auto"/>
          <w:szCs w:val="21"/>
        </w:rPr>
        <w:t>解析</w:t>
      </w:r>
      <w:r>
        <w:rPr>
          <w:rFonts w:hint="eastAsia"/>
          <w:color w:val="auto"/>
          <w:szCs w:val="21"/>
        </w:rPr>
        <w:t>，解析时间应为3</w:t>
      </w:r>
      <w:r>
        <w:rPr>
          <w:color w:val="auto"/>
          <w:szCs w:val="21"/>
        </w:rPr>
        <w:t xml:space="preserve"> h；</w:t>
      </w:r>
    </w:p>
    <w:p>
      <w:pPr>
        <w:numPr>
          <w:ilvl w:val="0"/>
          <w:numId w:val="41"/>
        </w:numPr>
        <w:tabs>
          <w:tab w:val="clear" w:pos="0"/>
        </w:tabs>
        <w:spacing w:line="360" w:lineRule="auto"/>
        <w:ind w:firstLine="420" w:firstLineChars="200"/>
        <w:rPr>
          <w:color w:val="auto"/>
          <w:szCs w:val="21"/>
        </w:rPr>
      </w:pPr>
      <w:r>
        <w:rPr>
          <w:rFonts w:hint="eastAsia"/>
          <w:color w:val="auto"/>
          <w:szCs w:val="21"/>
        </w:rPr>
        <w:t>应</w:t>
      </w:r>
      <w:r>
        <w:rPr>
          <w:color w:val="auto"/>
          <w:szCs w:val="21"/>
        </w:rPr>
        <w:t>重复</w:t>
      </w:r>
      <w:r>
        <w:rPr>
          <w:rFonts w:hint="eastAsia"/>
          <w:color w:val="auto"/>
          <w:szCs w:val="21"/>
          <w:lang w:eastAsia="zh-CN"/>
        </w:rPr>
        <w:t>本条第</w:t>
      </w:r>
      <w:r>
        <w:rPr>
          <w:rFonts w:hint="eastAsia"/>
          <w:color w:val="auto"/>
          <w:szCs w:val="21"/>
          <w:highlight w:val="none"/>
          <w:lang w:val="en-US" w:eastAsia="zh-CN"/>
        </w:rPr>
        <w:t>6</w:t>
      </w:r>
      <w:r>
        <w:rPr>
          <w:color w:val="auto"/>
          <w:szCs w:val="21"/>
          <w:highlight w:val="none"/>
        </w:rPr>
        <w:t>~</w:t>
      </w:r>
      <w:r>
        <w:rPr>
          <w:rFonts w:hint="eastAsia"/>
          <w:color w:val="auto"/>
          <w:szCs w:val="21"/>
          <w:highlight w:val="none"/>
          <w:lang w:val="en-US" w:eastAsia="zh-CN"/>
        </w:rPr>
        <w:t>9款规定步骤</w:t>
      </w:r>
      <w:r>
        <w:rPr>
          <w:color w:val="auto"/>
          <w:szCs w:val="21"/>
        </w:rPr>
        <w:t>共10次；</w:t>
      </w:r>
    </w:p>
    <w:p>
      <w:pPr>
        <w:numPr>
          <w:ilvl w:val="0"/>
          <w:numId w:val="41"/>
        </w:numPr>
        <w:spacing w:line="360" w:lineRule="auto"/>
        <w:ind w:firstLine="420" w:firstLineChars="200"/>
        <w:rPr>
          <w:color w:val="auto"/>
          <w:szCs w:val="21"/>
        </w:rPr>
      </w:pPr>
      <w:r>
        <w:rPr>
          <w:rFonts w:hint="eastAsia"/>
          <w:color w:val="auto"/>
          <w:szCs w:val="21"/>
          <w:lang w:eastAsia="zh-CN"/>
        </w:rPr>
        <w:t>最后一次</w:t>
      </w:r>
      <w:r>
        <w:rPr>
          <w:rFonts w:hint="eastAsia"/>
          <w:color w:val="auto"/>
          <w:szCs w:val="21"/>
        </w:rPr>
        <w:t>解析完成后，应</w:t>
      </w:r>
      <w:r>
        <w:rPr>
          <w:color w:val="auto"/>
          <w:szCs w:val="21"/>
        </w:rPr>
        <w:t>关闭氧气、去离子水、二氧化硫</w:t>
      </w:r>
      <w:r>
        <w:rPr>
          <w:rFonts w:hint="eastAsia"/>
          <w:color w:val="auto"/>
          <w:szCs w:val="21"/>
        </w:rPr>
        <w:t>并</w:t>
      </w:r>
      <w:r>
        <w:rPr>
          <w:color w:val="auto"/>
          <w:szCs w:val="21"/>
        </w:rPr>
        <w:t>继续通入氮气吹扫测试系统</w:t>
      </w:r>
      <w:r>
        <w:rPr>
          <w:rFonts w:hint="eastAsia"/>
          <w:color w:val="auto"/>
          <w:szCs w:val="21"/>
        </w:rPr>
        <w:t>，吹扫时间不应少于</w:t>
      </w:r>
      <w:r>
        <w:rPr>
          <w:color w:val="auto"/>
          <w:szCs w:val="21"/>
        </w:rPr>
        <w:t>30 min。</w:t>
      </w:r>
    </w:p>
    <w:p>
      <w:pPr>
        <w:numPr>
          <w:ilvl w:val="0"/>
          <w:numId w:val="40"/>
        </w:numPr>
        <w:spacing w:line="360" w:lineRule="auto"/>
        <w:rPr>
          <w:color w:val="auto"/>
          <w:szCs w:val="21"/>
        </w:rPr>
      </w:pPr>
      <w:bookmarkStart w:id="126" w:name="_Toc24161"/>
      <w:r>
        <w:rPr>
          <w:color w:val="auto"/>
          <w:szCs w:val="21"/>
        </w:rPr>
        <w:t>循环脱硫脱硝性能</w:t>
      </w:r>
      <w:r>
        <w:rPr>
          <w:rFonts w:hint="eastAsia"/>
          <w:color w:val="auto"/>
          <w:szCs w:val="21"/>
        </w:rPr>
        <w:t>的</w:t>
      </w:r>
      <w:r>
        <w:rPr>
          <w:color w:val="auto"/>
          <w:szCs w:val="21"/>
        </w:rPr>
        <w:t>脱硝率</w:t>
      </w:r>
      <w:r>
        <w:rPr>
          <w:rFonts w:hint="eastAsia"/>
          <w:color w:val="auto"/>
          <w:szCs w:val="21"/>
        </w:rPr>
        <w:t>应</w:t>
      </w:r>
      <w:r>
        <w:rPr>
          <w:rFonts w:hint="eastAsia"/>
          <w:color w:val="auto"/>
          <w:szCs w:val="21"/>
        </w:rPr>
        <w:t>根据本标准第6.13.3条所测</w:t>
      </w:r>
      <w:r>
        <w:rPr>
          <w:color w:val="auto"/>
          <w:szCs w:val="21"/>
        </w:rPr>
        <w:t>模拟脱硝烟气一氧化氮初始</w:t>
      </w:r>
      <w:r>
        <w:rPr>
          <w:rFonts w:hint="eastAsia"/>
          <w:color w:val="auto"/>
          <w:szCs w:val="21"/>
          <w:highlight w:val="none"/>
          <w:lang w:eastAsia="zh-CN"/>
        </w:rPr>
        <w:t>浓度</w:t>
      </w:r>
      <w:r>
        <w:rPr>
          <w:color w:val="auto"/>
          <w:szCs w:val="21"/>
        </w:rPr>
        <w:t>值</w:t>
      </w:r>
      <w:r>
        <w:rPr>
          <w:rFonts w:hint="eastAsia"/>
          <w:color w:val="auto"/>
          <w:szCs w:val="21"/>
        </w:rPr>
        <w:t>、</w:t>
      </w:r>
      <w:r>
        <w:rPr>
          <w:color w:val="auto"/>
          <w:szCs w:val="21"/>
        </w:rPr>
        <w:t>脱硝反应末期5h内净烟气中一氧化氮</w:t>
      </w:r>
      <w:r>
        <w:rPr>
          <w:rFonts w:hint="eastAsia"/>
          <w:color w:val="auto"/>
          <w:szCs w:val="21"/>
          <w:highlight w:val="none"/>
          <w:lang w:eastAsia="zh-CN"/>
        </w:rPr>
        <w:t>浓度</w:t>
      </w:r>
      <w:r>
        <w:rPr>
          <w:color w:val="auto"/>
          <w:szCs w:val="21"/>
        </w:rPr>
        <w:t>平均值</w:t>
      </w:r>
      <w:r>
        <w:rPr>
          <w:color w:val="auto"/>
          <w:szCs w:val="21"/>
        </w:rPr>
        <w:t>按下式进行计算：</w:t>
      </w:r>
    </w:p>
    <w:bookmarkEnd w:id="126"/>
    <w:p>
      <w:pPr>
        <w:spacing w:line="360" w:lineRule="auto"/>
        <w:jc w:val="right"/>
        <w:rPr>
          <w:color w:val="auto"/>
          <w:position w:val="-30"/>
          <w:szCs w:val="21"/>
        </w:rPr>
      </w:pPr>
      <w:r>
        <w:rPr>
          <w:color w:val="auto"/>
          <w:position w:val="-30"/>
          <w:szCs w:val="21"/>
        </w:rPr>
        <w:object>
          <v:shape id="_x0000_i1093" o:spt="75" type="#_x0000_t75" style="height:36.3pt;width:108.95pt;" o:ole="t" filled="f" o:preferrelative="t" stroked="f" coordsize="21600,21600">
            <v:path/>
            <v:fill on="f" focussize="0,0"/>
            <v:stroke on="f" joinstyle="miter"/>
            <v:imagedata r:id="rId160" o:title=""/>
            <o:lock v:ext="edit" aspectratio="t"/>
            <w10:wrap type="none"/>
            <w10:anchorlock/>
          </v:shape>
          <o:OLEObject Type="Embed" ProgID="Equations" ShapeID="_x0000_i1093" DrawAspect="Content" ObjectID="_1468075793" r:id="rId159">
            <o:LockedField>false</o:LockedField>
          </o:OLEObject>
        </w:object>
      </w:r>
      <w:r>
        <w:rPr>
          <w:color w:val="auto"/>
        </w:rPr>
        <w:t>……………………………………………（6.13.7）</w:t>
      </w:r>
    </w:p>
    <w:p>
      <w:pPr>
        <w:tabs>
          <w:tab w:val="left" w:pos="0"/>
        </w:tabs>
        <w:spacing w:line="360" w:lineRule="auto"/>
        <w:rPr>
          <w:color w:val="auto"/>
          <w:szCs w:val="21"/>
        </w:rPr>
      </w:pPr>
      <w:r>
        <w:rPr>
          <w:color w:val="auto"/>
          <w:szCs w:val="21"/>
        </w:rPr>
        <w:t>式中：</w:t>
      </w:r>
      <w:r>
        <w:rPr>
          <w:color w:val="auto"/>
          <w:position w:val="-20"/>
          <w:szCs w:val="21"/>
        </w:rPr>
        <w:object>
          <v:shape id="_x0000_i1094" o:spt="75" type="#_x0000_t75" style="height:21.3pt;width:17.55pt;" o:ole="t" filled="f" o:preferrelative="t" stroked="f" coordsize="21600,21600">
            <v:path/>
            <v:fill on="f" focussize="0,0"/>
            <v:stroke on="f" joinstyle="miter"/>
            <v:imagedata r:id="rId162" o:title=""/>
            <o:lock v:ext="edit" aspectratio="t"/>
            <w10:wrap type="none"/>
            <w10:anchorlock/>
          </v:shape>
          <o:OLEObject Type="Embed" ProgID="Equations" ShapeID="_x0000_i1094" DrawAspect="Content" ObjectID="_1468075794" r:id="rId161">
            <o:LockedField>false</o:LockedField>
          </o:OLEObject>
        </w:object>
      </w:r>
      <w:r>
        <w:rPr>
          <w:color w:val="auto"/>
          <w:szCs w:val="21"/>
        </w:rPr>
        <w:t>——</w:t>
      </w:r>
      <w:r>
        <w:rPr>
          <w:color w:val="auto"/>
        </w:rPr>
        <w:t>第</w:t>
      </w:r>
      <w:r>
        <w:rPr>
          <w:color w:val="auto"/>
          <w:position w:val="-6"/>
          <w:szCs w:val="21"/>
        </w:rPr>
        <w:object>
          <v:shape id="_x0000_i1095" o:spt="75" type="#_x0000_t75" style="height:13.15pt;width:10pt;" o:ole="t" filled="f" o:preferrelative="t" stroked="f" coordsize="21600,21600">
            <v:path/>
            <v:fill on="f" focussize="0,0"/>
            <v:stroke on="f" joinstyle="miter"/>
            <v:imagedata r:id="rId164" o:title=""/>
            <o:lock v:ext="edit" aspectratio="t"/>
            <w10:wrap type="none"/>
            <w10:anchorlock/>
          </v:shape>
          <o:OLEObject Type="Embed" ProgID="Equations" ShapeID="_x0000_i1095" DrawAspect="Content" ObjectID="_1468075795" r:id="rId163">
            <o:LockedField>false</o:LockedField>
          </o:OLEObject>
        </w:object>
      </w:r>
      <w:r>
        <w:rPr>
          <w:color w:val="auto"/>
        </w:rPr>
        <w:t>次</w:t>
      </w:r>
      <w:r>
        <w:rPr>
          <w:color w:val="auto"/>
          <w:szCs w:val="21"/>
        </w:rPr>
        <w:t>脱硝率（%）</w:t>
      </w:r>
      <w:r>
        <w:rPr>
          <w:color w:val="auto"/>
        </w:rPr>
        <w:t>，</w:t>
      </w:r>
      <w:r>
        <w:rPr>
          <w:color w:val="auto"/>
          <w:position w:val="-6"/>
          <w:szCs w:val="21"/>
        </w:rPr>
        <w:object>
          <v:shape id="_x0000_i1096" o:spt="75" type="#_x0000_t75" style="height:13.15pt;width:10pt;" o:ole="t" filled="f" o:preferrelative="t" stroked="f" coordsize="21600,21600">
            <v:path/>
            <v:fill on="f" focussize="0,0"/>
            <v:stroke on="f" joinstyle="miter"/>
            <v:imagedata r:id="rId164" o:title=""/>
            <o:lock v:ext="edit" aspectratio="t"/>
            <w10:wrap type="none"/>
            <w10:anchorlock/>
          </v:shape>
          <o:OLEObject Type="Embed" ProgID="Equations" ShapeID="_x0000_i1096" DrawAspect="Content" ObjectID="_1468075796" r:id="rId165">
            <o:LockedField>false</o:LockedField>
          </o:OLEObject>
        </w:object>
      </w:r>
      <w:r>
        <w:rPr>
          <w:color w:val="auto"/>
        </w:rPr>
        <w:t>=1、2、3、······、10；</w:t>
      </w:r>
    </w:p>
    <w:p>
      <w:pPr>
        <w:tabs>
          <w:tab w:val="left" w:pos="0"/>
        </w:tabs>
        <w:spacing w:line="360" w:lineRule="auto"/>
        <w:ind w:firstLine="420" w:firstLineChars="200"/>
        <w:rPr>
          <w:color w:val="auto"/>
          <w:szCs w:val="21"/>
        </w:rPr>
      </w:pPr>
      <w:r>
        <w:rPr>
          <w:color w:val="auto"/>
          <w:position w:val="-18"/>
          <w:szCs w:val="21"/>
        </w:rPr>
        <w:object>
          <v:shape id="_x0000_i1097" o:spt="75" type="#_x0000_t75" style="height:22.55pt;width:24.4pt;" o:ole="t" filled="f" o:preferrelative="t" stroked="f" coordsize="21600,21600">
            <v:path/>
            <v:fill on="f" focussize="0,0"/>
            <v:stroke on="f" joinstyle="miter"/>
            <v:imagedata r:id="rId167" o:title=""/>
            <o:lock v:ext="edit" aspectratio="t"/>
            <w10:wrap type="none"/>
            <w10:anchorlock/>
          </v:shape>
          <o:OLEObject Type="Embed" ProgID="Equations" ShapeID="_x0000_i1097" DrawAspect="Content" ObjectID="_1468075797" r:id="rId166">
            <o:LockedField>false</o:LockedField>
          </o:OLEObject>
        </w:object>
      </w:r>
      <w:r>
        <w:rPr>
          <w:color w:val="auto"/>
          <w:szCs w:val="21"/>
        </w:rPr>
        <w:t>——</w:t>
      </w:r>
      <w:r>
        <w:rPr>
          <w:color w:val="auto"/>
        </w:rPr>
        <w:t>第</w:t>
      </w:r>
      <w:r>
        <w:rPr>
          <w:color w:val="auto"/>
          <w:position w:val="-6"/>
          <w:szCs w:val="21"/>
        </w:rPr>
        <w:object>
          <v:shape id="_x0000_i1098" o:spt="75" type="#_x0000_t75" style="height:13.15pt;width:10pt;" o:ole="t" filled="f" o:preferrelative="t" stroked="f" coordsize="21600,21600">
            <v:path/>
            <v:fill on="f" focussize="0,0"/>
            <v:stroke on="f" joinstyle="miter"/>
            <v:imagedata r:id="rId164" o:title=""/>
            <o:lock v:ext="edit" aspectratio="t"/>
            <w10:wrap type="none"/>
            <w10:anchorlock/>
          </v:shape>
          <o:OLEObject Type="Embed" ProgID="Equations" ShapeID="_x0000_i1098" DrawAspect="Content" ObjectID="_1468075798" r:id="rId168">
            <o:LockedField>false</o:LockedField>
          </o:OLEObject>
        </w:object>
      </w:r>
      <w:r>
        <w:rPr>
          <w:color w:val="auto"/>
        </w:rPr>
        <w:t>次</w:t>
      </w:r>
      <w:r>
        <w:rPr>
          <w:color w:val="auto"/>
          <w:szCs w:val="21"/>
        </w:rPr>
        <w:t>脱硝模拟脱硝烟气一氧化氮初始值（ppm）；</w:t>
      </w:r>
    </w:p>
    <w:p>
      <w:pPr>
        <w:tabs>
          <w:tab w:val="left" w:pos="0"/>
        </w:tabs>
        <w:spacing w:line="360" w:lineRule="auto"/>
        <w:ind w:firstLine="630" w:firstLineChars="300"/>
        <w:rPr>
          <w:color w:val="auto"/>
          <w:szCs w:val="21"/>
        </w:rPr>
      </w:pPr>
      <w:r>
        <w:rPr>
          <w:color w:val="auto"/>
          <w:position w:val="-20"/>
          <w:szCs w:val="21"/>
        </w:rPr>
        <w:object>
          <v:shape id="_x0000_i1099" o:spt="75" type="#_x0000_t75" style="height:21.3pt;width:17.55pt;" o:ole="t" filled="f" o:preferrelative="t" stroked="f" coordsize="21600,21600">
            <v:path/>
            <v:fill on="f" focussize="0,0"/>
            <v:stroke on="f" joinstyle="miter"/>
            <v:imagedata r:id="rId170" o:title=""/>
            <o:lock v:ext="edit" aspectratio="t"/>
            <w10:wrap type="none"/>
            <w10:anchorlock/>
          </v:shape>
          <o:OLEObject Type="Embed" ProgID="Equations" ShapeID="_x0000_i1099" DrawAspect="Content" ObjectID="_1468075799" r:id="rId169">
            <o:LockedField>false</o:LockedField>
          </o:OLEObject>
        </w:object>
      </w:r>
      <w:r>
        <w:rPr>
          <w:color w:val="auto"/>
          <w:szCs w:val="21"/>
        </w:rPr>
        <w:t>——</w:t>
      </w:r>
      <w:r>
        <w:rPr>
          <w:color w:val="auto"/>
        </w:rPr>
        <w:t>第</w:t>
      </w:r>
      <w:r>
        <w:rPr>
          <w:color w:val="auto"/>
          <w:position w:val="-6"/>
          <w:szCs w:val="21"/>
        </w:rPr>
        <w:object>
          <v:shape id="_x0000_i1100" o:spt="75" type="#_x0000_t75" style="height:13.15pt;width:10pt;" o:ole="t" filled="f" o:preferrelative="t" stroked="f" coordsize="21600,21600">
            <v:path/>
            <v:fill on="f" focussize="0,0"/>
            <v:stroke on="f" joinstyle="miter"/>
            <v:imagedata r:id="rId164" o:title=""/>
            <o:lock v:ext="edit" aspectratio="t"/>
            <w10:wrap type="none"/>
            <w10:anchorlock/>
          </v:shape>
          <o:OLEObject Type="Embed" ProgID="Equations" ShapeID="_x0000_i1100" DrawAspect="Content" ObjectID="_1468075800" r:id="rId171">
            <o:LockedField>false</o:LockedField>
          </o:OLEObject>
        </w:object>
      </w:r>
      <w:r>
        <w:rPr>
          <w:color w:val="auto"/>
        </w:rPr>
        <w:t>次</w:t>
      </w:r>
      <w:r>
        <w:rPr>
          <w:color w:val="auto"/>
          <w:szCs w:val="21"/>
        </w:rPr>
        <w:t>脱硝反应末期5h内净烟气中一氧化氮平均值（ppm）。</w:t>
      </w:r>
    </w:p>
    <w:p>
      <w:pPr>
        <w:numPr>
          <w:ilvl w:val="0"/>
          <w:numId w:val="40"/>
        </w:numPr>
        <w:spacing w:line="360" w:lineRule="auto"/>
        <w:rPr>
          <w:color w:val="auto"/>
          <w:szCs w:val="21"/>
        </w:rPr>
      </w:pPr>
      <w:r>
        <w:rPr>
          <w:color w:val="auto"/>
          <w:szCs w:val="21"/>
        </w:rPr>
        <w:t>循环脱硫脱硝性能</w:t>
      </w:r>
      <w:r>
        <w:rPr>
          <w:rFonts w:hint="eastAsia"/>
          <w:color w:val="auto"/>
          <w:szCs w:val="21"/>
        </w:rPr>
        <w:t>的</w:t>
      </w:r>
      <w:r>
        <w:rPr>
          <w:color w:val="auto"/>
          <w:szCs w:val="21"/>
        </w:rPr>
        <w:t>SO</w:t>
      </w:r>
      <w:r>
        <w:rPr>
          <w:color w:val="auto"/>
          <w:szCs w:val="21"/>
          <w:vertAlign w:val="subscript"/>
        </w:rPr>
        <w:t>2</w:t>
      </w:r>
      <w:r>
        <w:rPr>
          <w:color w:val="auto"/>
          <w:szCs w:val="21"/>
        </w:rPr>
        <w:t>吸附值应按</w:t>
      </w:r>
      <w:r>
        <w:rPr>
          <w:rFonts w:hint="eastAsia"/>
          <w:color w:val="auto"/>
          <w:szCs w:val="21"/>
        </w:rPr>
        <w:t>本标准公</w:t>
      </w:r>
      <w:r>
        <w:rPr>
          <w:color w:val="auto"/>
          <w:szCs w:val="21"/>
        </w:rPr>
        <w:t>式</w:t>
      </w:r>
      <w:r>
        <w:rPr>
          <w:rFonts w:hint="eastAsia"/>
          <w:color w:val="auto"/>
          <w:szCs w:val="21"/>
        </w:rPr>
        <w:t>（</w:t>
      </w:r>
      <w:r>
        <w:rPr>
          <w:color w:val="auto"/>
          <w:szCs w:val="21"/>
        </w:rPr>
        <w:t>6.11.5</w:t>
      </w:r>
      <w:r>
        <w:rPr>
          <w:rFonts w:hint="eastAsia"/>
          <w:color w:val="auto"/>
          <w:szCs w:val="21"/>
        </w:rPr>
        <w:t>）</w:t>
      </w:r>
      <w:r>
        <w:rPr>
          <w:color w:val="auto"/>
          <w:szCs w:val="21"/>
        </w:rPr>
        <w:t>计算。</w:t>
      </w:r>
    </w:p>
    <w:p>
      <w:pPr>
        <w:numPr>
          <w:ilvl w:val="0"/>
          <w:numId w:val="40"/>
        </w:numPr>
        <w:spacing w:line="360" w:lineRule="auto"/>
        <w:rPr>
          <w:color w:val="auto"/>
        </w:rPr>
      </w:pPr>
      <w:r>
        <w:rPr>
          <w:color w:val="auto"/>
          <w:szCs w:val="21"/>
        </w:rPr>
        <w:t>单次脱硝率、SO</w:t>
      </w:r>
      <w:r>
        <w:rPr>
          <w:color w:val="auto"/>
          <w:szCs w:val="21"/>
          <w:vertAlign w:val="subscript"/>
        </w:rPr>
        <w:t>2</w:t>
      </w:r>
      <w:r>
        <w:rPr>
          <w:color w:val="auto"/>
          <w:szCs w:val="21"/>
        </w:rPr>
        <w:t>吸附值</w:t>
      </w:r>
      <w:r>
        <w:rPr>
          <w:rFonts w:hint="eastAsia"/>
          <w:color w:val="auto"/>
          <w:szCs w:val="21"/>
        </w:rPr>
        <w:t>应</w:t>
      </w:r>
      <w:r>
        <w:rPr>
          <w:color w:val="auto"/>
          <w:szCs w:val="21"/>
        </w:rPr>
        <w:t>以两份样品两次测试结果平均值表示，循环脱硫脱硝性能</w:t>
      </w:r>
      <w:r>
        <w:rPr>
          <w:rFonts w:hint="eastAsia"/>
          <w:color w:val="auto"/>
          <w:szCs w:val="21"/>
        </w:rPr>
        <w:t>应</w:t>
      </w:r>
      <w:r>
        <w:rPr>
          <w:color w:val="auto"/>
          <w:szCs w:val="21"/>
        </w:rPr>
        <w:t>以</w:t>
      </w:r>
      <w:r>
        <w:rPr>
          <w:rFonts w:hint="eastAsia"/>
          <w:color w:val="auto"/>
          <w:szCs w:val="21"/>
        </w:rPr>
        <w:t>10</w:t>
      </w:r>
      <w:r>
        <w:rPr>
          <w:color w:val="auto"/>
          <w:szCs w:val="21"/>
        </w:rPr>
        <w:t>次脱硝率、</w:t>
      </w:r>
      <w:r>
        <w:rPr>
          <w:rFonts w:hint="eastAsia"/>
          <w:color w:val="auto"/>
          <w:szCs w:val="21"/>
        </w:rPr>
        <w:t>10</w:t>
      </w:r>
      <w:r>
        <w:rPr>
          <w:color w:val="auto"/>
          <w:szCs w:val="21"/>
        </w:rPr>
        <w:t>次SO</w:t>
      </w:r>
      <w:r>
        <w:rPr>
          <w:color w:val="auto"/>
          <w:szCs w:val="21"/>
          <w:vertAlign w:val="subscript"/>
        </w:rPr>
        <w:t>2</w:t>
      </w:r>
      <w:r>
        <w:rPr>
          <w:color w:val="auto"/>
          <w:szCs w:val="21"/>
        </w:rPr>
        <w:t>吸附值且按顺序组成的一列数据表示，即</w:t>
      </w:r>
      <w:r>
        <w:rPr>
          <w:color w:val="auto"/>
          <w:position w:val="-10"/>
          <w:szCs w:val="21"/>
        </w:rPr>
        <w:object>
          <v:shape id="_x0000_i1101" o:spt="75" type="#_x0000_t75" style="height:16.9pt;width:14.4pt;" o:ole="t" filled="f" o:preferrelative="t" stroked="f" coordsize="21600,21600">
            <v:path/>
            <v:fill on="f" focussize="0,0"/>
            <v:stroke on="f" joinstyle="miter"/>
            <v:imagedata r:id="rId173" o:title=""/>
            <o:lock v:ext="edit" aspectratio="t"/>
            <w10:wrap type="none"/>
            <w10:anchorlock/>
          </v:shape>
          <o:OLEObject Type="Embed" ProgID="Equations" ShapeID="_x0000_i1101" DrawAspect="Content" ObjectID="_1468075801" r:id="rId172">
            <o:LockedField>false</o:LockedField>
          </o:OLEObject>
        </w:object>
      </w:r>
      <w:r>
        <w:rPr>
          <w:color w:val="auto"/>
          <w:szCs w:val="21"/>
        </w:rPr>
        <w:t>、</w:t>
      </w:r>
      <w:r>
        <w:rPr>
          <w:color w:val="auto"/>
          <w:position w:val="-10"/>
          <w:szCs w:val="21"/>
        </w:rPr>
        <w:object>
          <v:shape id="_x0000_i1102" o:spt="75" type="#_x0000_t75" style="height:16.9pt;width:13.75pt;" o:ole="t" filled="f" o:preferrelative="t" stroked="f" coordsize="21600,21600">
            <v:path/>
            <v:fill on="f" focussize="0,0"/>
            <v:stroke on="f" joinstyle="miter"/>
            <v:imagedata r:id="rId175" o:title=""/>
            <o:lock v:ext="edit" aspectratio="t"/>
            <w10:wrap type="none"/>
            <w10:anchorlock/>
          </v:shape>
          <o:OLEObject Type="Embed" ProgID="Equations" ShapeID="_x0000_i1102" DrawAspect="Content" ObjectID="_1468075802" r:id="rId174">
            <o:LockedField>false</o:LockedField>
          </o:OLEObject>
        </w:object>
      </w:r>
      <w:r>
        <w:rPr>
          <w:color w:val="auto"/>
          <w:position w:val="-10"/>
          <w:szCs w:val="21"/>
        </w:rPr>
        <w:t>、</w:t>
      </w:r>
      <w:r>
        <w:rPr>
          <w:color w:val="auto"/>
          <w:position w:val="-10"/>
          <w:szCs w:val="21"/>
        </w:rPr>
        <w:object>
          <v:shape id="_x0000_i1103" o:spt="75" type="#_x0000_t75" style="height:16.9pt;width:15.05pt;" o:ole="t" filled="f" o:preferrelative="t" stroked="f" coordsize="21600,21600">
            <v:path/>
            <v:fill on="f" focussize="0,0"/>
            <v:stroke on="f" joinstyle="miter"/>
            <v:imagedata r:id="rId177" o:title=""/>
            <o:lock v:ext="edit" aspectratio="t"/>
            <w10:wrap type="none"/>
            <w10:anchorlock/>
          </v:shape>
          <o:OLEObject Type="Embed" ProgID="Equations" ShapeID="_x0000_i1103" DrawAspect="Content" ObjectID="_1468075803" r:id="rId176">
            <o:LockedField>false</o:LockedField>
          </o:OLEObject>
        </w:object>
      </w:r>
      <w:r>
        <w:rPr>
          <w:color w:val="auto"/>
          <w:szCs w:val="21"/>
        </w:rPr>
        <w:t>、</w:t>
      </w:r>
      <w:r>
        <w:rPr>
          <w:color w:val="auto"/>
          <w:position w:val="-10"/>
          <w:szCs w:val="21"/>
        </w:rPr>
        <w:object>
          <v:shape id="_x0000_i1104" o:spt="75" type="#_x0000_t75" style="height:16.9pt;width:14.4pt;" o:ole="t" filled="f" o:preferrelative="t" stroked="f" coordsize="21600,21600">
            <v:path/>
            <v:fill on="f" focussize="0,0"/>
            <v:stroke on="f" joinstyle="miter"/>
            <v:imagedata r:id="rId179" o:title=""/>
            <o:lock v:ext="edit" aspectratio="t"/>
            <w10:wrap type="none"/>
            <w10:anchorlock/>
          </v:shape>
          <o:OLEObject Type="Embed" ProgID="Equations" ShapeID="_x0000_i1104" DrawAspect="Content" ObjectID="_1468075804" r:id="rId178">
            <o:LockedField>false</o:LockedField>
          </o:OLEObject>
        </w:object>
      </w:r>
      <w:r>
        <w:rPr>
          <w:color w:val="auto"/>
          <w:position w:val="-10"/>
          <w:szCs w:val="21"/>
        </w:rPr>
        <w:t>、</w:t>
      </w:r>
      <w:r>
        <w:rPr>
          <w:color w:val="auto"/>
          <w:position w:val="-12"/>
          <w:szCs w:val="21"/>
        </w:rPr>
        <w:object>
          <v:shape id="_x0000_i1105" o:spt="75" type="#_x0000_t75" style="height:18.15pt;width:15.05pt;" o:ole="t" filled="f" o:preferrelative="t" stroked="f" coordsize="21600,21600">
            <v:path/>
            <v:fill on="f" focussize="0,0"/>
            <v:stroke on="f" joinstyle="miter"/>
            <v:imagedata r:id="rId181" o:title=""/>
            <o:lock v:ext="edit" aspectratio="t"/>
            <w10:wrap type="none"/>
            <w10:anchorlock/>
          </v:shape>
          <o:OLEObject Type="Embed" ProgID="Equations" ShapeID="_x0000_i1105" DrawAspect="Content" ObjectID="_1468075805" r:id="rId180">
            <o:LockedField>false</o:LockedField>
          </o:OLEObject>
        </w:object>
      </w:r>
      <w:r>
        <w:rPr>
          <w:color w:val="auto"/>
          <w:szCs w:val="21"/>
        </w:rPr>
        <w:t>、</w:t>
      </w:r>
      <w:r>
        <w:rPr>
          <w:color w:val="auto"/>
          <w:position w:val="-12"/>
          <w:szCs w:val="21"/>
        </w:rPr>
        <w:object>
          <v:shape id="_x0000_i1106" o:spt="75" type="#_x0000_t75" style="height:18.15pt;width:13.75pt;" o:ole="t" filled="f" o:preferrelative="t" stroked="f" coordsize="21600,21600">
            <v:path/>
            <v:fill on="f" focussize="0,0"/>
            <v:stroke on="f" joinstyle="miter"/>
            <v:imagedata r:id="rId183" o:title=""/>
            <o:lock v:ext="edit" aspectratio="t"/>
            <w10:wrap type="none"/>
            <w10:anchorlock/>
          </v:shape>
          <o:OLEObject Type="Embed" ProgID="Equations" ShapeID="_x0000_i1106" DrawAspect="Content" ObjectID="_1468075806" r:id="rId182">
            <o:LockedField>false</o:LockedField>
          </o:OLEObject>
        </w:object>
      </w:r>
      <w:r>
        <w:rPr>
          <w:color w:val="auto"/>
          <w:position w:val="-10"/>
          <w:szCs w:val="21"/>
        </w:rPr>
        <w:t>、</w:t>
      </w:r>
      <w:r>
        <w:rPr>
          <w:color w:val="auto"/>
        </w:rPr>
        <w:t>·····、</w:t>
      </w:r>
      <w:r>
        <w:rPr>
          <w:color w:val="auto"/>
          <w:position w:val="-12"/>
          <w:szCs w:val="21"/>
        </w:rPr>
        <w:object>
          <v:shape id="_x0000_i1107" o:spt="75" type="#_x0000_t75" style="height:18.15pt;width:18.15pt;" o:ole="t" filled="f" o:preferrelative="t" stroked="f" coordsize="21600,21600">
            <v:path/>
            <v:fill on="f" focussize="0,0"/>
            <v:stroke on="f" joinstyle="miter"/>
            <v:imagedata r:id="rId185" o:title=""/>
            <o:lock v:ext="edit" aspectratio="t"/>
            <w10:wrap type="none"/>
            <w10:anchorlock/>
          </v:shape>
          <o:OLEObject Type="Embed" ProgID="Equations" ShapeID="_x0000_i1107" DrawAspect="Content" ObjectID="_1468075807" r:id="rId184">
            <o:LockedField>false</o:LockedField>
          </o:OLEObject>
        </w:object>
      </w:r>
      <w:r>
        <w:rPr>
          <w:color w:val="auto"/>
          <w:position w:val="-10"/>
          <w:szCs w:val="21"/>
        </w:rPr>
        <w:t>、</w:t>
      </w:r>
      <w:r>
        <w:rPr>
          <w:color w:val="auto"/>
          <w:position w:val="-12"/>
          <w:szCs w:val="21"/>
        </w:rPr>
        <w:object>
          <v:shape id="_x0000_i1108" o:spt="75" type="#_x0000_t75" style="height:18.15pt;width:16.9pt;" o:ole="t" filled="f" o:preferrelative="t" stroked="f" coordsize="21600,21600">
            <v:path/>
            <v:fill on="f" focussize="0,0"/>
            <v:stroke on="f" joinstyle="miter"/>
            <v:imagedata r:id="rId187" o:title=""/>
            <o:lock v:ext="edit" aspectratio="t"/>
            <w10:wrap type="none"/>
            <w10:anchorlock/>
          </v:shape>
          <o:OLEObject Type="Embed" ProgID="Equations" ShapeID="_x0000_i1108" DrawAspect="Content" ObjectID="_1468075808" r:id="rId186">
            <o:LockedField>false</o:LockedField>
          </o:OLEObject>
        </w:object>
      </w:r>
      <w:r>
        <w:rPr>
          <w:color w:val="auto"/>
          <w:szCs w:val="21"/>
        </w:rPr>
        <w:t>，</w:t>
      </w:r>
      <w:r>
        <w:rPr>
          <w:rFonts w:hint="eastAsia"/>
          <w:color w:val="auto"/>
          <w:szCs w:val="21"/>
        </w:rPr>
        <w:t>脱硝率应</w:t>
      </w:r>
      <w:r>
        <w:rPr>
          <w:color w:val="auto"/>
          <w:szCs w:val="21"/>
        </w:rPr>
        <w:t>精确到0.01 %</w:t>
      </w:r>
      <w:r>
        <w:rPr>
          <w:rFonts w:hint="eastAsia"/>
          <w:color w:val="auto"/>
          <w:szCs w:val="21"/>
        </w:rPr>
        <w:t>，</w:t>
      </w:r>
      <w:r>
        <w:rPr>
          <w:color w:val="auto"/>
          <w:szCs w:val="21"/>
        </w:rPr>
        <w:t>SO</w:t>
      </w:r>
      <w:r>
        <w:rPr>
          <w:color w:val="auto"/>
          <w:szCs w:val="21"/>
          <w:vertAlign w:val="subscript"/>
        </w:rPr>
        <w:t>2</w:t>
      </w:r>
      <w:r>
        <w:rPr>
          <w:color w:val="auto"/>
          <w:szCs w:val="21"/>
        </w:rPr>
        <w:t>吸附值</w:t>
      </w:r>
      <w:r>
        <w:rPr>
          <w:rFonts w:hint="eastAsia"/>
          <w:color w:val="auto"/>
          <w:szCs w:val="21"/>
        </w:rPr>
        <w:t>应</w:t>
      </w:r>
      <w:r>
        <w:rPr>
          <w:color w:val="auto"/>
          <w:szCs w:val="21"/>
        </w:rPr>
        <w:t xml:space="preserve">精确到0.01 mg/g。 </w:t>
      </w:r>
    </w:p>
    <w:p>
      <w:pPr>
        <w:numPr>
          <w:ilvl w:val="0"/>
          <w:numId w:val="40"/>
        </w:numPr>
        <w:spacing w:line="360" w:lineRule="auto"/>
        <w:rPr>
          <w:color w:val="auto"/>
          <w:szCs w:val="21"/>
        </w:rPr>
      </w:pPr>
      <w:r>
        <w:rPr>
          <w:color w:val="auto"/>
          <w:szCs w:val="21"/>
        </w:rPr>
        <w:t>循环脱硫脱硝性能测试应做两份平行样品测试，两份样品10次脱硝率、10次SO</w:t>
      </w:r>
      <w:r>
        <w:rPr>
          <w:color w:val="auto"/>
          <w:szCs w:val="21"/>
          <w:vertAlign w:val="subscript"/>
        </w:rPr>
        <w:t>2</w:t>
      </w:r>
      <w:r>
        <w:rPr>
          <w:color w:val="auto"/>
          <w:szCs w:val="21"/>
        </w:rPr>
        <w:t>吸附值测试平均值相对偏差</w:t>
      </w:r>
      <w:r>
        <w:rPr>
          <w:rFonts w:hint="eastAsia"/>
          <w:color w:val="auto"/>
          <w:szCs w:val="21"/>
        </w:rPr>
        <w:t>不应大于</w:t>
      </w:r>
      <w:r>
        <w:rPr>
          <w:color w:val="auto"/>
          <w:szCs w:val="21"/>
        </w:rPr>
        <w:t>5 %。</w:t>
      </w:r>
    </w:p>
    <w:p>
      <w:pPr>
        <w:numPr>
          <w:ilvl w:val="0"/>
          <w:numId w:val="40"/>
        </w:numPr>
        <w:spacing w:line="360" w:lineRule="auto"/>
        <w:rPr>
          <w:color w:val="auto"/>
          <w:szCs w:val="21"/>
        </w:rPr>
        <w:sectPr>
          <w:footerReference r:id="rId16" w:type="default"/>
          <w:pgSz w:w="11906" w:h="16838"/>
          <w:pgMar w:top="1134" w:right="1134" w:bottom="1134" w:left="1134" w:header="851" w:footer="992" w:gutter="0"/>
          <w:cols w:space="0" w:num="1"/>
          <w:docGrid w:type="lines" w:linePitch="312" w:charSpace="0"/>
        </w:sectPr>
      </w:pPr>
      <w:r>
        <w:rPr>
          <w:color w:val="auto"/>
          <w:szCs w:val="21"/>
        </w:rPr>
        <w:t>循环脱硫脱硝性能测试报告应包括试样编号、测试标准、测试仪器和设备、测试项目、测试结果、测试人员及测试日期等内容。</w:t>
      </w:r>
    </w:p>
    <w:bookmarkEnd w:id="18"/>
    <w:bookmarkEnd w:id="19"/>
    <w:bookmarkEnd w:id="20"/>
    <w:bookmarkEnd w:id="21"/>
    <w:bookmarkEnd w:id="22"/>
    <w:bookmarkEnd w:id="23"/>
    <w:p>
      <w:pPr>
        <w:pStyle w:val="2"/>
        <w:spacing w:before="120" w:after="120" w:line="360" w:lineRule="auto"/>
        <w:jc w:val="center"/>
        <w:rPr>
          <w:color w:val="auto"/>
          <w:sz w:val="28"/>
          <w:szCs w:val="28"/>
        </w:rPr>
      </w:pPr>
      <w:bookmarkStart w:id="127" w:name="_Toc23329"/>
      <w:bookmarkStart w:id="128" w:name="_Toc16612"/>
      <w:bookmarkStart w:id="129" w:name="_Toc21173"/>
      <w:bookmarkStart w:id="130" w:name="_Toc9221"/>
      <w:bookmarkStart w:id="131" w:name="_Toc2094"/>
      <w:r>
        <w:rPr>
          <w:color w:val="auto"/>
          <w:sz w:val="28"/>
          <w:szCs w:val="28"/>
        </w:rPr>
        <w:t>本标准用词说明</w:t>
      </w:r>
      <w:bookmarkEnd w:id="127"/>
      <w:bookmarkEnd w:id="128"/>
      <w:bookmarkEnd w:id="129"/>
      <w:bookmarkEnd w:id="130"/>
      <w:bookmarkEnd w:id="131"/>
    </w:p>
    <w:p>
      <w:pPr>
        <w:spacing w:line="360" w:lineRule="auto"/>
        <w:rPr>
          <w:color w:val="auto"/>
          <w:szCs w:val="21"/>
        </w:rPr>
      </w:pPr>
      <w:r>
        <w:rPr>
          <w:color w:val="auto"/>
          <w:szCs w:val="21"/>
        </w:rPr>
        <w:t>1  为便于在执行本标准条文时区别对待，对要求严格程度不同的用词说明如下：</w:t>
      </w:r>
    </w:p>
    <w:p>
      <w:pPr>
        <w:spacing w:line="360" w:lineRule="auto"/>
        <w:ind w:firstLine="420" w:firstLineChars="200"/>
        <w:rPr>
          <w:color w:val="auto"/>
          <w:szCs w:val="21"/>
        </w:rPr>
      </w:pPr>
      <w:r>
        <w:rPr>
          <w:color w:val="auto"/>
          <w:szCs w:val="21"/>
        </w:rPr>
        <w:t>1）表示很严格，非这样做不可的：</w:t>
      </w:r>
    </w:p>
    <w:p>
      <w:pPr>
        <w:spacing w:line="360" w:lineRule="auto"/>
        <w:ind w:firstLine="420" w:firstLineChars="200"/>
        <w:rPr>
          <w:color w:val="auto"/>
          <w:szCs w:val="21"/>
        </w:rPr>
      </w:pPr>
      <w:r>
        <w:rPr>
          <w:color w:val="auto"/>
          <w:szCs w:val="21"/>
        </w:rPr>
        <w:t>正面词采用“必须”，反面词采用“严禁”；</w:t>
      </w:r>
    </w:p>
    <w:p>
      <w:pPr>
        <w:spacing w:line="360" w:lineRule="auto"/>
        <w:ind w:firstLine="420" w:firstLineChars="200"/>
        <w:rPr>
          <w:color w:val="auto"/>
          <w:szCs w:val="21"/>
        </w:rPr>
      </w:pPr>
      <w:r>
        <w:rPr>
          <w:color w:val="auto"/>
          <w:szCs w:val="21"/>
        </w:rPr>
        <w:t>2）表示严格，在正常情况下均应这样做的：</w:t>
      </w:r>
    </w:p>
    <w:p>
      <w:pPr>
        <w:spacing w:line="360" w:lineRule="auto"/>
        <w:ind w:firstLine="420" w:firstLineChars="200"/>
        <w:rPr>
          <w:color w:val="auto"/>
          <w:szCs w:val="21"/>
        </w:rPr>
      </w:pPr>
      <w:r>
        <w:rPr>
          <w:color w:val="auto"/>
          <w:szCs w:val="21"/>
        </w:rPr>
        <w:t>正面词采用“应”，反面词采用“不应”或“不得”；</w:t>
      </w:r>
    </w:p>
    <w:p>
      <w:pPr>
        <w:spacing w:line="360" w:lineRule="auto"/>
        <w:ind w:firstLine="420" w:firstLineChars="200"/>
        <w:rPr>
          <w:color w:val="auto"/>
          <w:szCs w:val="21"/>
        </w:rPr>
      </w:pPr>
      <w:r>
        <w:rPr>
          <w:color w:val="auto"/>
          <w:szCs w:val="21"/>
        </w:rPr>
        <w:t>3）表示允许稍有选择，在条件许可时首先应这样做的：</w:t>
      </w:r>
    </w:p>
    <w:p>
      <w:pPr>
        <w:spacing w:line="360" w:lineRule="auto"/>
        <w:ind w:firstLine="420" w:firstLineChars="200"/>
        <w:rPr>
          <w:color w:val="auto"/>
          <w:szCs w:val="21"/>
        </w:rPr>
      </w:pPr>
      <w:r>
        <w:rPr>
          <w:color w:val="auto"/>
          <w:szCs w:val="21"/>
        </w:rPr>
        <w:t>正面词采用“宜”，反面词采用“不宜”；</w:t>
      </w:r>
    </w:p>
    <w:p>
      <w:pPr>
        <w:spacing w:line="360" w:lineRule="auto"/>
        <w:ind w:firstLine="420" w:firstLineChars="200"/>
        <w:rPr>
          <w:color w:val="auto"/>
          <w:szCs w:val="21"/>
        </w:rPr>
      </w:pPr>
      <w:r>
        <w:rPr>
          <w:color w:val="auto"/>
          <w:szCs w:val="21"/>
        </w:rPr>
        <w:t>4）表示有选择，在一定条件下可以这样做的，采用“可”。</w:t>
      </w:r>
    </w:p>
    <w:p>
      <w:pPr>
        <w:spacing w:line="360" w:lineRule="auto"/>
        <w:rPr>
          <w:color w:val="auto"/>
          <w:szCs w:val="21"/>
        </w:rPr>
        <w:sectPr>
          <w:footerReference r:id="rId17" w:type="default"/>
          <w:pgSz w:w="11906" w:h="16838"/>
          <w:pgMar w:top="1134" w:right="1134" w:bottom="1134" w:left="1134" w:header="851" w:footer="992" w:gutter="0"/>
          <w:cols w:space="0" w:num="1"/>
          <w:docGrid w:type="lines" w:linePitch="312" w:charSpace="0"/>
        </w:sectPr>
      </w:pPr>
      <w:r>
        <w:rPr>
          <w:color w:val="auto"/>
          <w:szCs w:val="21"/>
        </w:rPr>
        <w:t>2  本标准中指明应按其他有关标准执行的写法为：“应符合……的规定”或“应按……执行”。</w:t>
      </w:r>
    </w:p>
    <w:p>
      <w:pPr>
        <w:spacing w:beforeLines="150" w:line="360" w:lineRule="auto"/>
        <w:jc w:val="center"/>
        <w:rPr>
          <w:rFonts w:eastAsia="黑体"/>
          <w:color w:val="auto"/>
          <w:sz w:val="32"/>
          <w:szCs w:val="32"/>
        </w:rPr>
      </w:pPr>
      <w:r>
        <w:rPr>
          <w:rFonts w:eastAsia="黑体"/>
          <w:color w:val="auto"/>
          <w:sz w:val="32"/>
          <w:szCs w:val="32"/>
        </w:rPr>
        <w:t>团  体  标  准</w:t>
      </w:r>
    </w:p>
    <w:p>
      <w:pPr>
        <w:spacing w:line="360" w:lineRule="auto"/>
        <w:jc w:val="center"/>
        <w:rPr>
          <w:rFonts w:eastAsia="黑体"/>
          <w:color w:val="auto"/>
          <w:sz w:val="32"/>
          <w:szCs w:val="32"/>
        </w:rPr>
      </w:pPr>
    </w:p>
    <w:p>
      <w:pPr>
        <w:spacing w:line="360" w:lineRule="auto"/>
        <w:jc w:val="center"/>
        <w:rPr>
          <w:rFonts w:eastAsia="黑体"/>
          <w:color w:val="auto"/>
          <w:kern w:val="0"/>
          <w:sz w:val="32"/>
          <w:szCs w:val="32"/>
        </w:rPr>
      </w:pPr>
      <w:r>
        <w:rPr>
          <w:rFonts w:eastAsia="黑体"/>
          <w:color w:val="auto"/>
          <w:kern w:val="0"/>
          <w:sz w:val="32"/>
          <w:szCs w:val="32"/>
        </w:rPr>
        <w:t>烟气净化碳基材料性能检测标准</w:t>
      </w:r>
    </w:p>
    <w:p>
      <w:pPr>
        <w:spacing w:line="360" w:lineRule="auto"/>
        <w:jc w:val="center"/>
        <w:rPr>
          <w:rFonts w:eastAsia="黑体"/>
          <w:color w:val="auto"/>
          <w:sz w:val="32"/>
          <w:szCs w:val="32"/>
        </w:rPr>
      </w:pPr>
      <w:r>
        <w:rPr>
          <w:rFonts w:eastAsia="黑体"/>
          <w:color w:val="auto"/>
          <w:sz w:val="32"/>
          <w:szCs w:val="32"/>
        </w:rPr>
        <w:t>T/CMCA xxxx-2022</w:t>
      </w:r>
    </w:p>
    <w:p>
      <w:pPr>
        <w:pStyle w:val="2"/>
        <w:spacing w:before="120" w:after="120" w:line="360" w:lineRule="auto"/>
        <w:jc w:val="center"/>
        <w:rPr>
          <w:color w:val="auto"/>
          <w:sz w:val="28"/>
          <w:szCs w:val="28"/>
        </w:rPr>
        <w:sectPr>
          <w:footerReference r:id="rId18" w:type="default"/>
          <w:pgSz w:w="11906" w:h="16838"/>
          <w:pgMar w:top="1134" w:right="1134" w:bottom="1134" w:left="1134" w:header="851" w:footer="992" w:gutter="0"/>
          <w:cols w:space="0" w:num="1"/>
          <w:docGrid w:type="lines" w:linePitch="312" w:charSpace="0"/>
        </w:sectPr>
      </w:pPr>
      <w:bookmarkStart w:id="132" w:name="_Toc23968"/>
      <w:bookmarkStart w:id="133" w:name="_Toc27075"/>
      <w:bookmarkStart w:id="134" w:name="_Toc1695"/>
      <w:bookmarkStart w:id="135" w:name="_Toc24414"/>
      <w:bookmarkStart w:id="136" w:name="_Toc30088"/>
      <w:bookmarkStart w:id="137" w:name="_Toc20838"/>
      <w:r>
        <w:rPr>
          <w:color w:val="auto"/>
          <w:sz w:val="28"/>
          <w:szCs w:val="28"/>
        </w:rPr>
        <w:t>条文说明</w:t>
      </w:r>
      <w:bookmarkEnd w:id="132"/>
      <w:bookmarkEnd w:id="133"/>
      <w:bookmarkEnd w:id="134"/>
      <w:bookmarkEnd w:id="135"/>
      <w:bookmarkEnd w:id="136"/>
      <w:bookmarkEnd w:id="137"/>
    </w:p>
    <w:p>
      <w:pPr>
        <w:pStyle w:val="2"/>
        <w:spacing w:before="120" w:after="120" w:line="360" w:lineRule="auto"/>
        <w:jc w:val="center"/>
        <w:rPr>
          <w:color w:val="auto"/>
          <w:sz w:val="28"/>
          <w:szCs w:val="28"/>
        </w:rPr>
      </w:pPr>
      <w:bookmarkStart w:id="138" w:name="_Toc32396"/>
      <w:bookmarkStart w:id="139" w:name="_Toc5373"/>
      <w:bookmarkStart w:id="140" w:name="_Toc6381"/>
      <w:bookmarkStart w:id="141" w:name="_Toc2638"/>
      <w:bookmarkStart w:id="142" w:name="_Toc5548"/>
      <w:bookmarkStart w:id="143" w:name="_Toc29483"/>
      <w:bookmarkStart w:id="144" w:name="_Toc6484"/>
      <w:bookmarkStart w:id="145" w:name="_Toc8138"/>
      <w:r>
        <w:rPr>
          <w:color w:val="auto"/>
          <w:sz w:val="28"/>
          <w:szCs w:val="28"/>
        </w:rPr>
        <w:t>编制说明</w:t>
      </w:r>
      <w:bookmarkEnd w:id="138"/>
      <w:bookmarkEnd w:id="139"/>
      <w:bookmarkEnd w:id="140"/>
      <w:bookmarkEnd w:id="141"/>
      <w:bookmarkEnd w:id="142"/>
      <w:bookmarkEnd w:id="143"/>
      <w:bookmarkEnd w:id="144"/>
      <w:bookmarkEnd w:id="145"/>
    </w:p>
    <w:p>
      <w:pPr>
        <w:numPr>
          <w:ilvl w:val="0"/>
          <w:numId w:val="1"/>
        </w:numPr>
        <w:spacing w:line="360" w:lineRule="auto"/>
        <w:ind w:firstLine="420" w:firstLineChars="200"/>
        <w:rPr>
          <w:color w:val="auto"/>
          <w:szCs w:val="21"/>
        </w:rPr>
      </w:pPr>
      <w:r>
        <w:rPr>
          <w:color w:val="auto"/>
          <w:szCs w:val="21"/>
        </w:rPr>
        <w:t>本标准是根据中国冶金建设协会《关于印发2021年工程建设团体标准编制计划的通知》（冶建协[2021]1号）的要求，由中冶长天国际工程有限责任公司会同有关单位共同完成。</w:t>
      </w:r>
    </w:p>
    <w:p>
      <w:pPr>
        <w:spacing w:line="360" w:lineRule="auto"/>
        <w:rPr>
          <w:color w:val="auto"/>
          <w:szCs w:val="21"/>
        </w:rPr>
      </w:pPr>
      <w:r>
        <w:rPr>
          <w:color w:val="auto"/>
          <w:szCs w:val="21"/>
        </w:rPr>
        <w:t>一、制订所遵循的主要原则</w:t>
      </w:r>
    </w:p>
    <w:p>
      <w:pPr>
        <w:spacing w:line="360" w:lineRule="auto"/>
        <w:ind w:firstLine="420" w:firstLineChars="200"/>
        <w:rPr>
          <w:color w:val="auto"/>
          <w:szCs w:val="21"/>
        </w:rPr>
      </w:pPr>
      <w:r>
        <w:rPr>
          <w:color w:val="auto"/>
          <w:szCs w:val="21"/>
        </w:rPr>
        <w:t>1、贯彻执行国家的有关法律、法规和方针、政策，符合我国国情；密切结合自然条件，合理利用资源，充分考虑检测的要求，做到高效适用、技术先进、环境友好，使标准具有科学性、先进性、前瞻性。</w:t>
      </w:r>
    </w:p>
    <w:p>
      <w:pPr>
        <w:spacing w:line="360" w:lineRule="auto"/>
        <w:ind w:firstLine="452" w:firstLineChars="200"/>
        <w:rPr>
          <w:color w:val="auto"/>
          <w:spacing w:val="8"/>
          <w:kern w:val="0"/>
          <w:szCs w:val="21"/>
        </w:rPr>
      </w:pPr>
      <w:r>
        <w:rPr>
          <w:color w:val="auto"/>
          <w:spacing w:val="8"/>
          <w:kern w:val="0"/>
          <w:szCs w:val="21"/>
        </w:rPr>
        <w:t>2、条文规定严谨明确，文句简练，不模棱两可；标准内容深度、术语、符号、计量单位等前后一致。</w:t>
      </w:r>
    </w:p>
    <w:p>
      <w:pPr>
        <w:spacing w:line="360" w:lineRule="auto"/>
        <w:rPr>
          <w:color w:val="auto"/>
          <w:szCs w:val="21"/>
        </w:rPr>
      </w:pPr>
      <w:r>
        <w:rPr>
          <w:color w:val="auto"/>
          <w:szCs w:val="21"/>
        </w:rPr>
        <w:t>二、编制概况</w:t>
      </w:r>
    </w:p>
    <w:p>
      <w:pPr>
        <w:numPr>
          <w:ilvl w:val="0"/>
          <w:numId w:val="1"/>
        </w:numPr>
        <w:spacing w:line="360" w:lineRule="auto"/>
        <w:ind w:firstLine="420" w:firstLineChars="200"/>
        <w:rPr>
          <w:color w:val="auto"/>
          <w:szCs w:val="21"/>
        </w:rPr>
      </w:pPr>
      <w:r>
        <w:rPr>
          <w:color w:val="auto"/>
          <w:szCs w:val="21"/>
        </w:rPr>
        <w:t>本标准在中国冶金建设协会的指导下，经主编和参编单位的共同努力，于2021年</w:t>
      </w:r>
      <w:r>
        <w:rPr>
          <w:rFonts w:hint="eastAsia"/>
          <w:color w:val="auto"/>
          <w:szCs w:val="21"/>
          <w:lang w:val="en-US" w:eastAsia="zh-CN"/>
        </w:rPr>
        <w:t>1</w:t>
      </w:r>
      <w:r>
        <w:rPr>
          <w:color w:val="auto"/>
          <w:szCs w:val="21"/>
        </w:rPr>
        <w:t>月</w:t>
      </w:r>
      <w:r>
        <w:rPr>
          <w:rFonts w:hint="eastAsia"/>
          <w:color w:val="auto"/>
          <w:szCs w:val="21"/>
          <w:lang w:val="en-US" w:eastAsia="zh-CN"/>
        </w:rPr>
        <w:t>2</w:t>
      </w:r>
      <w:r>
        <w:rPr>
          <w:color w:val="auto"/>
          <w:szCs w:val="21"/>
        </w:rPr>
        <w:t>8日在湖南长沙召开了第一次编制工作会议，并成立了编制领导小组、编写小组和工作组。在本标准制定过程中，标准编制组学习了有关国家法律、法规及标准，开展了深入的调查和试验研究，总结了多年来烟气净化碳基材料性能检测经验和活性炭法烧结烟气净化工艺对碳基材料的使用经验，并广泛征求了有关单位和专家的意见，先后于2021年</w:t>
      </w:r>
      <w:r>
        <w:rPr>
          <w:rFonts w:hint="eastAsia"/>
          <w:color w:val="auto"/>
          <w:szCs w:val="21"/>
          <w:lang w:val="en-US" w:eastAsia="zh-CN"/>
        </w:rPr>
        <w:t>3</w:t>
      </w:r>
      <w:r>
        <w:rPr>
          <w:color w:val="auto"/>
          <w:szCs w:val="21"/>
        </w:rPr>
        <w:t>月1</w:t>
      </w:r>
      <w:r>
        <w:rPr>
          <w:rFonts w:hint="eastAsia"/>
          <w:color w:val="auto"/>
          <w:szCs w:val="21"/>
          <w:lang w:val="en-US" w:eastAsia="zh-CN"/>
        </w:rPr>
        <w:t>8</w:t>
      </w:r>
      <w:r>
        <w:rPr>
          <w:color w:val="auto"/>
          <w:szCs w:val="21"/>
        </w:rPr>
        <w:t>日、</w:t>
      </w:r>
      <w:r>
        <w:rPr>
          <w:rFonts w:hint="eastAsia"/>
          <w:color w:val="auto"/>
          <w:szCs w:val="21"/>
          <w:lang w:val="en-US" w:eastAsia="zh-CN"/>
        </w:rPr>
        <w:t>4</w:t>
      </w:r>
      <w:r>
        <w:rPr>
          <w:color w:val="auto"/>
          <w:szCs w:val="21"/>
        </w:rPr>
        <w:t>月</w:t>
      </w:r>
      <w:r>
        <w:rPr>
          <w:rFonts w:hint="eastAsia"/>
          <w:color w:val="auto"/>
          <w:szCs w:val="21"/>
          <w:lang w:val="en-US" w:eastAsia="zh-CN"/>
        </w:rPr>
        <w:t>30</w:t>
      </w:r>
      <w:r>
        <w:rPr>
          <w:color w:val="auto"/>
          <w:szCs w:val="21"/>
        </w:rPr>
        <w:t>日召开了两次内部审查会议，完成了标准初稿。2021年5月22日在宁夏石嘴山召开了第</w:t>
      </w:r>
      <w:r>
        <w:rPr>
          <w:rFonts w:hint="eastAsia"/>
          <w:color w:val="auto"/>
          <w:szCs w:val="21"/>
          <w:lang w:eastAsia="zh-CN"/>
        </w:rPr>
        <w:t>三</w:t>
      </w:r>
      <w:r>
        <w:rPr>
          <w:color w:val="auto"/>
          <w:szCs w:val="21"/>
        </w:rPr>
        <w:t>次编制工作会议，编写组根据讨论意见对本标准逐条修改，形成了本征求意见稿，并将征求意见稿发送到全国有代表性的设计、生产、科研等单位，同时在国家工程建设标准化信息网公开征求意见。编写组根据反馈意见对本标准再次进行逐条修改，形成了征求意见稿的修改稿。2022年XX月XX日，受住房和城乡建设部委托，由中国冶金建设协会主持召开了标准审查会，最终形成标准报批稿。</w:t>
      </w:r>
    </w:p>
    <w:p>
      <w:pPr>
        <w:spacing w:line="360" w:lineRule="auto"/>
        <w:ind w:firstLine="420" w:firstLineChars="200"/>
        <w:rPr>
          <w:color w:val="auto"/>
          <w:szCs w:val="21"/>
        </w:rPr>
      </w:pPr>
      <w:r>
        <w:rPr>
          <w:color w:val="auto"/>
          <w:szCs w:val="21"/>
        </w:rPr>
        <w:t>本标准在编制过程中，在技术上体现了以下原则和特点：</w:t>
      </w:r>
    </w:p>
    <w:p>
      <w:pPr>
        <w:spacing w:line="360" w:lineRule="auto"/>
        <w:ind w:firstLine="420" w:firstLineChars="200"/>
        <w:rPr>
          <w:color w:val="auto"/>
          <w:szCs w:val="21"/>
        </w:rPr>
      </w:pPr>
      <w:r>
        <w:rPr>
          <w:color w:val="auto"/>
          <w:szCs w:val="21"/>
        </w:rPr>
        <w:t>1、适合我国经济发展的新形势和配套我国钢铁行业烟气净化碳基材料性能指标检测的新要求，为钢铁工业绿色发展和烟气净化碳基材料技术创新发展助力。</w:t>
      </w:r>
    </w:p>
    <w:p>
      <w:pPr>
        <w:spacing w:line="360" w:lineRule="auto"/>
        <w:ind w:firstLine="420" w:firstLineChars="200"/>
        <w:rPr>
          <w:color w:val="auto"/>
          <w:szCs w:val="21"/>
        </w:rPr>
      </w:pPr>
      <w:r>
        <w:rPr>
          <w:color w:val="auto"/>
          <w:szCs w:val="21"/>
        </w:rPr>
        <w:t>2、体现高效适用、技术先进、环境友好，使标准具有科学性、先进性、前瞻性。</w:t>
      </w:r>
    </w:p>
    <w:p>
      <w:pPr>
        <w:numPr>
          <w:ilvl w:val="0"/>
          <w:numId w:val="1"/>
        </w:numPr>
        <w:spacing w:line="360" w:lineRule="auto"/>
        <w:ind w:firstLine="420" w:firstLineChars="200"/>
        <w:rPr>
          <w:color w:val="auto"/>
          <w:szCs w:val="21"/>
        </w:rPr>
      </w:pPr>
      <w:r>
        <w:rPr>
          <w:color w:val="auto"/>
          <w:szCs w:val="21"/>
        </w:rPr>
        <w:t xml:space="preserve">本标准共7章，主要内容包括：总则，术语，基本规定，测试仪器和设备，测试试样和试剂，测试及计算。 </w:t>
      </w:r>
    </w:p>
    <w:p>
      <w:pPr>
        <w:spacing w:line="360" w:lineRule="auto"/>
        <w:ind w:firstLine="420" w:firstLineChars="200"/>
        <w:rPr>
          <w:color w:val="auto"/>
          <w:szCs w:val="21"/>
        </w:rPr>
      </w:pPr>
      <w:r>
        <w:rPr>
          <w:color w:val="auto"/>
          <w:szCs w:val="21"/>
        </w:rPr>
        <w:t>为便于广大设计、施工、生产、使用、科研、学校等单位有关人员在使用本标准时正确理解和执行条文规定，编制组按章、节、条顺序编制了条文说明，对条文规定的目的、依据以及执行中需要注意的有关事项进行了说明。但是，本条文说明不具备与标准正文同等的法律效力，仅供使用者作为理解标准的参考。</w:t>
      </w:r>
    </w:p>
    <w:p>
      <w:pPr>
        <w:pStyle w:val="2"/>
        <w:spacing w:before="120" w:after="120" w:line="360" w:lineRule="auto"/>
        <w:jc w:val="center"/>
        <w:rPr>
          <w:color w:val="auto"/>
          <w:sz w:val="28"/>
          <w:szCs w:val="28"/>
        </w:rPr>
        <w:sectPr>
          <w:footerReference r:id="rId19" w:type="default"/>
          <w:pgSz w:w="11906" w:h="16838"/>
          <w:pgMar w:top="1134" w:right="1134" w:bottom="1134" w:left="1134" w:header="851" w:footer="992" w:gutter="0"/>
          <w:cols w:space="0" w:num="1"/>
          <w:docGrid w:type="lines" w:linePitch="312" w:charSpace="0"/>
        </w:sectPr>
      </w:pPr>
      <w:bookmarkStart w:id="146" w:name="_Toc5551"/>
    </w:p>
    <w:p>
      <w:pPr>
        <w:pStyle w:val="2"/>
        <w:spacing w:before="120" w:after="120" w:line="360" w:lineRule="auto"/>
        <w:jc w:val="center"/>
        <w:rPr>
          <w:color w:val="auto"/>
          <w:sz w:val="28"/>
          <w:szCs w:val="28"/>
        </w:rPr>
      </w:pPr>
      <w:bookmarkStart w:id="147" w:name="_Toc711"/>
      <w:bookmarkStart w:id="148" w:name="_Toc25914"/>
      <w:bookmarkStart w:id="149" w:name="_Toc10535"/>
      <w:bookmarkStart w:id="150" w:name="_Toc26513"/>
      <w:bookmarkStart w:id="151" w:name="_Toc6674"/>
      <w:bookmarkStart w:id="152" w:name="_Toc32011"/>
      <w:bookmarkStart w:id="153" w:name="_Toc4432"/>
      <w:bookmarkStart w:id="154" w:name="_Toc17929"/>
      <w:r>
        <w:rPr>
          <w:color w:val="auto"/>
          <w:sz w:val="28"/>
          <w:szCs w:val="28"/>
        </w:rPr>
        <w:t>目次</w:t>
      </w:r>
      <w:bookmarkEnd w:id="146"/>
      <w:bookmarkEnd w:id="147"/>
      <w:bookmarkEnd w:id="148"/>
      <w:bookmarkEnd w:id="149"/>
      <w:bookmarkEnd w:id="150"/>
      <w:bookmarkEnd w:id="151"/>
      <w:bookmarkEnd w:id="152"/>
      <w:bookmarkEnd w:id="153"/>
      <w:bookmarkEnd w:id="154"/>
    </w:p>
    <w:sdt>
      <w:sdtPr>
        <w:rPr>
          <w:color w:val="auto"/>
        </w:rPr>
        <w:id w:val="147478729"/>
        <w:docPartObj>
          <w:docPartGallery w:val="Table of Contents"/>
          <w:docPartUnique/>
        </w:docPartObj>
      </w:sdtPr>
      <w:sdtEndPr>
        <w:rPr>
          <w:color w:val="auto"/>
        </w:rPr>
      </w:sdtEndPr>
      <w:sdtContent>
        <w:p>
          <w:pPr>
            <w:pStyle w:val="13"/>
            <w:tabs>
              <w:tab w:val="right" w:leader="dot" w:pos="9638"/>
              <w:tab w:val="clear" w:pos="9628"/>
            </w:tabs>
            <w:rPr>
              <w:color w:val="auto"/>
            </w:rPr>
          </w:pPr>
          <w:r>
            <w:rPr>
              <w:color w:val="auto"/>
            </w:rPr>
            <w:fldChar w:fldCharType="begin"/>
          </w:r>
          <w:r>
            <w:rPr>
              <w:color w:val="auto"/>
            </w:rPr>
            <w:instrText xml:space="preserve"> HYPERLINK \l "_Toc8375" </w:instrText>
          </w:r>
          <w:r>
            <w:rPr>
              <w:color w:val="auto"/>
            </w:rPr>
            <w:fldChar w:fldCharType="separate"/>
          </w:r>
          <w:r>
            <w:rPr>
              <w:color w:val="auto"/>
            </w:rPr>
            <w:t>1 总则</w:t>
          </w:r>
          <w:r>
            <w:rPr>
              <w:color w:val="auto"/>
            </w:rPr>
            <w:tab/>
          </w:r>
          <w:r>
            <w:rPr>
              <w:color w:val="auto"/>
            </w:rPr>
            <w:fldChar w:fldCharType="end"/>
          </w:r>
          <w:r>
            <w:rPr>
              <w:rFonts w:hint="eastAsia"/>
              <w:color w:val="auto"/>
            </w:rPr>
            <w:t>31</w:t>
          </w:r>
        </w:p>
        <w:p>
          <w:pPr>
            <w:pStyle w:val="13"/>
            <w:tabs>
              <w:tab w:val="right" w:leader="dot" w:pos="9638"/>
              <w:tab w:val="clear" w:pos="9628"/>
            </w:tabs>
            <w:rPr>
              <w:color w:val="auto"/>
            </w:rPr>
          </w:pPr>
          <w:r>
            <w:rPr>
              <w:color w:val="auto"/>
            </w:rPr>
            <w:fldChar w:fldCharType="begin"/>
          </w:r>
          <w:r>
            <w:rPr>
              <w:color w:val="auto"/>
            </w:rPr>
            <w:instrText xml:space="preserve"> HYPERLINK \l "_Toc4114" </w:instrText>
          </w:r>
          <w:r>
            <w:rPr>
              <w:color w:val="auto"/>
            </w:rPr>
            <w:fldChar w:fldCharType="separate"/>
          </w:r>
          <w:r>
            <w:rPr>
              <w:color w:val="auto"/>
            </w:rPr>
            <w:t>3 基本规定</w:t>
          </w:r>
          <w:r>
            <w:rPr>
              <w:color w:val="auto"/>
            </w:rPr>
            <w:tab/>
          </w:r>
          <w:r>
            <w:rPr>
              <w:color w:val="auto"/>
            </w:rPr>
            <w:fldChar w:fldCharType="end"/>
          </w:r>
          <w:r>
            <w:rPr>
              <w:rFonts w:hint="eastAsia"/>
              <w:color w:val="auto"/>
            </w:rPr>
            <w:t>32</w:t>
          </w:r>
        </w:p>
        <w:p>
          <w:pPr>
            <w:pStyle w:val="13"/>
            <w:tabs>
              <w:tab w:val="right" w:leader="dot" w:pos="9638"/>
              <w:tab w:val="clear" w:pos="9628"/>
            </w:tabs>
            <w:rPr>
              <w:color w:val="auto"/>
            </w:rPr>
          </w:pPr>
          <w:r>
            <w:rPr>
              <w:color w:val="auto"/>
            </w:rPr>
            <w:fldChar w:fldCharType="begin"/>
          </w:r>
          <w:r>
            <w:rPr>
              <w:color w:val="auto"/>
            </w:rPr>
            <w:instrText xml:space="preserve"> HYPERLINK \l "_Toc19277" </w:instrText>
          </w:r>
          <w:r>
            <w:rPr>
              <w:color w:val="auto"/>
            </w:rPr>
            <w:fldChar w:fldCharType="separate"/>
          </w:r>
          <w:r>
            <w:rPr>
              <w:color w:val="auto"/>
            </w:rPr>
            <w:t>4 测试仪器和设备</w:t>
          </w:r>
          <w:r>
            <w:rPr>
              <w:color w:val="auto"/>
            </w:rPr>
            <w:tab/>
          </w:r>
          <w:r>
            <w:rPr>
              <w:color w:val="auto"/>
            </w:rPr>
            <w:fldChar w:fldCharType="end"/>
          </w:r>
          <w:r>
            <w:rPr>
              <w:rFonts w:hint="eastAsia"/>
              <w:color w:val="auto"/>
            </w:rPr>
            <w:t>33</w:t>
          </w:r>
        </w:p>
        <w:p>
          <w:pPr>
            <w:pStyle w:val="13"/>
            <w:tabs>
              <w:tab w:val="right" w:leader="dot" w:pos="9638"/>
              <w:tab w:val="clear" w:pos="9628"/>
            </w:tabs>
            <w:rPr>
              <w:color w:val="auto"/>
            </w:rPr>
          </w:pPr>
          <w:r>
            <w:rPr>
              <w:color w:val="auto"/>
            </w:rPr>
            <w:fldChar w:fldCharType="begin"/>
          </w:r>
          <w:r>
            <w:rPr>
              <w:color w:val="auto"/>
            </w:rPr>
            <w:instrText xml:space="preserve"> HYPERLINK \l "_Toc7015" </w:instrText>
          </w:r>
          <w:r>
            <w:rPr>
              <w:color w:val="auto"/>
            </w:rPr>
            <w:fldChar w:fldCharType="separate"/>
          </w:r>
          <w:r>
            <w:rPr>
              <w:color w:val="auto"/>
            </w:rPr>
            <w:t>5 测试试样和试剂</w:t>
          </w:r>
          <w:r>
            <w:rPr>
              <w:color w:val="auto"/>
            </w:rPr>
            <w:tab/>
          </w:r>
          <w:r>
            <w:rPr>
              <w:color w:val="auto"/>
            </w:rPr>
            <w:fldChar w:fldCharType="end"/>
          </w:r>
          <w:r>
            <w:rPr>
              <w:rFonts w:hint="eastAsia"/>
              <w:color w:val="auto"/>
            </w:rPr>
            <w:t>35</w:t>
          </w:r>
        </w:p>
        <w:p>
          <w:pPr>
            <w:pStyle w:val="13"/>
            <w:tabs>
              <w:tab w:val="right" w:leader="dot" w:pos="9638"/>
              <w:tab w:val="clear" w:pos="9628"/>
            </w:tabs>
            <w:rPr>
              <w:color w:val="auto"/>
            </w:rPr>
          </w:pPr>
          <w:r>
            <w:rPr>
              <w:color w:val="auto"/>
            </w:rPr>
            <w:fldChar w:fldCharType="begin"/>
          </w:r>
          <w:r>
            <w:rPr>
              <w:color w:val="auto"/>
            </w:rPr>
            <w:instrText xml:space="preserve"> HYPERLINK \l "_Toc3235" </w:instrText>
          </w:r>
          <w:r>
            <w:rPr>
              <w:color w:val="auto"/>
            </w:rPr>
            <w:fldChar w:fldCharType="separate"/>
          </w:r>
          <w:r>
            <w:rPr>
              <w:color w:val="auto"/>
            </w:rPr>
            <w:t>6 测试及计算</w:t>
          </w:r>
          <w:r>
            <w:rPr>
              <w:color w:val="auto"/>
            </w:rPr>
            <w:tab/>
          </w:r>
          <w:r>
            <w:rPr>
              <w:color w:val="auto"/>
            </w:rPr>
            <w:fldChar w:fldCharType="end"/>
          </w:r>
          <w:r>
            <w:rPr>
              <w:rFonts w:hint="eastAsia"/>
              <w:color w:val="auto"/>
            </w:rPr>
            <w:t>36</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"_Toc8069" </w:instrText>
          </w:r>
          <w:r>
            <w:rPr>
              <w:color w:val="auto"/>
            </w:rPr>
            <w:fldChar w:fldCharType="separate"/>
          </w:r>
          <w:r>
            <w:rPr>
              <w:color w:val="auto"/>
              <w:sz w:val="24"/>
            </w:rPr>
            <w:t>6.1 堆积密度</w:t>
          </w:r>
          <w:r>
            <w:rPr>
              <w:color w:val="auto"/>
              <w:sz w:val="24"/>
            </w:rPr>
            <w:tab/>
          </w:r>
          <w:r>
            <w:rPr>
              <w:color w:val="auto"/>
              <w:sz w:val="24"/>
            </w:rPr>
            <w:fldChar w:fldCharType="end"/>
          </w:r>
          <w:r>
            <w:rPr>
              <w:rFonts w:hint="eastAsia"/>
              <w:color w:val="auto"/>
              <w:sz w:val="24"/>
            </w:rPr>
            <w:t>36</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"_Toc20880" </w:instrText>
          </w:r>
          <w:r>
            <w:rPr>
              <w:color w:val="auto"/>
            </w:rPr>
            <w:fldChar w:fldCharType="separate"/>
          </w:r>
          <w:r>
            <w:rPr>
              <w:color w:val="auto"/>
              <w:sz w:val="24"/>
            </w:rPr>
            <w:t>6.2 粒度分布</w:t>
          </w:r>
          <w:r>
            <w:rPr>
              <w:color w:val="auto"/>
              <w:sz w:val="24"/>
            </w:rPr>
            <w:tab/>
          </w:r>
          <w:r>
            <w:rPr>
              <w:color w:val="auto"/>
              <w:sz w:val="24"/>
            </w:rPr>
            <w:fldChar w:fldCharType="end"/>
          </w:r>
          <w:r>
            <w:rPr>
              <w:rFonts w:hint="eastAsia"/>
              <w:color w:val="auto"/>
              <w:sz w:val="24"/>
            </w:rPr>
            <w:t>36</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"_Toc24588" </w:instrText>
          </w:r>
          <w:r>
            <w:rPr>
              <w:color w:val="auto"/>
            </w:rPr>
            <w:fldChar w:fldCharType="separate"/>
          </w:r>
          <w:r>
            <w:rPr>
              <w:color w:val="auto"/>
              <w:sz w:val="24"/>
            </w:rPr>
            <w:t>6.3 耐磨强度</w:t>
          </w:r>
          <w:r>
            <w:rPr>
              <w:color w:val="auto"/>
              <w:sz w:val="24"/>
            </w:rPr>
            <w:tab/>
          </w:r>
          <w:r>
            <w:rPr>
              <w:color w:val="auto"/>
              <w:sz w:val="24"/>
            </w:rPr>
            <w:fldChar w:fldCharType="end"/>
          </w:r>
          <w:r>
            <w:rPr>
              <w:rFonts w:hint="eastAsia"/>
              <w:color w:val="auto"/>
              <w:sz w:val="24"/>
            </w:rPr>
            <w:t>38</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"_Toc22709" </w:instrText>
          </w:r>
          <w:r>
            <w:rPr>
              <w:color w:val="auto"/>
            </w:rPr>
            <w:fldChar w:fldCharType="separate"/>
          </w:r>
          <w:r>
            <w:rPr>
              <w:color w:val="auto"/>
              <w:sz w:val="24"/>
            </w:rPr>
            <w:t>6.4 耐压强度</w:t>
          </w:r>
          <w:r>
            <w:rPr>
              <w:color w:val="auto"/>
              <w:sz w:val="24"/>
            </w:rPr>
            <w:tab/>
          </w:r>
          <w:r>
            <w:rPr>
              <w:rFonts w:hint="eastAsia"/>
              <w:color w:val="auto"/>
              <w:sz w:val="24"/>
            </w:rPr>
            <w:t>3</w:t>
          </w:r>
          <w:r>
            <w:rPr>
              <w:rFonts w:hint="eastAsia"/>
              <w:color w:val="auto"/>
              <w:sz w:val="24"/>
            </w:rPr>
            <w:fldChar w:fldCharType="end"/>
          </w:r>
          <w:r>
            <w:rPr>
              <w:rFonts w:hint="eastAsia"/>
              <w:color w:val="auto"/>
              <w:sz w:val="24"/>
            </w:rPr>
            <w:t>9</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"_Toc3219" </w:instrText>
          </w:r>
          <w:r>
            <w:rPr>
              <w:color w:val="auto"/>
            </w:rPr>
            <w:fldChar w:fldCharType="separate"/>
          </w:r>
          <w:r>
            <w:rPr>
              <w:color w:val="auto"/>
              <w:sz w:val="24"/>
            </w:rPr>
            <w:t>6.5 着火点</w:t>
          </w:r>
          <w:r>
            <w:rPr>
              <w:color w:val="auto"/>
              <w:sz w:val="24"/>
            </w:rPr>
            <w:tab/>
          </w:r>
          <w:r>
            <w:rPr>
              <w:color w:val="auto"/>
              <w:sz w:val="24"/>
            </w:rPr>
            <w:fldChar w:fldCharType="end"/>
          </w:r>
          <w:r>
            <w:rPr>
              <w:rFonts w:hint="eastAsia"/>
              <w:color w:val="auto"/>
              <w:sz w:val="24"/>
            </w:rPr>
            <w:t>41</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"_Toc14555" </w:instrText>
          </w:r>
          <w:r>
            <w:rPr>
              <w:color w:val="auto"/>
            </w:rPr>
            <w:fldChar w:fldCharType="separate"/>
          </w:r>
          <w:r>
            <w:rPr>
              <w:color w:val="auto"/>
              <w:sz w:val="24"/>
            </w:rPr>
            <w:t>6.6 水分</w:t>
          </w:r>
          <w:r>
            <w:rPr>
              <w:color w:val="auto"/>
              <w:sz w:val="24"/>
            </w:rPr>
            <w:tab/>
          </w:r>
          <w:r>
            <w:rPr>
              <w:color w:val="auto"/>
              <w:sz w:val="24"/>
            </w:rPr>
            <w:fldChar w:fldCharType="end"/>
          </w:r>
          <w:r>
            <w:rPr>
              <w:rFonts w:hint="eastAsia"/>
              <w:color w:val="auto"/>
              <w:sz w:val="24"/>
            </w:rPr>
            <w:t>42</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"_Toc14346" </w:instrText>
          </w:r>
          <w:r>
            <w:rPr>
              <w:color w:val="auto"/>
            </w:rPr>
            <w:fldChar w:fldCharType="separate"/>
          </w:r>
          <w:r>
            <w:rPr>
              <w:color w:val="auto"/>
              <w:sz w:val="24"/>
            </w:rPr>
            <w:t>6.7 灰分</w:t>
          </w:r>
          <w:r>
            <w:rPr>
              <w:color w:val="auto"/>
              <w:sz w:val="24"/>
            </w:rPr>
            <w:tab/>
          </w:r>
          <w:r>
            <w:rPr>
              <w:color w:val="auto"/>
              <w:sz w:val="24"/>
            </w:rPr>
            <w:fldChar w:fldCharType="end"/>
          </w:r>
          <w:r>
            <w:rPr>
              <w:rFonts w:hint="eastAsia"/>
              <w:color w:val="auto"/>
              <w:sz w:val="24"/>
            </w:rPr>
            <w:t>44</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"_Toc23386" </w:instrText>
          </w:r>
          <w:r>
            <w:rPr>
              <w:color w:val="auto"/>
            </w:rPr>
            <w:fldChar w:fldCharType="separate"/>
          </w:r>
          <w:r>
            <w:rPr>
              <w:color w:val="auto"/>
              <w:sz w:val="24"/>
            </w:rPr>
            <w:t>6.8 挥发分</w:t>
          </w:r>
          <w:r>
            <w:rPr>
              <w:color w:val="auto"/>
              <w:sz w:val="24"/>
            </w:rPr>
            <w:tab/>
          </w:r>
          <w:r>
            <w:rPr>
              <w:color w:val="auto"/>
              <w:sz w:val="24"/>
            </w:rPr>
            <w:fldChar w:fldCharType="end"/>
          </w:r>
          <w:r>
            <w:rPr>
              <w:rFonts w:hint="eastAsia"/>
              <w:color w:val="auto"/>
              <w:sz w:val="24"/>
            </w:rPr>
            <w:t>45</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"_Toc18434" </w:instrText>
          </w:r>
          <w:r>
            <w:rPr>
              <w:color w:val="auto"/>
            </w:rPr>
            <w:fldChar w:fldCharType="separate"/>
          </w:r>
          <w:r>
            <w:rPr>
              <w:color w:val="auto"/>
              <w:sz w:val="24"/>
            </w:rPr>
            <w:t>6.9 水容量</w:t>
          </w:r>
          <w:r>
            <w:rPr>
              <w:color w:val="auto"/>
              <w:sz w:val="24"/>
            </w:rPr>
            <w:tab/>
          </w:r>
          <w:r>
            <w:rPr>
              <w:color w:val="auto"/>
              <w:sz w:val="24"/>
            </w:rPr>
            <w:fldChar w:fldCharType="end"/>
          </w:r>
          <w:r>
            <w:rPr>
              <w:rFonts w:hint="eastAsia"/>
              <w:color w:val="auto"/>
              <w:sz w:val="24"/>
            </w:rPr>
            <w:t>46</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"_Toc4779" </w:instrText>
          </w:r>
          <w:r>
            <w:rPr>
              <w:color w:val="auto"/>
            </w:rPr>
            <w:fldChar w:fldCharType="separate"/>
          </w:r>
          <w:r>
            <w:rPr>
              <w:color w:val="auto"/>
              <w:sz w:val="24"/>
            </w:rPr>
            <w:t>6.10 SO</w:t>
          </w:r>
          <w:r>
            <w:rPr>
              <w:color w:val="auto"/>
              <w:sz w:val="24"/>
              <w:vertAlign w:val="subscript"/>
            </w:rPr>
            <w:t>2</w:t>
          </w:r>
          <w:r>
            <w:rPr>
              <w:color w:val="auto"/>
              <w:sz w:val="24"/>
            </w:rPr>
            <w:t>吸附值</w:t>
          </w:r>
          <w:r>
            <w:rPr>
              <w:color w:val="auto"/>
              <w:sz w:val="24"/>
            </w:rPr>
            <w:tab/>
          </w:r>
          <w:r>
            <w:rPr>
              <w:color w:val="auto"/>
              <w:sz w:val="24"/>
            </w:rPr>
            <w:fldChar w:fldCharType="end"/>
          </w:r>
          <w:r>
            <w:rPr>
              <w:rFonts w:hint="eastAsia"/>
              <w:color w:val="auto"/>
              <w:sz w:val="24"/>
            </w:rPr>
            <w:t>48</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"_Toc894" </w:instrText>
          </w:r>
          <w:r>
            <w:rPr>
              <w:color w:val="auto"/>
            </w:rPr>
            <w:fldChar w:fldCharType="separate"/>
          </w:r>
          <w:r>
            <w:rPr>
              <w:color w:val="auto"/>
              <w:sz w:val="24"/>
            </w:rPr>
            <w:t>6.11 SO</w:t>
          </w:r>
          <w:r>
            <w:rPr>
              <w:color w:val="auto"/>
              <w:sz w:val="24"/>
              <w:vertAlign w:val="subscript"/>
            </w:rPr>
            <w:t>2</w:t>
          </w:r>
          <w:r>
            <w:rPr>
              <w:color w:val="auto"/>
              <w:sz w:val="24"/>
            </w:rPr>
            <w:t>循环吸附值</w:t>
          </w:r>
          <w:r>
            <w:rPr>
              <w:color w:val="auto"/>
              <w:sz w:val="24"/>
            </w:rPr>
            <w:tab/>
          </w:r>
          <w:r>
            <w:rPr>
              <w:color w:val="auto"/>
              <w:sz w:val="24"/>
            </w:rPr>
            <w:fldChar w:fldCharType="end"/>
          </w:r>
          <w:r>
            <w:rPr>
              <w:rFonts w:hint="eastAsia"/>
              <w:color w:val="auto"/>
              <w:sz w:val="24"/>
            </w:rPr>
            <w:t>49</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"_Toc30351" </w:instrText>
          </w:r>
          <w:r>
            <w:rPr>
              <w:color w:val="auto"/>
            </w:rPr>
            <w:fldChar w:fldCharType="separate"/>
          </w:r>
          <w:r>
            <w:rPr>
              <w:color w:val="auto"/>
              <w:sz w:val="24"/>
            </w:rPr>
            <w:t>6.12 脱硝率</w:t>
          </w:r>
          <w:r>
            <w:rPr>
              <w:color w:val="auto"/>
              <w:sz w:val="24"/>
            </w:rPr>
            <w:tab/>
          </w:r>
          <w:r>
            <w:rPr>
              <w:color w:val="auto"/>
              <w:sz w:val="24"/>
            </w:rPr>
            <w:fldChar w:fldCharType="end"/>
          </w:r>
          <w:r>
            <w:rPr>
              <w:rFonts w:hint="eastAsia"/>
              <w:color w:val="auto"/>
              <w:sz w:val="24"/>
            </w:rPr>
            <w:t>49</w:t>
          </w:r>
        </w:p>
        <w:p>
          <w:pPr>
            <w:pStyle w:val="16"/>
            <w:tabs>
              <w:tab w:val="right" w:leader="dot" w:pos="9638"/>
            </w:tabs>
            <w:spacing w:line="360" w:lineRule="auto"/>
            <w:rPr>
              <w:color w:val="auto"/>
              <w:sz w:val="24"/>
            </w:rPr>
          </w:pPr>
          <w:r>
            <w:rPr>
              <w:color w:val="auto"/>
            </w:rPr>
            <w:fldChar w:fldCharType="begin"/>
          </w:r>
          <w:r>
            <w:rPr>
              <w:color w:val="auto"/>
            </w:rPr>
            <w:instrText xml:space="preserve"> HYPERLINK \l "_Toc25842" </w:instrText>
          </w:r>
          <w:r>
            <w:rPr>
              <w:color w:val="auto"/>
            </w:rPr>
            <w:fldChar w:fldCharType="separate"/>
          </w:r>
          <w:r>
            <w:rPr>
              <w:color w:val="auto"/>
              <w:sz w:val="24"/>
            </w:rPr>
            <w:t>6.13 循环脱硫脱硝性能</w:t>
          </w:r>
          <w:r>
            <w:rPr>
              <w:color w:val="auto"/>
              <w:sz w:val="24"/>
            </w:rPr>
            <w:tab/>
          </w:r>
          <w:r>
            <w:rPr>
              <w:color w:val="auto"/>
              <w:sz w:val="24"/>
            </w:rPr>
            <w:fldChar w:fldCharType="end"/>
          </w:r>
          <w:r>
            <w:rPr>
              <w:rFonts w:hint="eastAsia"/>
              <w:color w:val="auto"/>
              <w:sz w:val="24"/>
            </w:rPr>
            <w:t>51</w:t>
          </w:r>
        </w:p>
        <w:p>
          <w:pPr>
            <w:pStyle w:val="13"/>
            <w:tabs>
              <w:tab w:val="right" w:leader="dot" w:pos="9638"/>
              <w:tab w:val="clear" w:pos="9628"/>
            </w:tabs>
            <w:rPr>
              <w:color w:val="auto"/>
            </w:rPr>
            <w:sectPr>
              <w:pgSz w:w="11906" w:h="16838"/>
              <w:pgMar w:top="1134" w:right="1134" w:bottom="1134" w:left="1134" w:header="851" w:footer="992" w:gutter="0"/>
              <w:cols w:space="0" w:num="1"/>
              <w:docGrid w:type="lines" w:linePitch="312" w:charSpace="0"/>
            </w:sectPr>
          </w:pPr>
        </w:p>
      </w:sdtContent>
    </w:sdt>
    <w:p>
      <w:pPr>
        <w:pStyle w:val="2"/>
        <w:spacing w:before="120" w:after="120" w:line="360" w:lineRule="auto"/>
        <w:jc w:val="center"/>
        <w:rPr>
          <w:color w:val="auto"/>
          <w:sz w:val="28"/>
          <w:szCs w:val="28"/>
        </w:rPr>
      </w:pPr>
      <w:bookmarkStart w:id="155" w:name="_Toc8375"/>
      <w:bookmarkStart w:id="156" w:name="_Toc16635"/>
      <w:bookmarkStart w:id="157" w:name="_Toc14827"/>
      <w:bookmarkStart w:id="158" w:name="_Toc26596"/>
      <w:bookmarkStart w:id="159" w:name="_Toc10854"/>
      <w:bookmarkStart w:id="160" w:name="_Toc1773"/>
      <w:bookmarkStart w:id="161" w:name="_Toc12395"/>
      <w:bookmarkStart w:id="162" w:name="_Toc7932"/>
      <w:bookmarkStart w:id="163" w:name="_Toc6624"/>
      <w:r>
        <w:rPr>
          <w:color w:val="auto"/>
          <w:sz w:val="28"/>
          <w:szCs w:val="28"/>
        </w:rPr>
        <w:t>1 总则</w:t>
      </w:r>
      <w:bookmarkEnd w:id="155"/>
      <w:bookmarkEnd w:id="156"/>
      <w:bookmarkEnd w:id="157"/>
      <w:bookmarkEnd w:id="158"/>
      <w:bookmarkEnd w:id="159"/>
      <w:bookmarkEnd w:id="160"/>
      <w:bookmarkEnd w:id="161"/>
      <w:bookmarkEnd w:id="162"/>
      <w:bookmarkEnd w:id="163"/>
    </w:p>
    <w:p>
      <w:pPr>
        <w:numPr>
          <w:ilvl w:val="0"/>
          <w:numId w:val="42"/>
        </w:numPr>
        <w:spacing w:line="360" w:lineRule="auto"/>
        <w:rPr>
          <w:color w:val="auto"/>
          <w:szCs w:val="21"/>
        </w:rPr>
      </w:pPr>
      <w:r>
        <w:rPr>
          <w:color w:val="auto"/>
          <w:szCs w:val="21"/>
        </w:rPr>
        <w:t>钢铁冶金是我国的支柱性产业，在推动国家经济社会的建设和发展中占据举足轻重的地位，但随之带来的资源环境约束的矛盾和问题也被重点关注。据统计，钢铁行业2017年排放的二氧化硫、氮氧化物和粉尘颗粒物分别高达106万吨、172万吨和281万吨。2019年生态环境部等五部委联合印发了《关于推进实施钢铁行业超低排放的意见》，该意见推动了现有钢铁企业超低排放改造，大幅促进了钢铁行业烟气污染物排放量的降低。随着国家环境保护政策对烟气污染的治理逐渐趋严日趋严格，以碳基材料为核心的活性炭法烟气净化技术由于具有污染物去除效率高、无二次污染、操作简单、运行成本低、副产物可资源化等优点，得到了快速应用与推广，同时被纳入《国家鼓励发展的重大环保技术装备目录》(2015年版) ，并位于大气污染防治类首位。经过数年的工程实践和检测研究，符合烟气净化碳基材料实际使用需求的关键性指标包括：堆积密度、粒度分布、耐磨强度、耐压强度、着火点、水分、灰分、挥发分、水容量、SO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脱硝率、循环脱硫脱硝性能等，但现有烟气净化碳基材料性能指标检测方法存在一些人为影响因素较大、不够科学合理、可重复性较差等问题。因此制定一套能同时体现先进性、科学性、准确性的烟气净化碳基材料性能检测方法标准，具有十分重要的意义。</w:t>
      </w:r>
    </w:p>
    <w:p>
      <w:pPr>
        <w:numPr>
          <w:ilvl w:val="0"/>
          <w:numId w:val="42"/>
        </w:numPr>
        <w:spacing w:line="360" w:lineRule="auto"/>
        <w:rPr>
          <w:color w:val="auto"/>
          <w:szCs w:val="21"/>
        </w:rPr>
      </w:pPr>
      <w:r>
        <w:rPr>
          <w:color w:val="auto"/>
          <w:szCs w:val="21"/>
        </w:rPr>
        <w:t>活性炭法烟气净化技术目前主要应用于钢铁行业烧结球团烟气净化领域，若其他行业烟气与烧结球团烟气主要污染物成分接近，也可以采用活性炭法烟气净化技术处理烟气，其碳基材料相关性能指标的检测亦可根据实际情况参照使用本标准执行。</w:t>
      </w:r>
    </w:p>
    <w:p>
      <w:pPr>
        <w:numPr>
          <w:ilvl w:val="0"/>
          <w:numId w:val="42"/>
        </w:numPr>
        <w:spacing w:line="360" w:lineRule="auto"/>
        <w:rPr>
          <w:color w:val="auto"/>
          <w:szCs w:val="21"/>
        </w:rPr>
      </w:pPr>
      <w:r>
        <w:rPr>
          <w:color w:val="auto"/>
          <w:szCs w:val="21"/>
        </w:rPr>
        <w:t>国家现行有关标准主要包括：《化工产品采样总则》GB/T 6678、《检测实验室安全》GB/T 27476、《实验室废弃化学品收集技术规范》GB/T 31190、《分析实验室用水规格和试验方法》GB/T 6682、《实验室仪器及设备安全规范 仪用电源》GB/T 32705、《气瓶搬运、装卸、储存和使用安全规定》GB/T 34525、《压缩气体气瓶充装规定》GB/T 14194、《纯氧、高纯氧和超纯氧》GB/T 3863、《纯氮、高纯氮和超纯氮》GB/T 8979、《电热干燥箱及电热鼓风干燥箱》GB/T 30435、《实验室玻璃仪器 量筒》GB/T 12804、《质量流量计》JJG 897、《电子天平》GB/T 26497、《试验筛技术要求和检验第2部分 金属穿孔板试验筛》GB/T 6003.2、《脱硫脱硝用煤质颗粒活性炭》GB/T 30201，均以最新版本为准。</w:t>
      </w:r>
    </w:p>
    <w:p>
      <w:pPr>
        <w:numPr>
          <w:ilvl w:val="0"/>
          <w:numId w:val="43"/>
        </w:numPr>
        <w:spacing w:line="360" w:lineRule="auto"/>
        <w:rPr>
          <w:color w:val="auto"/>
          <w:szCs w:val="21"/>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164" w:name="_Toc496"/>
      <w:bookmarkStart w:id="165" w:name="_Toc6132"/>
      <w:bookmarkStart w:id="166" w:name="_Toc26168"/>
      <w:bookmarkStart w:id="167" w:name="_Toc6684"/>
      <w:bookmarkStart w:id="168" w:name="_Toc24155"/>
      <w:bookmarkStart w:id="169" w:name="_Toc4114"/>
      <w:bookmarkStart w:id="170" w:name="_Toc13651"/>
      <w:bookmarkStart w:id="171" w:name="_Toc22053"/>
      <w:bookmarkStart w:id="172" w:name="_Toc24814"/>
      <w:r>
        <w:rPr>
          <w:color w:val="auto"/>
          <w:sz w:val="28"/>
          <w:szCs w:val="28"/>
        </w:rPr>
        <w:t xml:space="preserve">3 </w:t>
      </w:r>
      <w:bookmarkEnd w:id="164"/>
      <w:bookmarkEnd w:id="165"/>
      <w:bookmarkEnd w:id="166"/>
      <w:bookmarkEnd w:id="167"/>
      <w:r>
        <w:rPr>
          <w:color w:val="auto"/>
          <w:sz w:val="28"/>
          <w:szCs w:val="28"/>
        </w:rPr>
        <w:t>基本规定</w:t>
      </w:r>
      <w:bookmarkEnd w:id="168"/>
      <w:bookmarkEnd w:id="169"/>
      <w:bookmarkEnd w:id="170"/>
      <w:bookmarkEnd w:id="171"/>
      <w:bookmarkEnd w:id="172"/>
    </w:p>
    <w:p>
      <w:pPr>
        <w:numPr>
          <w:ilvl w:val="0"/>
          <w:numId w:val="44"/>
        </w:numPr>
        <w:spacing w:line="360" w:lineRule="auto"/>
        <w:rPr>
          <w:color w:val="auto"/>
          <w:szCs w:val="21"/>
        </w:rPr>
      </w:pPr>
      <w:r>
        <w:rPr>
          <w:color w:val="auto"/>
          <w:szCs w:val="21"/>
        </w:rPr>
        <w:t>碳基材料应用于烟气净化时，要求其具有优异的综合性能指标。堆积密度是系统填装量核算的基本指标；粒度分布直接决定了系统阻力大小，同时也是产品外观指标的直接体现；耐磨强度和耐压强度反应了产品机械强度，与产品服役过程中损耗密切相关；着火点是产品安全性指标，直接决定了产品安全使用温度窗口；水分一方面是防止过高水含量的产品进入系统对烟气净化系统产生不利影响，另一方面是从经济性的角度出发，保证采购的产品水分含量在合理范围内；灰分能从侧面反应产品原材料属性，也是产品主要有效组分含碳量高低的直接体现；挥发分是产品在应用过程中发生超稳风险难易程度最直接的判据指标；水容量侧面反应了产品吸附能力，是判定产品吸附能力较为简单直接的检测手段；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循环吸附值、脱硝率和循环脱硫脱硝性能是产品应用于烟气净化其性能优劣最直接的体现。</w:t>
      </w:r>
    </w:p>
    <w:p>
      <w:pPr>
        <w:numPr>
          <w:ilvl w:val="0"/>
          <w:numId w:val="44"/>
        </w:numPr>
        <w:spacing w:line="360" w:lineRule="auto"/>
        <w:rPr>
          <w:color w:val="auto"/>
          <w:szCs w:val="21"/>
        </w:rPr>
        <w:sectPr>
          <w:pgSz w:w="11906" w:h="16838"/>
          <w:pgMar w:top="1134" w:right="1134" w:bottom="1134" w:left="1134" w:header="851" w:footer="992" w:gutter="0"/>
          <w:cols w:space="0" w:num="1"/>
          <w:docGrid w:type="lines" w:linePitch="312" w:charSpace="0"/>
        </w:sectPr>
      </w:pPr>
      <w:r>
        <w:rPr>
          <w:color w:val="auto"/>
          <w:szCs w:val="21"/>
        </w:rPr>
        <w:t>碳基材料由于配方差异，表现出不同的性能指标。目前，常见的工艺路线中碳基材料功能主要分为单独脱硫和协同脱硫脱硝两种，对应脱硫专用或脱硫脱硝专用碳基材料。</w:t>
      </w:r>
    </w:p>
    <w:p>
      <w:pPr>
        <w:pStyle w:val="2"/>
        <w:spacing w:before="120" w:after="120" w:line="360" w:lineRule="auto"/>
        <w:jc w:val="center"/>
        <w:rPr>
          <w:color w:val="auto"/>
          <w:sz w:val="28"/>
          <w:szCs w:val="28"/>
        </w:rPr>
      </w:pPr>
      <w:bookmarkStart w:id="173" w:name="_Toc162"/>
      <w:bookmarkStart w:id="174" w:name="_Toc29627"/>
      <w:bookmarkStart w:id="175" w:name="_Toc2076"/>
      <w:bookmarkStart w:id="176" w:name="_Toc14280"/>
      <w:bookmarkStart w:id="177" w:name="_Toc27627"/>
      <w:bookmarkStart w:id="178" w:name="_Toc8224"/>
      <w:bookmarkStart w:id="179" w:name="_Toc10135"/>
      <w:bookmarkStart w:id="180" w:name="_Toc19277"/>
      <w:bookmarkStart w:id="181" w:name="_Toc12277"/>
      <w:r>
        <w:rPr>
          <w:color w:val="auto"/>
          <w:sz w:val="28"/>
          <w:szCs w:val="28"/>
        </w:rPr>
        <w:t>4 测试仪器和设备</w:t>
      </w:r>
      <w:bookmarkEnd w:id="173"/>
      <w:bookmarkEnd w:id="174"/>
      <w:bookmarkEnd w:id="175"/>
      <w:bookmarkEnd w:id="176"/>
      <w:bookmarkEnd w:id="177"/>
      <w:bookmarkEnd w:id="178"/>
      <w:bookmarkEnd w:id="179"/>
      <w:bookmarkEnd w:id="180"/>
      <w:bookmarkEnd w:id="181"/>
    </w:p>
    <w:p>
      <w:pPr>
        <w:tabs>
          <w:tab w:val="left" w:pos="0"/>
        </w:tabs>
        <w:spacing w:line="360" w:lineRule="auto"/>
        <w:rPr>
          <w:color w:val="auto"/>
          <w:szCs w:val="21"/>
        </w:rPr>
      </w:pPr>
      <w:r>
        <w:rPr>
          <w:color w:val="auto"/>
          <w:szCs w:val="21"/>
        </w:rPr>
        <w:t>4.0.13  烟气净化碳基材料测试前需在一定温度下烘干，去除孔隙中水汽、有机气体等，</w:t>
      </w:r>
      <w:r>
        <w:rPr>
          <w:rFonts w:hint="eastAsia"/>
          <w:color w:val="auto"/>
          <w:szCs w:val="21"/>
        </w:rPr>
        <w:t>通常市面上的干燥箱的温度可设置范围为室温~300</w:t>
      </w:r>
      <w:r>
        <w:rPr>
          <w:color w:val="auto"/>
          <w:szCs w:val="21"/>
        </w:rPr>
        <w:t>℃</w:t>
      </w:r>
      <w:r>
        <w:rPr>
          <w:rFonts w:hint="eastAsia"/>
          <w:color w:val="auto"/>
          <w:szCs w:val="21"/>
        </w:rPr>
        <w:t>，此温度范围足够满足测试需求，故采用此常规规格</w:t>
      </w:r>
      <w:r>
        <w:rPr>
          <w:color w:val="auto"/>
          <w:szCs w:val="21"/>
        </w:rPr>
        <w:t>电热鼓风干燥箱</w:t>
      </w:r>
      <w:r>
        <w:rPr>
          <w:rFonts w:hint="eastAsia"/>
          <w:color w:val="auto"/>
          <w:szCs w:val="21"/>
        </w:rPr>
        <w:t>。</w:t>
      </w:r>
    </w:p>
    <w:p>
      <w:pPr>
        <w:keepNext/>
        <w:keepLines/>
        <w:tabs>
          <w:tab w:val="left" w:pos="397"/>
        </w:tabs>
        <w:spacing w:line="360" w:lineRule="auto"/>
        <w:rPr>
          <w:color w:val="auto"/>
          <w:sz w:val="18"/>
          <w:szCs w:val="18"/>
        </w:rPr>
      </w:pPr>
      <w:r>
        <w:rPr>
          <w:color w:val="auto"/>
          <w:szCs w:val="21"/>
        </w:rPr>
        <w:t>4.0.15  堆积密度、粒度分布、耐磨强度、水分、水容量、SO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循环吸附值和循环脱硫脱硝性能测试均需要使用电子天平，精密度为0.01g时即可满足测试需求。</w:t>
      </w:r>
    </w:p>
    <w:p>
      <w:pPr>
        <w:tabs>
          <w:tab w:val="left" w:pos="0"/>
        </w:tabs>
        <w:spacing w:line="360" w:lineRule="auto"/>
        <w:rPr>
          <w:color w:val="auto"/>
          <w:szCs w:val="21"/>
        </w:rPr>
      </w:pPr>
      <w:r>
        <w:rPr>
          <w:color w:val="auto"/>
          <w:szCs w:val="21"/>
        </w:rPr>
        <w:t>4.0.18  碳基材料长度通常在30mm以内，进料漏斗规定尺寸中出口内径的选择需保证物料能自然连续下落，不至于因架桥效应而堵住出口。</w:t>
      </w:r>
    </w:p>
    <w:p>
      <w:pPr>
        <w:tabs>
          <w:tab w:val="left" w:pos="0"/>
        </w:tabs>
        <w:spacing w:line="360" w:lineRule="auto"/>
        <w:rPr>
          <w:color w:val="auto"/>
          <w:szCs w:val="21"/>
        </w:rPr>
      </w:pPr>
      <w:r>
        <w:rPr>
          <w:color w:val="auto"/>
          <w:szCs w:val="21"/>
        </w:rPr>
        <w:t xml:space="preserve">4.0.19  1000ml锥形瓶可装填碳基材料的量在800g左右，碳基材料的堆积密度通常在550g/L～700g/L之间，装填量更为匹配，相对误差更小。 </w:t>
      </w:r>
    </w:p>
    <w:p>
      <w:pPr>
        <w:tabs>
          <w:tab w:val="left" w:pos="0"/>
        </w:tabs>
        <w:spacing w:line="360" w:lineRule="auto"/>
        <w:rPr>
          <w:color w:val="auto"/>
          <w:szCs w:val="21"/>
        </w:rPr>
      </w:pPr>
      <w:r>
        <w:rPr>
          <w:color w:val="auto"/>
          <w:szCs w:val="21"/>
        </w:rPr>
        <w:t>4.0.20  垂直振动试验台支架用以固定直口锥形瓶，防止锥形瓶在振动时产生过大横向移动。</w:t>
      </w:r>
    </w:p>
    <w:p>
      <w:pPr>
        <w:tabs>
          <w:tab w:val="left" w:pos="0"/>
        </w:tabs>
        <w:spacing w:line="360" w:lineRule="auto"/>
        <w:rPr>
          <w:color w:val="auto"/>
          <w:szCs w:val="21"/>
        </w:rPr>
      </w:pPr>
      <w:r>
        <w:rPr>
          <w:color w:val="auto"/>
          <w:szCs w:val="21"/>
        </w:rPr>
        <w:t>4.0.23  二分器为标准设备，是根据国家标准GB/T 474-2008《煤样的制备方法》中的规定设计的，目前市场上分样粒度型号规格主要有大号、中号、小号三种，分样粒度分别小于或等于13mm、6mm和3mm三种，由于烟气净化碳基材料的粒径一般为8mm～10mm，因此要选用分样粒度小于或等于13mm的大号。</w:t>
      </w:r>
    </w:p>
    <w:p>
      <w:pPr>
        <w:tabs>
          <w:tab w:val="left" w:pos="0"/>
        </w:tabs>
        <w:spacing w:line="360" w:lineRule="auto"/>
        <w:rPr>
          <w:color w:val="auto"/>
          <w:szCs w:val="21"/>
        </w:rPr>
      </w:pPr>
      <w:r>
        <w:rPr>
          <w:color w:val="auto"/>
          <w:szCs w:val="21"/>
        </w:rPr>
        <w:t>4.0.24  着火点测试装置主要包括空气配气装置、氮气配气装置、加热升温炉、石英管套装置、程序控温和读数装置、温度采集装置等，以实现碳基材料着火点测试全程程序升温、程序读取着火点、程序启动灭火。</w:t>
      </w:r>
    </w:p>
    <w:p>
      <w:pPr>
        <w:tabs>
          <w:tab w:val="left" w:pos="0"/>
        </w:tabs>
        <w:spacing w:line="360" w:lineRule="auto"/>
        <w:rPr>
          <w:color w:val="auto"/>
          <w:szCs w:val="21"/>
        </w:rPr>
      </w:pPr>
      <w:r>
        <w:rPr>
          <w:color w:val="auto"/>
          <w:szCs w:val="21"/>
        </w:rPr>
        <w:t>4.0.27  长方孔试验筛为标准设备，其规格选取参考国标GB/T 12620-2008《长圆孔、长方孔和圆孔筛板》。烟气净化碳基材料的粒径通常为8mm～10mm，长度通常小于30mm。过长碳基材料会导致测试堆积密度时在锥形瓶内架桥，同时过长颗粒会影响整体耐压强度性能，不能如实反应综合指标，因此堆积密度和耐压强度测试时选取10mm规格尺寸，用以筛除过长颗粒试样；同时，烟气净化碳基材料在烟气净化工程解析塔出来后需要筛分再循环进入吸附塔，而筛分尺寸通常为1.6mm，以筛除碎小颗粒碳基材料对烟气净化效果的影响，同时考虑到运输转移过程产生的过细碳基材料会影响堆积密度测试的准确性，因此堆积密度测试选取1.6mm规格尺寸对样品进行预筛分处理，最后取</w:t>
      </w:r>
      <w:r>
        <w:rPr>
          <w:i/>
          <w:iCs/>
          <w:color w:val="auto"/>
          <w:szCs w:val="21"/>
        </w:rPr>
        <w:sym w:font="Symbol" w:char="F066"/>
      </w:r>
      <w:r>
        <w:rPr>
          <w:i/>
          <w:iCs/>
          <w:color w:val="auto"/>
          <w:szCs w:val="21"/>
        </w:rPr>
        <w:t xml:space="preserve"> </w:t>
      </w:r>
      <w:r>
        <w:rPr>
          <w:color w:val="auto"/>
          <w:szCs w:val="21"/>
        </w:rPr>
        <w:t>200×50-1.6×12.5/4×16筛层筛上试样进行测试；烟气净化碳基材料生产厂商成品装袋前的过筛尺寸通常为6mm左右，因此选取6.3mm规格尺寸进行粒度分布测试，以筛选合格粒度产品。</w:t>
      </w:r>
    </w:p>
    <w:p>
      <w:pPr>
        <w:tabs>
          <w:tab w:val="left" w:pos="0"/>
        </w:tabs>
        <w:spacing w:line="360" w:lineRule="auto"/>
        <w:rPr>
          <w:color w:val="auto"/>
          <w:szCs w:val="21"/>
        </w:rPr>
      </w:pPr>
      <w:r>
        <w:rPr>
          <w:color w:val="auto"/>
          <w:szCs w:val="21"/>
        </w:rPr>
        <w:t>4.0.32  灰皿为标准设备，型号规格包括45mm×22mm×14mm、60mm×30mm×15mm、90mm×60mm×18mm等，在按本标准规定的检测方法测试过程中需使试样均匀平铺在灰皿内，保证短时间内灼烧完成，因此选用长度为45mm，宽度为22mm，高度为14mm的灰皿。</w:t>
      </w:r>
    </w:p>
    <w:p>
      <w:pPr>
        <w:tabs>
          <w:tab w:val="left" w:pos="0"/>
        </w:tabs>
        <w:spacing w:line="360" w:lineRule="auto"/>
        <w:rPr>
          <w:color w:val="auto"/>
          <w:szCs w:val="21"/>
        </w:rPr>
      </w:pPr>
      <w:r>
        <w:rPr>
          <w:color w:val="auto"/>
          <w:szCs w:val="21"/>
        </w:rPr>
        <w:t>4.0.33  方孔试验筛为标准设备，其标记方法参考《试验筛 技术要求和检验 第1部分：金属丝编织网试验筛》GB/T 6003.1。用以在灰分、挥发分、SO</w:t>
      </w:r>
      <w:r>
        <w:rPr>
          <w:color w:val="auto"/>
          <w:szCs w:val="21"/>
          <w:vertAlign w:val="subscript"/>
        </w:rPr>
        <w:t>2</w:t>
      </w:r>
      <w:r>
        <w:rPr>
          <w:color w:val="auto"/>
          <w:szCs w:val="21"/>
        </w:rPr>
        <w:t>吸附值、SO</w:t>
      </w:r>
      <w:r>
        <w:rPr>
          <w:color w:val="auto"/>
          <w:szCs w:val="21"/>
          <w:vertAlign w:val="subscript"/>
        </w:rPr>
        <w:t>2</w:t>
      </w:r>
      <w:r>
        <w:rPr>
          <w:color w:val="auto"/>
          <w:szCs w:val="21"/>
        </w:rPr>
        <w:t>循环吸附值和循环脱硫脱硝性能测试中去除试样中小颗粒。</w:t>
      </w:r>
    </w:p>
    <w:p>
      <w:pPr>
        <w:tabs>
          <w:tab w:val="left" w:pos="0"/>
        </w:tabs>
        <w:spacing w:line="360" w:lineRule="auto"/>
        <w:rPr>
          <w:color w:val="auto"/>
          <w:szCs w:val="21"/>
        </w:rPr>
      </w:pPr>
      <w:r>
        <w:rPr>
          <w:color w:val="auto"/>
          <w:szCs w:val="21"/>
        </w:rPr>
        <w:t>4.0.36  布氏漏斗常用外径规格为60mm，80mm，100mm，120mm，150mm，200mm等，在本按本标准规定的检测方法测试过程中需将试样均匀分布在布氏漏斗内，保证抽滤时试样所受压力基本一致，因此选用外径为80mm，内径为70mm ~75mm的布氏漏斗。</w:t>
      </w:r>
    </w:p>
    <w:p>
      <w:pPr>
        <w:tabs>
          <w:tab w:val="left" w:pos="0"/>
        </w:tabs>
        <w:spacing w:line="360" w:lineRule="auto"/>
        <w:rPr>
          <w:color w:val="auto"/>
          <w:szCs w:val="21"/>
        </w:rPr>
      </w:pPr>
      <w:r>
        <w:rPr>
          <w:color w:val="auto"/>
          <w:szCs w:val="21"/>
        </w:rPr>
        <w:t>4.0.40  考虑到模拟烟气总气量及各组分浓度，同时考虑配气精度，规定了氧气等五个组分的气体采用质量流量计配制，去离子水由蠕动泵抽取，并采用合适的量程；预热单元实现模拟烟气升温至反应所需温度；反应单元是模拟烟气净化的场所，不同的是该测试采用固定床型式，同时反应器竖直布置于加热保温炉体内，加热保温炉体的作用是使样品能够处于恒定的反应温度下；而控制单元则承担着测试系统控制、数据监测及记录等各项工作；氨气具有极强的吸附性，为尽可能减少氨气在设备内吸附，氨气应在反应器入口注入。</w:t>
      </w:r>
    </w:p>
    <w:p>
      <w:pPr>
        <w:tabs>
          <w:tab w:val="left" w:pos="0"/>
        </w:tabs>
        <w:spacing w:line="360" w:lineRule="auto"/>
        <w:rPr>
          <w:color w:val="auto"/>
          <w:szCs w:val="21"/>
        </w:rPr>
      </w:pPr>
      <w:r>
        <w:rPr>
          <w:color w:val="auto"/>
          <w:szCs w:val="21"/>
        </w:rPr>
        <w:t>4.0.41  烟气分析系统</w:t>
      </w:r>
      <w:r>
        <w:rPr>
          <w:rFonts w:hint="eastAsia"/>
          <w:color w:val="auto"/>
          <w:szCs w:val="21"/>
        </w:rPr>
        <w:t>要</w:t>
      </w:r>
      <w:r>
        <w:rPr>
          <w:color w:val="auto"/>
          <w:szCs w:val="21"/>
        </w:rPr>
        <w:t>能同时检测湿度、氧含量、一氧化氮、氨气、二氧化硫浓度等，并根据配气值选择合适的量程。</w:t>
      </w:r>
    </w:p>
    <w:p>
      <w:pPr>
        <w:tabs>
          <w:tab w:val="left" w:pos="0"/>
        </w:tabs>
        <w:spacing w:line="360" w:lineRule="auto"/>
        <w:rPr>
          <w:color w:val="auto"/>
          <w:szCs w:val="21"/>
        </w:rPr>
      </w:pPr>
      <w:r>
        <w:rPr>
          <w:color w:val="auto"/>
          <w:szCs w:val="21"/>
        </w:rPr>
        <w:t>4.0.42  脱硝率测试时，床层直径、厚度、接触时间等是影响脱硝率的重要因素，经反复试验后确定本方法中床层厚度为500mm，即取样量应为1000 mL，因此需配备1000 mL量筒。</w:t>
      </w:r>
    </w:p>
    <w:p>
      <w:pPr>
        <w:tabs>
          <w:tab w:val="left" w:pos="0"/>
        </w:tabs>
        <w:spacing w:line="360" w:lineRule="auto"/>
        <w:rPr>
          <w:color w:val="auto"/>
          <w:szCs w:val="21"/>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182" w:name="_Toc17142"/>
      <w:bookmarkStart w:id="183" w:name="_Toc7015"/>
      <w:bookmarkStart w:id="184" w:name="_Toc23682"/>
      <w:bookmarkStart w:id="185" w:name="_Toc24427"/>
      <w:bookmarkStart w:id="186" w:name="_Toc8751"/>
      <w:bookmarkStart w:id="187" w:name="_Toc7764"/>
      <w:bookmarkStart w:id="188" w:name="_Toc31048"/>
      <w:bookmarkStart w:id="189" w:name="_Toc28130"/>
      <w:bookmarkStart w:id="190" w:name="_Toc21837"/>
      <w:r>
        <w:rPr>
          <w:color w:val="auto"/>
          <w:sz w:val="28"/>
          <w:szCs w:val="28"/>
        </w:rPr>
        <w:t>5 测试试样和试剂</w:t>
      </w:r>
      <w:bookmarkEnd w:id="182"/>
      <w:bookmarkEnd w:id="183"/>
      <w:bookmarkEnd w:id="184"/>
      <w:bookmarkEnd w:id="185"/>
      <w:bookmarkEnd w:id="186"/>
    </w:p>
    <w:p>
      <w:pPr>
        <w:tabs>
          <w:tab w:val="left" w:pos="0"/>
        </w:tabs>
        <w:spacing w:line="360" w:lineRule="auto"/>
        <w:rPr>
          <w:color w:val="auto"/>
          <w:szCs w:val="21"/>
        </w:rPr>
      </w:pPr>
      <w:r>
        <w:rPr>
          <w:color w:val="auto"/>
          <w:szCs w:val="21"/>
        </w:rPr>
        <w:t>5.0.1  堆积密度测试中，因1000mL直口锥形瓶总共可装填烟气净化碳基材料约550 g/L~750g/L，因此试验样品量选择1000g~2000g即可。</w:t>
      </w:r>
    </w:p>
    <w:p>
      <w:pPr>
        <w:tabs>
          <w:tab w:val="left" w:pos="0"/>
        </w:tabs>
        <w:spacing w:line="360" w:lineRule="auto"/>
        <w:rPr>
          <w:color w:val="auto"/>
          <w:szCs w:val="21"/>
        </w:rPr>
      </w:pPr>
      <w:r>
        <w:rPr>
          <w:color w:val="auto"/>
          <w:szCs w:val="21"/>
        </w:rPr>
        <w:t>5.0.2  因粒度分布测试最终试样量为(300±1)g，因此试验前烘干用样品量选择300g~600g即可。</w:t>
      </w:r>
    </w:p>
    <w:p>
      <w:pPr>
        <w:tabs>
          <w:tab w:val="left" w:pos="0"/>
        </w:tabs>
        <w:spacing w:line="360" w:lineRule="auto"/>
        <w:rPr>
          <w:color w:val="auto"/>
          <w:szCs w:val="21"/>
        </w:rPr>
      </w:pPr>
      <w:r>
        <w:rPr>
          <w:color w:val="auto"/>
          <w:szCs w:val="21"/>
        </w:rPr>
        <w:t>5.0.3  因耐磨强度测试最终试样量为(50±1)g，因此试验前烘干用样品量选择50g~100g即可。</w:t>
      </w:r>
    </w:p>
    <w:p>
      <w:pPr>
        <w:tabs>
          <w:tab w:val="left" w:pos="0"/>
        </w:tabs>
        <w:spacing w:line="360" w:lineRule="auto"/>
        <w:rPr>
          <w:color w:val="auto"/>
          <w:szCs w:val="21"/>
        </w:rPr>
      </w:pPr>
      <w:r>
        <w:rPr>
          <w:color w:val="auto"/>
          <w:szCs w:val="21"/>
        </w:rPr>
        <w:t>5.0.4  因耐压强度测试最终试样量为20粒，因此试验前将样品缩减为20粒～40粒即可。</w:t>
      </w:r>
    </w:p>
    <w:p>
      <w:pPr>
        <w:tabs>
          <w:tab w:val="left" w:pos="0"/>
        </w:tabs>
        <w:spacing w:line="360" w:lineRule="auto"/>
        <w:rPr>
          <w:color w:val="auto"/>
          <w:szCs w:val="21"/>
        </w:rPr>
      </w:pPr>
      <w:r>
        <w:rPr>
          <w:color w:val="auto"/>
          <w:szCs w:val="21"/>
        </w:rPr>
        <w:t>5.0.5  着火点测试中，因直径为20mm的石英灼管装填高度为(75±1)mm，碳基材料的质量在15g以内，因此试验前烘干用样品量选择15g~30g即可。</w:t>
      </w:r>
    </w:p>
    <w:p>
      <w:pPr>
        <w:tabs>
          <w:tab w:val="left" w:pos="0"/>
        </w:tabs>
        <w:spacing w:line="360" w:lineRule="auto"/>
        <w:rPr>
          <w:color w:val="auto"/>
          <w:szCs w:val="21"/>
        </w:rPr>
      </w:pPr>
      <w:r>
        <w:rPr>
          <w:color w:val="auto"/>
          <w:szCs w:val="21"/>
        </w:rPr>
        <w:t>5.0.12  在实际烧结球团烟气中，一氧化氮占氮氧化物总量的95%左右，其余为二氧化氮。其中，一氧化氮较二氧化氮更难以脱除。因此，实际脱硝试验过程中，模拟烟气用一氧化氮来代替氮氧化物。</w:t>
      </w:r>
    </w:p>
    <w:p>
      <w:pPr>
        <w:tabs>
          <w:tab w:val="left" w:pos="0"/>
        </w:tabs>
        <w:spacing w:line="360" w:lineRule="auto"/>
        <w:rPr>
          <w:color w:val="auto"/>
          <w:szCs w:val="21"/>
        </w:rPr>
      </w:pPr>
      <w:r>
        <w:rPr>
          <w:color w:val="auto"/>
          <w:szCs w:val="21"/>
        </w:rPr>
        <w:t>5.0.13~5.0.15  为排除杂质对碳基材料脱硫脱硝的影响，采用纯氧、纯氮和分析实验室用水。</w:t>
      </w:r>
    </w:p>
    <w:p>
      <w:pPr>
        <w:tabs>
          <w:tab w:val="left" w:pos="0"/>
        </w:tabs>
        <w:spacing w:line="360" w:lineRule="auto"/>
        <w:rPr>
          <w:color w:val="auto"/>
          <w:szCs w:val="21"/>
        </w:rPr>
      </w:pPr>
      <w:r>
        <w:rPr>
          <w:color w:val="auto"/>
          <w:szCs w:val="21"/>
        </w:rPr>
        <w:t>5.0.16~5.0.18  考虑到用气安全、用气量、经济性及配气可靠性，二氧化硫采用(2±0.1) %标气；一氧化氮采用(2±0.1) %（体积分数）标气；氨气采用(2±0.1) %（体积分数）标气。</w:t>
      </w:r>
    </w:p>
    <w:p>
      <w:pPr>
        <w:spacing w:line="360" w:lineRule="auto"/>
        <w:rPr>
          <w:color w:val="auto"/>
        </w:rPr>
      </w:pPr>
    </w:p>
    <w:p>
      <w:pPr>
        <w:spacing w:line="360" w:lineRule="auto"/>
        <w:rPr>
          <w:color w:val="auto"/>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color w:val="auto"/>
          <w:sz w:val="28"/>
          <w:szCs w:val="28"/>
        </w:rPr>
      </w:pPr>
      <w:bookmarkStart w:id="191" w:name="_Toc932"/>
      <w:bookmarkStart w:id="192" w:name="_Toc5004"/>
      <w:bookmarkStart w:id="193" w:name="_Toc14303"/>
      <w:bookmarkStart w:id="194" w:name="_Toc3770"/>
      <w:bookmarkStart w:id="195" w:name="_Toc3235"/>
      <w:r>
        <w:rPr>
          <w:color w:val="auto"/>
          <w:sz w:val="28"/>
          <w:szCs w:val="28"/>
        </w:rPr>
        <w:t>6 测试及计算</w:t>
      </w:r>
      <w:bookmarkEnd w:id="187"/>
      <w:bookmarkEnd w:id="188"/>
      <w:bookmarkEnd w:id="189"/>
      <w:bookmarkEnd w:id="190"/>
      <w:bookmarkEnd w:id="191"/>
      <w:bookmarkEnd w:id="192"/>
      <w:bookmarkEnd w:id="193"/>
      <w:bookmarkEnd w:id="194"/>
      <w:bookmarkEnd w:id="195"/>
    </w:p>
    <w:p>
      <w:pPr>
        <w:pStyle w:val="3"/>
        <w:spacing w:beforeLines="50" w:afterLines="50" w:line="360" w:lineRule="auto"/>
        <w:jc w:val="center"/>
        <w:rPr>
          <w:rFonts w:ascii="Times New Roman" w:hAnsi="Times New Roman" w:eastAsia="宋体"/>
          <w:b w:val="0"/>
          <w:color w:val="auto"/>
          <w:sz w:val="24"/>
          <w:szCs w:val="24"/>
        </w:rPr>
      </w:pPr>
      <w:bookmarkStart w:id="196" w:name="_Toc14723"/>
      <w:bookmarkStart w:id="197" w:name="_Toc8069"/>
      <w:r>
        <w:rPr>
          <w:rFonts w:ascii="Times New Roman" w:hAnsi="Times New Roman" w:eastAsia="宋体"/>
          <w:b w:val="0"/>
          <w:color w:val="auto"/>
          <w:sz w:val="24"/>
          <w:szCs w:val="24"/>
        </w:rPr>
        <w:t>6.1 堆积密度</w:t>
      </w:r>
      <w:bookmarkEnd w:id="196"/>
      <w:bookmarkEnd w:id="197"/>
    </w:p>
    <w:p>
      <w:pPr>
        <w:tabs>
          <w:tab w:val="left" w:pos="0"/>
        </w:tabs>
        <w:spacing w:line="360" w:lineRule="auto"/>
        <w:rPr>
          <w:color w:val="auto"/>
          <w:szCs w:val="21"/>
        </w:rPr>
      </w:pPr>
      <w:r>
        <w:rPr>
          <w:color w:val="auto"/>
          <w:szCs w:val="21"/>
        </w:rPr>
        <w:t>6.1.1</w:t>
      </w:r>
      <w:r>
        <w:rPr>
          <w:rFonts w:hint="eastAsia"/>
          <w:color w:val="auto"/>
          <w:szCs w:val="21"/>
        </w:rPr>
        <w:t>~6.1.3</w:t>
      </w:r>
      <w:r>
        <w:rPr>
          <w:color w:val="auto"/>
          <w:szCs w:val="21"/>
        </w:rPr>
        <w:t xml:space="preserve">  垂直振动锥形瓶可将物料振实，以模拟实际工况物料运动下紧实的堆积状态。物料振实一次之后，装满物料便不再振动，以保证实验的统一性。表1给出了直口锥形瓶与量筒测试堆积密度结果，对比试验表明，直口锥形瓶测试平行样的相对误差较量筒更小，故本标准规定采用直口锥形瓶进行堆积密度测试。</w:t>
      </w:r>
    </w:p>
    <w:p>
      <w:pPr>
        <w:keepNext/>
        <w:keepLines/>
        <w:tabs>
          <w:tab w:val="left" w:pos="397"/>
        </w:tabs>
        <w:spacing w:beforeLines="50" w:afterLines="50" w:line="360" w:lineRule="auto"/>
        <w:jc w:val="center"/>
        <w:rPr>
          <w:color w:val="auto"/>
          <w:sz w:val="18"/>
          <w:szCs w:val="18"/>
        </w:rPr>
      </w:pPr>
      <w:r>
        <w:rPr>
          <w:color w:val="auto"/>
          <w:sz w:val="18"/>
          <w:szCs w:val="18"/>
        </w:rPr>
        <w:t>表1  直口锥形瓶与量筒测试堆积密度结果对比</w:t>
      </w:r>
    </w:p>
    <w:tbl>
      <w:tblPr>
        <w:tblStyle w:val="25"/>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45"/>
        <w:gridCol w:w="777"/>
        <w:gridCol w:w="994"/>
        <w:gridCol w:w="980"/>
        <w:gridCol w:w="799"/>
        <w:gridCol w:w="943"/>
        <w:gridCol w:w="964"/>
        <w:gridCol w:w="816"/>
        <w:gridCol w:w="1135"/>
        <w:gridCol w:w="950"/>
        <w:gridCol w:w="85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2751" w:type="dxa"/>
            <w:gridSpan w:val="3"/>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1000ml直口锥形瓶振动测试</w:t>
            </w:r>
          </w:p>
        </w:tc>
        <w:tc>
          <w:tcPr>
            <w:tcW w:w="3522" w:type="dxa"/>
            <w:gridSpan w:val="4"/>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1000ml量筒振动测试</w:t>
            </w:r>
          </w:p>
        </w:tc>
        <w:tc>
          <w:tcPr>
            <w:tcW w:w="2936" w:type="dxa"/>
            <w:gridSpan w:val="3"/>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1000ml量筒无振动测试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777" w:type="dxa"/>
            <w:tcBorders>
              <w:bottom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填装量(g)</w:t>
            </w:r>
          </w:p>
        </w:tc>
        <w:tc>
          <w:tcPr>
            <w:tcW w:w="994" w:type="dxa"/>
            <w:tcBorders>
              <w:bottom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堆积密度(g/L)</w:t>
            </w:r>
          </w:p>
        </w:tc>
        <w:tc>
          <w:tcPr>
            <w:tcW w:w="980"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相对误差(g/L)</w:t>
            </w:r>
          </w:p>
        </w:tc>
        <w:tc>
          <w:tcPr>
            <w:tcW w:w="799"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平均值(g/L)</w:t>
            </w:r>
          </w:p>
        </w:tc>
        <w:tc>
          <w:tcPr>
            <w:tcW w:w="943"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堆积密度(g/L)</w:t>
            </w:r>
          </w:p>
        </w:tc>
        <w:tc>
          <w:tcPr>
            <w:tcW w:w="964"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相对误差(g/L)</w:t>
            </w:r>
          </w:p>
        </w:tc>
        <w:tc>
          <w:tcPr>
            <w:tcW w:w="816"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平均值(g/L)</w:t>
            </w:r>
          </w:p>
        </w:tc>
        <w:tc>
          <w:tcPr>
            <w:tcW w:w="1135" w:type="dxa"/>
            <w:tcBorders>
              <w:bottom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堆积密度(g/L)</w:t>
            </w:r>
          </w:p>
        </w:tc>
        <w:tc>
          <w:tcPr>
            <w:tcW w:w="950"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相对误差(g/L)</w:t>
            </w:r>
          </w:p>
        </w:tc>
        <w:tc>
          <w:tcPr>
            <w:tcW w:w="851"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平均值(g/L)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777" w:type="dxa"/>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730.73</w:t>
            </w:r>
          </w:p>
        </w:tc>
        <w:tc>
          <w:tcPr>
            <w:tcW w:w="994" w:type="dxa"/>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650</w:t>
            </w:r>
          </w:p>
        </w:tc>
        <w:tc>
          <w:tcPr>
            <w:tcW w:w="980"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w:t>
            </w:r>
          </w:p>
        </w:tc>
        <w:tc>
          <w:tcPr>
            <w:tcW w:w="799"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647</w:t>
            </w:r>
          </w:p>
        </w:tc>
        <w:tc>
          <w:tcPr>
            <w:tcW w:w="943" w:type="dxa"/>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633</w:t>
            </w:r>
          </w:p>
        </w:tc>
        <w:tc>
          <w:tcPr>
            <w:tcW w:w="964"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816"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632</w:t>
            </w:r>
          </w:p>
        </w:tc>
        <w:tc>
          <w:tcPr>
            <w:tcW w:w="1135" w:type="dxa"/>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592</w:t>
            </w:r>
          </w:p>
        </w:tc>
        <w:tc>
          <w:tcPr>
            <w:tcW w:w="950"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851"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594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vAlign w:val="center"/>
          </w:tcPr>
          <w:p>
            <w:pPr>
              <w:pStyle w:val="15"/>
              <w:spacing w:line="360" w:lineRule="auto"/>
              <w:ind w:left="0" w:leftChars="0" w:firstLine="0" w:firstLineChars="0"/>
              <w:jc w:val="center"/>
              <w:rPr>
                <w:color w:val="auto"/>
                <w:sz w:val="18"/>
                <w:szCs w:val="18"/>
              </w:rPr>
            </w:pP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723.65</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644</w:t>
            </w:r>
          </w:p>
        </w:tc>
        <w:tc>
          <w:tcPr>
            <w:tcW w:w="980" w:type="dxa"/>
            <w:vMerge w:val="continue"/>
            <w:vAlign w:val="center"/>
          </w:tcPr>
          <w:p>
            <w:pPr>
              <w:pStyle w:val="15"/>
              <w:spacing w:line="360" w:lineRule="auto"/>
              <w:ind w:left="0" w:leftChars="0" w:firstLine="0" w:firstLineChars="0"/>
              <w:jc w:val="center"/>
              <w:rPr>
                <w:color w:val="auto"/>
                <w:sz w:val="18"/>
                <w:szCs w:val="18"/>
              </w:rPr>
            </w:pPr>
          </w:p>
        </w:tc>
        <w:tc>
          <w:tcPr>
            <w:tcW w:w="799" w:type="dxa"/>
            <w:vMerge w:val="continue"/>
            <w:vAlign w:val="center"/>
          </w:tcPr>
          <w:p>
            <w:pPr>
              <w:pStyle w:val="15"/>
              <w:spacing w:line="360" w:lineRule="auto"/>
              <w:ind w:left="0" w:leftChars="0" w:firstLine="0" w:firstLineChars="0"/>
              <w:jc w:val="center"/>
              <w:rPr>
                <w:color w:val="auto"/>
                <w:sz w:val="18"/>
                <w:szCs w:val="18"/>
              </w:rPr>
            </w:pP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631</w:t>
            </w:r>
          </w:p>
        </w:tc>
        <w:tc>
          <w:tcPr>
            <w:tcW w:w="964"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816"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596</w:t>
            </w:r>
          </w:p>
        </w:tc>
        <w:tc>
          <w:tcPr>
            <w:tcW w:w="950" w:type="dxa"/>
            <w:vMerge w:val="continue"/>
            <w:vAlign w:val="center"/>
          </w:tcPr>
          <w:p>
            <w:pPr>
              <w:pStyle w:val="15"/>
              <w:spacing w:line="360" w:lineRule="auto"/>
              <w:ind w:left="0" w:leftChars="0" w:firstLine="0" w:firstLineChars="0"/>
              <w:jc w:val="center"/>
              <w:rPr>
                <w:color w:val="auto"/>
                <w:sz w:val="18"/>
                <w:szCs w:val="18"/>
              </w:rPr>
            </w:pPr>
          </w:p>
        </w:tc>
        <w:tc>
          <w:tcPr>
            <w:tcW w:w="851"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720.10</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641</w:t>
            </w:r>
          </w:p>
        </w:tc>
        <w:tc>
          <w:tcPr>
            <w:tcW w:w="98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799"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642</w:t>
            </w: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647</w:t>
            </w:r>
          </w:p>
        </w:tc>
        <w:tc>
          <w:tcPr>
            <w:tcW w:w="964"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81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645</w:t>
            </w: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554</w:t>
            </w:r>
          </w:p>
        </w:tc>
        <w:tc>
          <w:tcPr>
            <w:tcW w:w="95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851"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vAlign w:val="center"/>
          </w:tcPr>
          <w:p>
            <w:pPr>
              <w:pStyle w:val="15"/>
              <w:spacing w:line="360" w:lineRule="auto"/>
              <w:ind w:left="0" w:leftChars="0" w:firstLine="0" w:firstLineChars="0"/>
              <w:jc w:val="center"/>
              <w:rPr>
                <w:color w:val="auto"/>
                <w:sz w:val="18"/>
                <w:szCs w:val="18"/>
              </w:rPr>
            </w:pP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721.23</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642</w:t>
            </w:r>
          </w:p>
        </w:tc>
        <w:tc>
          <w:tcPr>
            <w:tcW w:w="980" w:type="dxa"/>
            <w:vMerge w:val="continue"/>
            <w:vAlign w:val="center"/>
          </w:tcPr>
          <w:p>
            <w:pPr>
              <w:pStyle w:val="15"/>
              <w:spacing w:line="360" w:lineRule="auto"/>
              <w:ind w:left="0" w:leftChars="0" w:firstLine="0" w:firstLineChars="0"/>
              <w:jc w:val="center"/>
              <w:rPr>
                <w:color w:val="auto"/>
                <w:sz w:val="18"/>
                <w:szCs w:val="18"/>
              </w:rPr>
            </w:pPr>
          </w:p>
        </w:tc>
        <w:tc>
          <w:tcPr>
            <w:tcW w:w="799" w:type="dxa"/>
            <w:vMerge w:val="continue"/>
            <w:vAlign w:val="center"/>
          </w:tcPr>
          <w:p>
            <w:pPr>
              <w:pStyle w:val="15"/>
              <w:spacing w:line="360" w:lineRule="auto"/>
              <w:ind w:left="0" w:leftChars="0" w:firstLine="0" w:firstLineChars="0"/>
              <w:jc w:val="center"/>
              <w:rPr>
                <w:color w:val="auto"/>
                <w:sz w:val="18"/>
                <w:szCs w:val="18"/>
              </w:rPr>
            </w:pP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643</w:t>
            </w:r>
          </w:p>
        </w:tc>
        <w:tc>
          <w:tcPr>
            <w:tcW w:w="964"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816"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558</w:t>
            </w:r>
          </w:p>
        </w:tc>
        <w:tc>
          <w:tcPr>
            <w:tcW w:w="950" w:type="dxa"/>
            <w:vMerge w:val="continue"/>
            <w:vAlign w:val="center"/>
          </w:tcPr>
          <w:p>
            <w:pPr>
              <w:pStyle w:val="15"/>
              <w:spacing w:line="360" w:lineRule="auto"/>
              <w:ind w:left="0" w:leftChars="0" w:firstLine="0" w:firstLineChars="0"/>
              <w:jc w:val="center"/>
              <w:rPr>
                <w:color w:val="auto"/>
                <w:sz w:val="18"/>
                <w:szCs w:val="18"/>
              </w:rPr>
            </w:pPr>
          </w:p>
        </w:tc>
        <w:tc>
          <w:tcPr>
            <w:tcW w:w="851"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777.94</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692</w:t>
            </w:r>
          </w:p>
        </w:tc>
        <w:tc>
          <w:tcPr>
            <w:tcW w:w="98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0</w:t>
            </w:r>
          </w:p>
        </w:tc>
        <w:tc>
          <w:tcPr>
            <w:tcW w:w="799"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692</w:t>
            </w: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688</w:t>
            </w:r>
          </w:p>
        </w:tc>
        <w:tc>
          <w:tcPr>
            <w:tcW w:w="964"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w:t>
            </w:r>
          </w:p>
        </w:tc>
        <w:tc>
          <w:tcPr>
            <w:tcW w:w="81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685</w:t>
            </w: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621</w:t>
            </w:r>
          </w:p>
        </w:tc>
        <w:tc>
          <w:tcPr>
            <w:tcW w:w="95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12</w:t>
            </w:r>
          </w:p>
        </w:tc>
        <w:tc>
          <w:tcPr>
            <w:tcW w:w="851"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vAlign w:val="center"/>
          </w:tcPr>
          <w:p>
            <w:pPr>
              <w:pStyle w:val="15"/>
              <w:spacing w:line="360" w:lineRule="auto"/>
              <w:ind w:left="0" w:leftChars="0" w:firstLine="0" w:firstLineChars="0"/>
              <w:jc w:val="center"/>
              <w:rPr>
                <w:color w:val="auto"/>
                <w:sz w:val="18"/>
                <w:szCs w:val="18"/>
              </w:rPr>
            </w:pP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777.64</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692</w:t>
            </w:r>
          </w:p>
        </w:tc>
        <w:tc>
          <w:tcPr>
            <w:tcW w:w="980" w:type="dxa"/>
            <w:vMerge w:val="continue"/>
            <w:vAlign w:val="center"/>
          </w:tcPr>
          <w:p>
            <w:pPr>
              <w:pStyle w:val="15"/>
              <w:spacing w:line="360" w:lineRule="auto"/>
              <w:ind w:left="0" w:leftChars="0" w:firstLine="0" w:firstLineChars="0"/>
              <w:jc w:val="center"/>
              <w:rPr>
                <w:color w:val="auto"/>
                <w:sz w:val="18"/>
                <w:szCs w:val="18"/>
              </w:rPr>
            </w:pPr>
          </w:p>
        </w:tc>
        <w:tc>
          <w:tcPr>
            <w:tcW w:w="799" w:type="dxa"/>
            <w:vMerge w:val="continue"/>
            <w:vAlign w:val="center"/>
          </w:tcPr>
          <w:p>
            <w:pPr>
              <w:pStyle w:val="15"/>
              <w:spacing w:line="360" w:lineRule="auto"/>
              <w:ind w:left="0" w:leftChars="0" w:firstLine="0" w:firstLineChars="0"/>
              <w:jc w:val="center"/>
              <w:rPr>
                <w:color w:val="auto"/>
                <w:sz w:val="18"/>
                <w:szCs w:val="18"/>
              </w:rPr>
            </w:pP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682</w:t>
            </w:r>
          </w:p>
        </w:tc>
        <w:tc>
          <w:tcPr>
            <w:tcW w:w="964"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816"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609</w:t>
            </w:r>
          </w:p>
        </w:tc>
        <w:tc>
          <w:tcPr>
            <w:tcW w:w="950" w:type="dxa"/>
            <w:vMerge w:val="continue"/>
            <w:vAlign w:val="center"/>
          </w:tcPr>
          <w:p>
            <w:pPr>
              <w:pStyle w:val="15"/>
              <w:spacing w:line="360" w:lineRule="auto"/>
              <w:ind w:left="0" w:leftChars="0" w:firstLine="0" w:firstLineChars="0"/>
              <w:jc w:val="center"/>
              <w:rPr>
                <w:color w:val="auto"/>
                <w:sz w:val="18"/>
                <w:szCs w:val="18"/>
              </w:rPr>
            </w:pPr>
          </w:p>
        </w:tc>
        <w:tc>
          <w:tcPr>
            <w:tcW w:w="851"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780.27</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694</w:t>
            </w:r>
          </w:p>
        </w:tc>
        <w:tc>
          <w:tcPr>
            <w:tcW w:w="98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799"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692</w:t>
            </w: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708</w:t>
            </w:r>
          </w:p>
        </w:tc>
        <w:tc>
          <w:tcPr>
            <w:tcW w:w="964"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81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706</w:t>
            </w: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630</w:t>
            </w:r>
          </w:p>
        </w:tc>
        <w:tc>
          <w:tcPr>
            <w:tcW w:w="95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0</w:t>
            </w:r>
          </w:p>
        </w:tc>
        <w:tc>
          <w:tcPr>
            <w:tcW w:w="851"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vAlign w:val="center"/>
          </w:tcPr>
          <w:p>
            <w:pPr>
              <w:pStyle w:val="15"/>
              <w:spacing w:line="360" w:lineRule="auto"/>
              <w:ind w:left="0" w:leftChars="0" w:firstLine="0" w:firstLineChars="0"/>
              <w:jc w:val="center"/>
              <w:rPr>
                <w:color w:val="auto"/>
                <w:sz w:val="18"/>
                <w:szCs w:val="18"/>
              </w:rPr>
            </w:pP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775.96</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690</w:t>
            </w:r>
          </w:p>
        </w:tc>
        <w:tc>
          <w:tcPr>
            <w:tcW w:w="980" w:type="dxa"/>
            <w:vMerge w:val="continue"/>
            <w:vAlign w:val="center"/>
          </w:tcPr>
          <w:p>
            <w:pPr>
              <w:pStyle w:val="15"/>
              <w:spacing w:line="360" w:lineRule="auto"/>
              <w:ind w:left="0" w:leftChars="0" w:firstLine="0" w:firstLineChars="0"/>
              <w:jc w:val="center"/>
              <w:rPr>
                <w:color w:val="auto"/>
                <w:sz w:val="18"/>
                <w:szCs w:val="18"/>
              </w:rPr>
            </w:pPr>
          </w:p>
        </w:tc>
        <w:tc>
          <w:tcPr>
            <w:tcW w:w="799" w:type="dxa"/>
            <w:vMerge w:val="continue"/>
            <w:vAlign w:val="center"/>
          </w:tcPr>
          <w:p>
            <w:pPr>
              <w:pStyle w:val="15"/>
              <w:spacing w:line="360" w:lineRule="auto"/>
              <w:ind w:left="0" w:leftChars="0" w:firstLine="0" w:firstLineChars="0"/>
              <w:jc w:val="center"/>
              <w:rPr>
                <w:color w:val="auto"/>
                <w:sz w:val="18"/>
                <w:szCs w:val="18"/>
              </w:rPr>
            </w:pP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704</w:t>
            </w:r>
          </w:p>
        </w:tc>
        <w:tc>
          <w:tcPr>
            <w:tcW w:w="964"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816" w:type="dxa"/>
            <w:vMerge w:val="continue"/>
            <w:shd w:val="clear" w:color="000000" w:fill="FFFFFF"/>
            <w:vAlign w:val="center"/>
          </w:tcPr>
          <w:p>
            <w:pPr>
              <w:pStyle w:val="15"/>
              <w:spacing w:line="360" w:lineRule="auto"/>
              <w:ind w:left="0" w:leftChars="0" w:firstLine="0" w:firstLineChars="0"/>
              <w:jc w:val="center"/>
              <w:rPr>
                <w:color w:val="auto"/>
                <w:sz w:val="18"/>
                <w:szCs w:val="18"/>
              </w:rPr>
            </w:pP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630</w:t>
            </w:r>
          </w:p>
        </w:tc>
        <w:tc>
          <w:tcPr>
            <w:tcW w:w="950" w:type="dxa"/>
            <w:vMerge w:val="continue"/>
            <w:vAlign w:val="center"/>
          </w:tcPr>
          <w:p>
            <w:pPr>
              <w:pStyle w:val="15"/>
              <w:spacing w:line="360" w:lineRule="auto"/>
              <w:ind w:left="0" w:leftChars="0" w:firstLine="0" w:firstLineChars="0"/>
              <w:jc w:val="center"/>
              <w:rPr>
                <w:color w:val="auto"/>
                <w:sz w:val="18"/>
                <w:szCs w:val="18"/>
              </w:rPr>
            </w:pPr>
          </w:p>
        </w:tc>
        <w:tc>
          <w:tcPr>
            <w:tcW w:w="851"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687.99</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612</w:t>
            </w:r>
          </w:p>
        </w:tc>
        <w:tc>
          <w:tcPr>
            <w:tcW w:w="98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799"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610</w:t>
            </w: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628</w:t>
            </w:r>
          </w:p>
        </w:tc>
        <w:tc>
          <w:tcPr>
            <w:tcW w:w="964"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8</w:t>
            </w:r>
          </w:p>
        </w:tc>
        <w:tc>
          <w:tcPr>
            <w:tcW w:w="81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632</w:t>
            </w: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551</w:t>
            </w:r>
          </w:p>
        </w:tc>
        <w:tc>
          <w:tcPr>
            <w:tcW w:w="950"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13</w:t>
            </w:r>
          </w:p>
        </w:tc>
        <w:tc>
          <w:tcPr>
            <w:tcW w:w="851"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45" w:type="dxa"/>
            <w:vMerge w:val="continue"/>
            <w:vAlign w:val="center"/>
          </w:tcPr>
          <w:p>
            <w:pPr>
              <w:widowControl/>
              <w:spacing w:line="360" w:lineRule="auto"/>
              <w:jc w:val="left"/>
              <w:rPr>
                <w:rFonts w:eastAsia="楷体"/>
                <w:color w:val="auto"/>
                <w:kern w:val="0"/>
                <w:szCs w:val="21"/>
              </w:rPr>
            </w:pPr>
          </w:p>
        </w:tc>
        <w:tc>
          <w:tcPr>
            <w:tcW w:w="777"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683.14</w:t>
            </w:r>
          </w:p>
        </w:tc>
        <w:tc>
          <w:tcPr>
            <w:tcW w:w="994"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608</w:t>
            </w:r>
          </w:p>
        </w:tc>
        <w:tc>
          <w:tcPr>
            <w:tcW w:w="980" w:type="dxa"/>
            <w:vMerge w:val="continue"/>
          </w:tcPr>
          <w:p>
            <w:pPr>
              <w:pStyle w:val="15"/>
              <w:spacing w:line="360" w:lineRule="auto"/>
              <w:ind w:left="0" w:leftChars="0" w:firstLine="0" w:firstLineChars="0"/>
              <w:jc w:val="center"/>
              <w:rPr>
                <w:color w:val="auto"/>
                <w:sz w:val="18"/>
                <w:szCs w:val="18"/>
              </w:rPr>
            </w:pPr>
          </w:p>
        </w:tc>
        <w:tc>
          <w:tcPr>
            <w:tcW w:w="799" w:type="dxa"/>
            <w:vMerge w:val="continue"/>
            <w:vAlign w:val="center"/>
          </w:tcPr>
          <w:p>
            <w:pPr>
              <w:pStyle w:val="15"/>
              <w:spacing w:line="360" w:lineRule="auto"/>
              <w:ind w:left="0" w:leftChars="0" w:firstLine="0" w:firstLineChars="0"/>
              <w:jc w:val="center"/>
              <w:rPr>
                <w:color w:val="auto"/>
                <w:sz w:val="18"/>
                <w:szCs w:val="18"/>
              </w:rPr>
            </w:pPr>
          </w:p>
        </w:tc>
        <w:tc>
          <w:tcPr>
            <w:tcW w:w="943" w:type="dxa"/>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636</w:t>
            </w:r>
          </w:p>
        </w:tc>
        <w:tc>
          <w:tcPr>
            <w:tcW w:w="964" w:type="dxa"/>
            <w:vMerge w:val="continue"/>
            <w:shd w:val="clear" w:color="000000" w:fill="FFFFFF"/>
          </w:tcPr>
          <w:p>
            <w:pPr>
              <w:pStyle w:val="15"/>
              <w:spacing w:line="360" w:lineRule="auto"/>
              <w:ind w:left="0" w:leftChars="0" w:firstLine="0" w:firstLineChars="0"/>
              <w:jc w:val="center"/>
              <w:rPr>
                <w:color w:val="auto"/>
                <w:sz w:val="18"/>
                <w:szCs w:val="18"/>
              </w:rPr>
            </w:pPr>
          </w:p>
        </w:tc>
        <w:tc>
          <w:tcPr>
            <w:tcW w:w="816" w:type="dxa"/>
            <w:vMerge w:val="continue"/>
            <w:shd w:val="clear" w:color="000000" w:fill="FFFFFF"/>
          </w:tcPr>
          <w:p>
            <w:pPr>
              <w:pStyle w:val="15"/>
              <w:spacing w:line="360" w:lineRule="auto"/>
              <w:ind w:left="0" w:leftChars="0" w:firstLine="0" w:firstLineChars="0"/>
              <w:jc w:val="center"/>
              <w:rPr>
                <w:color w:val="auto"/>
                <w:sz w:val="18"/>
                <w:szCs w:val="18"/>
              </w:rPr>
            </w:pPr>
          </w:p>
        </w:tc>
        <w:tc>
          <w:tcPr>
            <w:tcW w:w="1135"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538</w:t>
            </w:r>
          </w:p>
        </w:tc>
        <w:tc>
          <w:tcPr>
            <w:tcW w:w="950" w:type="dxa"/>
            <w:vMerge w:val="continue"/>
          </w:tcPr>
          <w:p>
            <w:pPr>
              <w:widowControl/>
              <w:spacing w:line="360" w:lineRule="auto"/>
              <w:jc w:val="left"/>
              <w:rPr>
                <w:rFonts w:eastAsia="楷体"/>
                <w:color w:val="auto"/>
                <w:kern w:val="0"/>
                <w:sz w:val="22"/>
                <w:szCs w:val="22"/>
              </w:rPr>
            </w:pPr>
          </w:p>
        </w:tc>
        <w:tc>
          <w:tcPr>
            <w:tcW w:w="851" w:type="dxa"/>
            <w:vMerge w:val="continue"/>
            <w:vAlign w:val="center"/>
          </w:tcPr>
          <w:p>
            <w:pPr>
              <w:widowControl/>
              <w:spacing w:line="360" w:lineRule="auto"/>
              <w:jc w:val="left"/>
              <w:rPr>
                <w:rFonts w:eastAsia="楷体"/>
                <w:color w:val="auto"/>
                <w:kern w:val="0"/>
                <w:sz w:val="22"/>
                <w:szCs w:val="22"/>
              </w:rPr>
            </w:pPr>
          </w:p>
        </w:tc>
      </w:tr>
    </w:tbl>
    <w:p>
      <w:pPr>
        <w:tabs>
          <w:tab w:val="left" w:pos="0"/>
        </w:tabs>
        <w:spacing w:line="360" w:lineRule="auto"/>
        <w:rPr>
          <w:color w:val="auto"/>
          <w:szCs w:val="21"/>
        </w:rPr>
      </w:pPr>
      <w:r>
        <w:rPr>
          <w:color w:val="auto"/>
          <w:szCs w:val="21"/>
        </w:rPr>
        <w:t>6.1.</w:t>
      </w:r>
      <w:r>
        <w:rPr>
          <w:rFonts w:hint="eastAsia"/>
          <w:color w:val="auto"/>
          <w:szCs w:val="21"/>
        </w:rPr>
        <w:t>5</w:t>
      </w:r>
      <w:r>
        <w:rPr>
          <w:color w:val="auto"/>
          <w:szCs w:val="21"/>
        </w:rPr>
        <w:t xml:space="preserve">  因市场上测试仪器设备多种多样，为保证测试报告的完整性，客观真实体现测试结果，测试报告中需要明确体现试样编号、测试标准、测试仪器和设备、测试项目、测试结果、测试人员及测试日期等内容。</w:t>
      </w:r>
    </w:p>
    <w:p>
      <w:pPr>
        <w:pStyle w:val="3"/>
        <w:spacing w:beforeLines="50" w:afterLines="50" w:line="360" w:lineRule="auto"/>
        <w:jc w:val="center"/>
        <w:rPr>
          <w:rFonts w:ascii="Times New Roman" w:hAnsi="Times New Roman" w:eastAsia="宋体"/>
          <w:b w:val="0"/>
          <w:color w:val="auto"/>
          <w:sz w:val="24"/>
          <w:szCs w:val="24"/>
        </w:rPr>
      </w:pPr>
      <w:bookmarkStart w:id="198" w:name="_Toc24871"/>
      <w:bookmarkStart w:id="199" w:name="_Toc20880"/>
      <w:r>
        <w:rPr>
          <w:rFonts w:ascii="Times New Roman" w:hAnsi="Times New Roman" w:eastAsia="宋体"/>
          <w:b w:val="0"/>
          <w:color w:val="auto"/>
          <w:sz w:val="24"/>
          <w:szCs w:val="24"/>
        </w:rPr>
        <w:t>6.2 粒度分布</w:t>
      </w:r>
      <w:bookmarkEnd w:id="198"/>
      <w:bookmarkEnd w:id="199"/>
    </w:p>
    <w:p>
      <w:pPr>
        <w:tabs>
          <w:tab w:val="left" w:pos="0"/>
        </w:tabs>
        <w:spacing w:line="360" w:lineRule="auto"/>
        <w:rPr>
          <w:color w:val="auto"/>
          <w:szCs w:val="21"/>
        </w:rPr>
      </w:pPr>
      <w:r>
        <w:rPr>
          <w:color w:val="auto"/>
          <w:szCs w:val="21"/>
        </w:rPr>
        <w:t>6.2.1  烟气净化碳基材料堆积密度偏小时，装填</w:t>
      </w:r>
      <w:r>
        <w:rPr>
          <w:rFonts w:hint="eastAsia"/>
          <w:color w:val="auto"/>
          <w:szCs w:val="21"/>
        </w:rPr>
        <w:t>3</w:t>
      </w:r>
      <w:r>
        <w:rPr>
          <w:color w:val="auto"/>
          <w:szCs w:val="21"/>
        </w:rPr>
        <w:t>00g以上</w:t>
      </w:r>
      <w:r>
        <w:rPr>
          <w:rFonts w:hint="eastAsia"/>
          <w:color w:val="auto"/>
          <w:szCs w:val="21"/>
        </w:rPr>
        <w:t>样品</w:t>
      </w:r>
      <w:r>
        <w:rPr>
          <w:color w:val="auto"/>
          <w:szCs w:val="21"/>
        </w:rPr>
        <w:t>容易溢出筛框，不利于筛分试验。</w:t>
      </w:r>
      <w:r>
        <w:rPr>
          <w:rFonts w:hint="eastAsia"/>
          <w:color w:val="auto"/>
          <w:szCs w:val="21"/>
        </w:rPr>
        <w:t>表2的</w:t>
      </w:r>
      <w:r>
        <w:rPr>
          <w:color w:val="auto"/>
          <w:szCs w:val="21"/>
        </w:rPr>
        <w:t>对比试验表明，300g</w:t>
      </w:r>
      <w:r>
        <w:rPr>
          <w:rFonts w:hint="eastAsia"/>
          <w:color w:val="auto"/>
          <w:szCs w:val="21"/>
        </w:rPr>
        <w:t>干燥</w:t>
      </w:r>
      <w:r>
        <w:rPr>
          <w:color w:val="auto"/>
          <w:szCs w:val="21"/>
        </w:rPr>
        <w:t>样品可以进行筛分试验，</w:t>
      </w:r>
      <w:r>
        <w:rPr>
          <w:rFonts w:hint="eastAsia"/>
          <w:color w:val="auto"/>
          <w:szCs w:val="21"/>
        </w:rPr>
        <w:t>与现有装填5</w:t>
      </w:r>
      <w:r>
        <w:rPr>
          <w:color w:val="auto"/>
          <w:szCs w:val="21"/>
        </w:rPr>
        <w:t>00</w:t>
      </w:r>
      <w:r>
        <w:rPr>
          <w:rFonts w:hint="eastAsia"/>
          <w:color w:val="auto"/>
          <w:szCs w:val="21"/>
        </w:rPr>
        <w:t>g样品测试结果规律一致，对于6</w:t>
      </w:r>
      <w:r>
        <w:rPr>
          <w:color w:val="auto"/>
          <w:szCs w:val="21"/>
        </w:rPr>
        <w:t>.3</w:t>
      </w:r>
      <w:r>
        <w:rPr>
          <w:rFonts w:hint="eastAsia"/>
          <w:color w:val="auto"/>
          <w:szCs w:val="21"/>
        </w:rPr>
        <w:t>mm</w:t>
      </w:r>
    </w:p>
    <w:p>
      <w:pPr>
        <w:tabs>
          <w:tab w:val="left" w:pos="0"/>
        </w:tabs>
        <w:spacing w:line="360" w:lineRule="auto"/>
        <w:rPr>
          <w:color w:val="auto"/>
          <w:szCs w:val="21"/>
        </w:rPr>
      </w:pPr>
      <w:r>
        <w:rPr>
          <w:rFonts w:hint="eastAsia"/>
          <w:color w:val="auto"/>
          <w:szCs w:val="21"/>
        </w:rPr>
        <w:t>～11.2mm筛层样品重量顺序均为①＞④＞③＞②＞⑤，</w:t>
      </w:r>
      <w:r>
        <w:rPr>
          <w:color w:val="auto"/>
          <w:szCs w:val="21"/>
        </w:rPr>
        <w:t>且</w:t>
      </w:r>
      <w:r>
        <w:rPr>
          <w:rFonts w:hint="eastAsia"/>
          <w:color w:val="auto"/>
          <w:szCs w:val="21"/>
        </w:rPr>
        <w:t>3</w:t>
      </w:r>
      <w:r>
        <w:rPr>
          <w:color w:val="auto"/>
          <w:szCs w:val="21"/>
        </w:rPr>
        <w:t>00</w:t>
      </w:r>
      <w:r>
        <w:rPr>
          <w:rFonts w:hint="eastAsia"/>
          <w:color w:val="auto"/>
          <w:szCs w:val="21"/>
        </w:rPr>
        <w:t>g样品</w:t>
      </w:r>
      <w:r>
        <w:rPr>
          <w:color w:val="auto"/>
          <w:szCs w:val="21"/>
        </w:rPr>
        <w:t>不会溢出筛框</w:t>
      </w:r>
      <w:r>
        <w:rPr>
          <w:rFonts w:hint="eastAsia"/>
          <w:color w:val="auto"/>
          <w:szCs w:val="21"/>
        </w:rPr>
        <w:t>，故测试样品量选取3</w:t>
      </w:r>
      <w:r>
        <w:rPr>
          <w:color w:val="auto"/>
          <w:szCs w:val="21"/>
        </w:rPr>
        <w:t>00</w:t>
      </w:r>
      <w:r>
        <w:rPr>
          <w:rFonts w:hint="eastAsia"/>
          <w:color w:val="auto"/>
          <w:szCs w:val="21"/>
        </w:rPr>
        <w:t>g。</w:t>
      </w:r>
    </w:p>
    <w:p>
      <w:pPr>
        <w:tabs>
          <w:tab w:val="left" w:pos="0"/>
        </w:tabs>
        <w:spacing w:line="360" w:lineRule="auto"/>
        <w:ind w:firstLine="420" w:firstLineChars="200"/>
        <w:rPr>
          <w:color w:val="auto"/>
          <w:szCs w:val="21"/>
        </w:rPr>
      </w:pPr>
      <w:r>
        <w:rPr>
          <w:rFonts w:hint="eastAsia"/>
          <w:color w:val="auto"/>
          <w:szCs w:val="21"/>
        </w:rPr>
        <w:t>表2中同时可看出</w:t>
      </w:r>
      <w:r>
        <w:rPr>
          <w:color w:val="auto"/>
          <w:szCs w:val="21"/>
        </w:rPr>
        <w:t>长方孔试验筛相比方孔试验筛筛分后各区间质量分数的差值更大更明显，更能区分烟气净化碳基材料粒度分布指标的真实优劣性，故本标准规定采用长方孔试验筛筛分300g样品进行粒度分布测试。</w:t>
      </w:r>
    </w:p>
    <w:p>
      <w:pPr>
        <w:keepNext/>
        <w:keepLines/>
        <w:tabs>
          <w:tab w:val="left" w:pos="397"/>
        </w:tabs>
        <w:spacing w:beforeLines="50" w:afterLines="50" w:line="360" w:lineRule="auto"/>
        <w:jc w:val="center"/>
        <w:rPr>
          <w:color w:val="auto"/>
          <w:sz w:val="18"/>
          <w:szCs w:val="18"/>
        </w:rPr>
      </w:pPr>
      <w:r>
        <w:rPr>
          <w:color w:val="auto"/>
          <w:sz w:val="18"/>
          <w:szCs w:val="18"/>
        </w:rPr>
        <w:t xml:space="preserve">表2  </w:t>
      </w:r>
      <w:r>
        <w:rPr>
          <w:rFonts w:hint="eastAsia"/>
          <w:color w:val="auto"/>
          <w:sz w:val="18"/>
          <w:szCs w:val="18"/>
        </w:rPr>
        <w:t>粒度分布测试结果</w:t>
      </w:r>
      <w:r>
        <w:rPr>
          <w:color w:val="auto"/>
          <w:sz w:val="18"/>
          <w:szCs w:val="18"/>
        </w:rPr>
        <w:t>对比</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63"/>
        <w:gridCol w:w="925"/>
        <w:gridCol w:w="816"/>
        <w:gridCol w:w="816"/>
        <w:gridCol w:w="816"/>
        <w:gridCol w:w="816"/>
        <w:gridCol w:w="816"/>
        <w:gridCol w:w="816"/>
        <w:gridCol w:w="815"/>
        <w:gridCol w:w="815"/>
        <w:gridCol w:w="815"/>
        <w:gridCol w:w="81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88" w:type="dxa"/>
            <w:gridSpan w:val="2"/>
            <w:noWrap/>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1632" w:type="dxa"/>
            <w:gridSpan w:val="2"/>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1632" w:type="dxa"/>
            <w:gridSpan w:val="2"/>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1632" w:type="dxa"/>
            <w:gridSpan w:val="2"/>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1630" w:type="dxa"/>
            <w:gridSpan w:val="2"/>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1632" w:type="dxa"/>
            <w:gridSpan w:val="2"/>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tcBorders>
              <w:bottom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筛孔</w:t>
            </w:r>
          </w:p>
          <w:p>
            <w:pPr>
              <w:pStyle w:val="15"/>
              <w:spacing w:line="360" w:lineRule="auto"/>
              <w:ind w:left="0" w:leftChars="0" w:firstLine="0" w:firstLineChars="0"/>
              <w:jc w:val="center"/>
              <w:rPr>
                <w:color w:val="auto"/>
                <w:sz w:val="18"/>
                <w:szCs w:val="18"/>
              </w:rPr>
            </w:pPr>
            <w:r>
              <w:rPr>
                <w:color w:val="auto"/>
                <w:sz w:val="18"/>
                <w:szCs w:val="18"/>
              </w:rPr>
              <w:t>型号</w:t>
            </w:r>
          </w:p>
        </w:tc>
        <w:tc>
          <w:tcPr>
            <w:tcW w:w="925" w:type="dxa"/>
            <w:tcBorders>
              <w:bottom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筛孔</w:t>
            </w:r>
          </w:p>
          <w:p>
            <w:pPr>
              <w:pStyle w:val="15"/>
              <w:spacing w:line="360" w:lineRule="auto"/>
              <w:ind w:left="0" w:leftChars="0" w:firstLine="0" w:firstLineChars="0"/>
              <w:jc w:val="center"/>
              <w:rPr>
                <w:color w:val="auto"/>
                <w:sz w:val="18"/>
                <w:szCs w:val="18"/>
              </w:rPr>
            </w:pPr>
            <w:r>
              <w:rPr>
                <w:color w:val="auto"/>
                <w:sz w:val="18"/>
                <w:szCs w:val="18"/>
              </w:rPr>
              <w:t>尺寸</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各筛层重量(g)</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各筛层重量(g)</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各筛层重量(g)</w:t>
            </w:r>
          </w:p>
        </w:tc>
        <w:tc>
          <w:tcPr>
            <w:tcW w:w="81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815"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各筛层重量(g)</w:t>
            </w:r>
          </w:p>
        </w:tc>
        <w:tc>
          <w:tcPr>
            <w:tcW w:w="815"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815"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各筛层重量(g)</w:t>
            </w:r>
          </w:p>
        </w:tc>
        <w:tc>
          <w:tcPr>
            <w:tcW w:w="817"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方孔试验筛</w:t>
            </w:r>
            <w:r>
              <w:rPr>
                <w:rFonts w:hint="eastAsia"/>
                <w:color w:val="auto"/>
                <w:sz w:val="18"/>
                <w:szCs w:val="18"/>
              </w:rPr>
              <w:t>（～5</w:t>
            </w:r>
            <w:r>
              <w:rPr>
                <w:color w:val="auto"/>
                <w:sz w:val="18"/>
                <w:szCs w:val="18"/>
              </w:rPr>
              <w:t>00</w:t>
            </w:r>
            <w:r>
              <w:rPr>
                <w:rFonts w:hint="eastAsia"/>
                <w:color w:val="auto"/>
                <w:sz w:val="18"/>
                <w:szCs w:val="18"/>
              </w:rPr>
              <w:t>g）</w:t>
            </w:r>
          </w:p>
        </w:tc>
        <w:tc>
          <w:tcPr>
            <w:tcW w:w="925"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≥11.2mm</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1.46</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0.29</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5"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5"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5"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7" w:type="dxa"/>
            <w:tcBorders>
              <w:top w:val="single" w:color="auto" w:sz="8" w:space="0"/>
            </w:tcBorders>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6.5mm~</w:t>
            </w:r>
          </w:p>
          <w:p>
            <w:pPr>
              <w:pStyle w:val="15"/>
              <w:spacing w:line="360" w:lineRule="auto"/>
              <w:ind w:left="0" w:leftChars="0" w:firstLine="0" w:firstLineChars="0"/>
              <w:jc w:val="center"/>
              <w:rPr>
                <w:color w:val="auto"/>
                <w:sz w:val="18"/>
                <w:szCs w:val="18"/>
              </w:rPr>
            </w:pPr>
            <w:r>
              <w:rPr>
                <w:color w:val="auto"/>
                <w:sz w:val="18"/>
                <w:szCs w:val="18"/>
              </w:rPr>
              <w:t>11.2mm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496.98</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99.54</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496.85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99.42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496.47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99.43</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496.88</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99.44</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495.89</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99.19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1.4mm~</w:t>
            </w:r>
          </w:p>
          <w:p>
            <w:pPr>
              <w:pStyle w:val="15"/>
              <w:spacing w:line="360" w:lineRule="auto"/>
              <w:ind w:left="0" w:leftChars="0" w:firstLine="0" w:firstLineChars="0"/>
              <w:jc w:val="center"/>
              <w:rPr>
                <w:color w:val="auto"/>
                <w:sz w:val="18"/>
                <w:szCs w:val="18"/>
              </w:rPr>
            </w:pPr>
            <w:r>
              <w:rPr>
                <w:color w:val="auto"/>
                <w:sz w:val="18"/>
                <w:szCs w:val="18"/>
              </w:rPr>
              <w:t>5.6mm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1.02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0.20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0.60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0.12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2.30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0.46</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1.89</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0.38</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2.23</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0.45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≤1.4mm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1.27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0.25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0.82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0.16</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0.55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0.11</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0.91</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0.18</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1.84</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0.37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方孔试验筛</w:t>
            </w:r>
            <w:r>
              <w:rPr>
                <w:rFonts w:hint="eastAsia"/>
                <w:color w:val="auto"/>
                <w:sz w:val="18"/>
                <w:szCs w:val="18"/>
              </w:rPr>
              <w:t>（～</w:t>
            </w:r>
            <w:r>
              <w:rPr>
                <w:color w:val="auto"/>
                <w:sz w:val="18"/>
                <w:szCs w:val="18"/>
              </w:rPr>
              <w:t>300</w:t>
            </w:r>
            <w:r>
              <w:rPr>
                <w:rFonts w:hint="eastAsia"/>
                <w:color w:val="auto"/>
                <w:sz w:val="18"/>
                <w:szCs w:val="18"/>
              </w:rPr>
              <w:t>g）</w:t>
            </w: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≥11.2mm</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.43</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.14</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.82</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.27</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1</w:t>
            </w:r>
            <w:r>
              <w:rPr>
                <w:color w:val="auto"/>
                <w:sz w:val="18"/>
                <w:szCs w:val="18"/>
              </w:rPr>
              <w:t>.57</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.52</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1</w:t>
            </w:r>
            <w:r>
              <w:rPr>
                <w:color w:val="auto"/>
                <w:sz w:val="18"/>
                <w:szCs w:val="18"/>
              </w:rPr>
              <w:t>.33</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.44</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2.15</w:t>
            </w:r>
          </w:p>
        </w:tc>
        <w:tc>
          <w:tcPr>
            <w:tcW w:w="817"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6.5mm~</w:t>
            </w:r>
          </w:p>
          <w:p>
            <w:pPr>
              <w:pStyle w:val="15"/>
              <w:spacing w:line="360" w:lineRule="auto"/>
              <w:ind w:left="0" w:leftChars="0" w:firstLine="0" w:firstLineChars="0"/>
              <w:jc w:val="center"/>
              <w:rPr>
                <w:color w:val="auto"/>
                <w:sz w:val="18"/>
                <w:szCs w:val="18"/>
              </w:rPr>
            </w:pPr>
            <w:r>
              <w:rPr>
                <w:color w:val="auto"/>
                <w:sz w:val="18"/>
                <w:szCs w:val="18"/>
              </w:rPr>
              <w:t>11.2mm</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2</w:t>
            </w:r>
            <w:r>
              <w:rPr>
                <w:color w:val="auto"/>
                <w:sz w:val="18"/>
                <w:szCs w:val="18"/>
              </w:rPr>
              <w:t>98.6</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9</w:t>
            </w:r>
            <w:r>
              <w:rPr>
                <w:color w:val="auto"/>
                <w:sz w:val="18"/>
                <w:szCs w:val="18"/>
              </w:rPr>
              <w:t>9.47</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2</w:t>
            </w:r>
            <w:r>
              <w:rPr>
                <w:color w:val="auto"/>
                <w:sz w:val="18"/>
                <w:szCs w:val="18"/>
              </w:rPr>
              <w:t>98.98</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9</w:t>
            </w:r>
            <w:r>
              <w:rPr>
                <w:color w:val="auto"/>
                <w:sz w:val="18"/>
                <w:szCs w:val="18"/>
              </w:rPr>
              <w:t>9.28</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2</w:t>
            </w:r>
            <w:r>
              <w:rPr>
                <w:color w:val="auto"/>
                <w:sz w:val="18"/>
                <w:szCs w:val="18"/>
              </w:rPr>
              <w:t>98.42</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9</w:t>
            </w:r>
            <w:r>
              <w:rPr>
                <w:color w:val="auto"/>
                <w:sz w:val="18"/>
                <w:szCs w:val="18"/>
              </w:rPr>
              <w:t>9.35</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2</w:t>
            </w:r>
            <w:r>
              <w:rPr>
                <w:color w:val="auto"/>
                <w:sz w:val="18"/>
                <w:szCs w:val="18"/>
              </w:rPr>
              <w:t>98.53</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9</w:t>
            </w:r>
            <w:r>
              <w:rPr>
                <w:color w:val="auto"/>
                <w:sz w:val="18"/>
                <w:szCs w:val="18"/>
              </w:rPr>
              <w:t>9.38</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2</w:t>
            </w:r>
            <w:r>
              <w:rPr>
                <w:color w:val="auto"/>
                <w:sz w:val="18"/>
                <w:szCs w:val="18"/>
              </w:rPr>
              <w:t>96.60</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99.15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1.4mm~</w:t>
            </w:r>
          </w:p>
          <w:p>
            <w:pPr>
              <w:pStyle w:val="15"/>
              <w:spacing w:line="360" w:lineRule="auto"/>
              <w:ind w:left="0" w:leftChars="0" w:firstLine="0" w:firstLineChars="0"/>
              <w:jc w:val="center"/>
              <w:rPr>
                <w:color w:val="auto"/>
                <w:sz w:val="18"/>
                <w:szCs w:val="18"/>
              </w:rPr>
            </w:pPr>
            <w:r>
              <w:rPr>
                <w:color w:val="auto"/>
                <w:sz w:val="18"/>
                <w:szCs w:val="18"/>
              </w:rPr>
              <w:t>5.6mm</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.26</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.09</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.53</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.17</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.10</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.03</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p>
        </w:tc>
        <w:tc>
          <w:tcPr>
            <w:tcW w:w="817"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≤1.4mm</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.89</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.30</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.84</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.28</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.29</w:t>
            </w:r>
          </w:p>
        </w:tc>
        <w:tc>
          <w:tcPr>
            <w:tcW w:w="816"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.10</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.55</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.18</w:t>
            </w:r>
          </w:p>
        </w:tc>
        <w:tc>
          <w:tcPr>
            <w:tcW w:w="815"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.38</w:t>
            </w:r>
          </w:p>
        </w:tc>
        <w:tc>
          <w:tcPr>
            <w:tcW w:w="817" w:type="dxa"/>
            <w:noWrap/>
            <w:vAlign w:val="center"/>
          </w:tcPr>
          <w:p>
            <w:pPr>
              <w:pStyle w:val="15"/>
              <w:spacing w:line="360" w:lineRule="auto"/>
              <w:ind w:left="0" w:leftChars="0" w:firstLine="0" w:firstLineChars="0"/>
              <w:jc w:val="center"/>
              <w:rPr>
                <w:color w:val="auto"/>
                <w:sz w:val="18"/>
                <w:szCs w:val="18"/>
              </w:rPr>
            </w:pPr>
            <w:r>
              <w:rPr>
                <w:rFonts w:hint="eastAsia"/>
                <w:color w:val="auto"/>
                <w:sz w:val="18"/>
                <w:szCs w:val="18"/>
              </w:rPr>
              <w:t>0</w:t>
            </w:r>
            <w:r>
              <w:rPr>
                <w:color w:val="auto"/>
                <w:sz w:val="18"/>
                <w:szCs w:val="18"/>
              </w:rPr>
              <w:t>.13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restart"/>
            <w:noWrap/>
            <w:vAlign w:val="center"/>
          </w:tcPr>
          <w:p>
            <w:pPr>
              <w:pStyle w:val="15"/>
              <w:spacing w:line="360" w:lineRule="auto"/>
              <w:ind w:left="0" w:leftChars="0" w:firstLine="0" w:firstLineChars="0"/>
              <w:jc w:val="center"/>
              <w:rPr>
                <w:color w:val="auto"/>
                <w:sz w:val="18"/>
                <w:szCs w:val="18"/>
              </w:rPr>
            </w:pPr>
            <w:r>
              <w:rPr>
                <w:color w:val="auto"/>
                <w:sz w:val="18"/>
                <w:szCs w:val="18"/>
              </w:rPr>
              <w:t>长方</w:t>
            </w:r>
          </w:p>
          <w:p>
            <w:pPr>
              <w:pStyle w:val="15"/>
              <w:spacing w:line="360" w:lineRule="auto"/>
              <w:ind w:left="0" w:leftChars="0" w:firstLine="0" w:firstLineChars="0"/>
              <w:jc w:val="center"/>
              <w:rPr>
                <w:color w:val="auto"/>
                <w:sz w:val="18"/>
                <w:szCs w:val="18"/>
              </w:rPr>
            </w:pPr>
            <w:r>
              <w:rPr>
                <w:color w:val="auto"/>
                <w:sz w:val="18"/>
                <w:szCs w:val="18"/>
              </w:rPr>
              <w:t>孔筛</w:t>
            </w:r>
            <w:r>
              <w:rPr>
                <w:rFonts w:hint="eastAsia"/>
                <w:color w:val="auto"/>
                <w:sz w:val="18"/>
                <w:szCs w:val="18"/>
              </w:rPr>
              <w:t>（～</w:t>
            </w:r>
            <w:r>
              <w:rPr>
                <w:color w:val="auto"/>
                <w:sz w:val="18"/>
                <w:szCs w:val="18"/>
              </w:rPr>
              <w:t>300</w:t>
            </w:r>
            <w:r>
              <w:rPr>
                <w:rFonts w:hint="eastAsia"/>
                <w:color w:val="auto"/>
                <w:sz w:val="18"/>
                <w:szCs w:val="18"/>
              </w:rPr>
              <w:t>g）</w:t>
            </w: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≥10mm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0.67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0.00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6.3mm~</w:t>
            </w:r>
          </w:p>
          <w:p>
            <w:pPr>
              <w:pStyle w:val="15"/>
              <w:spacing w:line="360" w:lineRule="auto"/>
              <w:ind w:left="0" w:leftChars="0" w:firstLine="0" w:firstLineChars="0"/>
              <w:jc w:val="center"/>
              <w:rPr>
                <w:color w:val="auto"/>
                <w:sz w:val="18"/>
                <w:szCs w:val="18"/>
              </w:rPr>
            </w:pPr>
            <w:r>
              <w:rPr>
                <w:color w:val="auto"/>
                <w:sz w:val="18"/>
                <w:szCs w:val="18"/>
              </w:rPr>
              <w:t>10mm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276.33</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92.25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286.25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95.72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282.11</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94.22</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280.15</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93.41</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277.21</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92.36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1.6mm~</w:t>
            </w:r>
          </w:p>
          <w:p>
            <w:pPr>
              <w:pStyle w:val="15"/>
              <w:spacing w:line="360" w:lineRule="auto"/>
              <w:ind w:left="0" w:leftChars="0" w:firstLine="0" w:firstLineChars="0"/>
              <w:jc w:val="center"/>
              <w:rPr>
                <w:color w:val="auto"/>
                <w:sz w:val="18"/>
                <w:szCs w:val="18"/>
              </w:rPr>
            </w:pPr>
            <w:r>
              <w:rPr>
                <w:color w:val="auto"/>
                <w:sz w:val="18"/>
                <w:szCs w:val="18"/>
              </w:rPr>
              <w:t>6.3mm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22.35</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7.46</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12.44</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4.16</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15.97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5.33</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19.11</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6.37</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21.26</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7.08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763" w:type="dxa"/>
            <w:vMerge w:val="continue"/>
            <w:vAlign w:val="center"/>
          </w:tcPr>
          <w:p>
            <w:pPr>
              <w:pStyle w:val="15"/>
              <w:spacing w:line="360" w:lineRule="auto"/>
              <w:ind w:left="0" w:leftChars="0" w:firstLine="0" w:firstLineChars="0"/>
              <w:jc w:val="center"/>
              <w:rPr>
                <w:color w:val="auto"/>
                <w:sz w:val="18"/>
                <w:szCs w:val="18"/>
              </w:rPr>
            </w:pPr>
          </w:p>
        </w:tc>
        <w:tc>
          <w:tcPr>
            <w:tcW w:w="925" w:type="dxa"/>
            <w:noWrap/>
            <w:vAlign w:val="center"/>
          </w:tcPr>
          <w:p>
            <w:pPr>
              <w:pStyle w:val="15"/>
              <w:spacing w:line="360" w:lineRule="auto"/>
              <w:ind w:left="0" w:leftChars="0" w:firstLine="0" w:firstLineChars="0"/>
              <w:jc w:val="center"/>
              <w:rPr>
                <w:color w:val="auto"/>
                <w:sz w:val="18"/>
                <w:szCs w:val="18"/>
              </w:rPr>
            </w:pPr>
            <w:r>
              <w:rPr>
                <w:color w:val="auto"/>
                <w:sz w:val="18"/>
                <w:szCs w:val="18"/>
              </w:rPr>
              <w:t>≤1.6mm</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0.86</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0.29</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0.37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0.12</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0.67</w:t>
            </w:r>
          </w:p>
        </w:tc>
        <w:tc>
          <w:tcPr>
            <w:tcW w:w="816" w:type="dxa"/>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0.67</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815" w:type="dxa"/>
            <w:noWrap/>
            <w:vAlign w:val="center"/>
          </w:tcPr>
          <w:p>
            <w:pPr>
              <w:pStyle w:val="15"/>
              <w:spacing w:line="360" w:lineRule="auto"/>
              <w:ind w:left="0" w:leftChars="0" w:firstLine="0" w:firstLineChars="0"/>
              <w:jc w:val="center"/>
              <w:rPr>
                <w:color w:val="auto"/>
                <w:sz w:val="18"/>
                <w:szCs w:val="18"/>
              </w:rPr>
            </w:pPr>
            <w:r>
              <w:rPr>
                <w:color w:val="auto"/>
                <w:sz w:val="18"/>
                <w:szCs w:val="18"/>
              </w:rPr>
              <w:t>1.67</w:t>
            </w:r>
          </w:p>
        </w:tc>
        <w:tc>
          <w:tcPr>
            <w:tcW w:w="817" w:type="dxa"/>
            <w:noWrap/>
            <w:vAlign w:val="center"/>
          </w:tcPr>
          <w:p>
            <w:pPr>
              <w:pStyle w:val="15"/>
              <w:spacing w:line="360" w:lineRule="auto"/>
              <w:ind w:left="0" w:leftChars="0" w:firstLine="0" w:firstLineChars="0"/>
              <w:jc w:val="center"/>
              <w:rPr>
                <w:color w:val="auto"/>
                <w:sz w:val="18"/>
                <w:szCs w:val="18"/>
              </w:rPr>
            </w:pPr>
            <w:r>
              <w:rPr>
                <w:color w:val="auto"/>
                <w:sz w:val="18"/>
                <w:szCs w:val="18"/>
              </w:rPr>
              <w:t>0.56</w:t>
            </w:r>
          </w:p>
        </w:tc>
      </w:tr>
    </w:tbl>
    <w:p>
      <w:pPr>
        <w:pStyle w:val="3"/>
        <w:spacing w:beforeLines="50" w:afterLines="50" w:line="360" w:lineRule="auto"/>
        <w:jc w:val="center"/>
        <w:rPr>
          <w:rFonts w:ascii="Times New Roman" w:hAnsi="Times New Roman" w:eastAsia="宋体"/>
          <w:b w:val="0"/>
          <w:color w:val="auto"/>
          <w:sz w:val="24"/>
          <w:szCs w:val="24"/>
        </w:rPr>
      </w:pPr>
      <w:bookmarkStart w:id="200" w:name="_Toc18045"/>
      <w:bookmarkStart w:id="201" w:name="_Toc24588"/>
      <w:r>
        <w:rPr>
          <w:rFonts w:ascii="Times New Roman" w:hAnsi="Times New Roman" w:eastAsia="宋体"/>
          <w:b w:val="0"/>
          <w:color w:val="auto"/>
          <w:sz w:val="24"/>
          <w:szCs w:val="24"/>
        </w:rPr>
        <w:t>6.3 耐磨强度</w:t>
      </w:r>
      <w:bookmarkEnd w:id="200"/>
      <w:bookmarkEnd w:id="201"/>
    </w:p>
    <w:p>
      <w:pPr>
        <w:spacing w:line="360" w:lineRule="auto"/>
        <w:rPr>
          <w:color w:val="auto"/>
          <w:szCs w:val="21"/>
        </w:rPr>
      </w:pPr>
      <w:r>
        <w:rPr>
          <w:color w:val="auto"/>
          <w:szCs w:val="21"/>
        </w:rPr>
        <w:t>6.3.1  表3给出了不同耐磨强度测试时间测试结果，对比试验表明，20min耐磨实验测得的耐磨强度排序为：</w:t>
      </w:r>
      <w:r>
        <w:rPr>
          <w:rFonts w:hint="eastAsia" w:ascii="宋体" w:hAnsi="宋体" w:cs="宋体"/>
          <w:color w:val="auto"/>
        </w:rPr>
        <w:t>①</w:t>
      </w:r>
      <w:r>
        <w:rPr>
          <w:color w:val="auto"/>
        </w:rPr>
        <w:t>≥</w:t>
      </w:r>
      <w:r>
        <w:rPr>
          <w:rFonts w:hint="eastAsia" w:ascii="宋体" w:hAnsi="宋体" w:cs="宋体"/>
          <w:color w:val="auto"/>
        </w:rPr>
        <w:t>④</w:t>
      </w:r>
      <w:r>
        <w:rPr>
          <w:color w:val="auto"/>
          <w:szCs w:val="21"/>
        </w:rPr>
        <w:t>＞</w:t>
      </w:r>
      <w:r>
        <w:rPr>
          <w:rFonts w:hint="eastAsia" w:ascii="宋体" w:hAnsi="宋体" w:cs="宋体"/>
          <w:color w:val="auto"/>
        </w:rPr>
        <w:t>②</w:t>
      </w:r>
      <w:r>
        <w:rPr>
          <w:color w:val="auto"/>
          <w:szCs w:val="21"/>
        </w:rPr>
        <w:t>＞</w:t>
      </w:r>
      <w:r>
        <w:rPr>
          <w:rFonts w:hint="eastAsia" w:ascii="宋体" w:hAnsi="宋体" w:cs="宋体"/>
          <w:color w:val="auto"/>
        </w:rPr>
        <w:t>③</w:t>
      </w:r>
      <w:r>
        <w:rPr>
          <w:color w:val="auto"/>
        </w:rPr>
        <w:t>，</w:t>
      </w:r>
      <w:r>
        <w:rPr>
          <w:color w:val="auto"/>
          <w:szCs w:val="21"/>
        </w:rPr>
        <w:t>且最大值与最小的差值为0.72%；60min耐磨实验测得的耐磨强度排序为：</w:t>
      </w:r>
      <w:r>
        <w:rPr>
          <w:rFonts w:hint="eastAsia" w:ascii="宋体" w:hAnsi="宋体" w:cs="宋体"/>
          <w:color w:val="auto"/>
        </w:rPr>
        <w:t>①</w:t>
      </w:r>
      <w:r>
        <w:rPr>
          <w:color w:val="auto"/>
          <w:szCs w:val="21"/>
        </w:rPr>
        <w:t>＞</w:t>
      </w:r>
      <w:r>
        <w:rPr>
          <w:rFonts w:hint="eastAsia" w:ascii="宋体" w:hAnsi="宋体" w:cs="宋体"/>
          <w:color w:val="auto"/>
        </w:rPr>
        <w:t>②</w:t>
      </w:r>
      <w:r>
        <w:rPr>
          <w:color w:val="auto"/>
          <w:szCs w:val="21"/>
        </w:rPr>
        <w:t>＞</w:t>
      </w:r>
      <w:r>
        <w:rPr>
          <w:rFonts w:hint="eastAsia" w:ascii="宋体" w:hAnsi="宋体" w:cs="宋体"/>
          <w:color w:val="auto"/>
        </w:rPr>
        <w:t>④</w:t>
      </w:r>
      <w:r>
        <w:rPr>
          <w:color w:val="auto"/>
          <w:szCs w:val="21"/>
        </w:rPr>
        <w:t>＞</w:t>
      </w:r>
      <w:r>
        <w:rPr>
          <w:rFonts w:hint="eastAsia" w:ascii="宋体" w:hAnsi="宋体" w:cs="宋体"/>
          <w:color w:val="auto"/>
        </w:rPr>
        <w:t>③</w:t>
      </w:r>
      <w:r>
        <w:rPr>
          <w:color w:val="auto"/>
          <w:szCs w:val="21"/>
        </w:rPr>
        <w:t>，且最大值与最小的差值为6.97%；120min耐磨实验测得的耐磨强度排序为：</w:t>
      </w:r>
      <w:r>
        <w:rPr>
          <w:rFonts w:hint="eastAsia" w:ascii="宋体" w:hAnsi="宋体" w:cs="宋体"/>
          <w:color w:val="auto"/>
        </w:rPr>
        <w:t>②</w:t>
      </w:r>
      <w:r>
        <w:rPr>
          <w:color w:val="auto"/>
          <w:szCs w:val="21"/>
        </w:rPr>
        <w:t>＞</w:t>
      </w:r>
      <w:r>
        <w:rPr>
          <w:rFonts w:hint="eastAsia" w:ascii="宋体" w:hAnsi="宋体" w:cs="宋体"/>
          <w:color w:val="auto"/>
        </w:rPr>
        <w:t>①</w:t>
      </w:r>
      <w:r>
        <w:rPr>
          <w:color w:val="auto"/>
          <w:szCs w:val="21"/>
        </w:rPr>
        <w:t>＞</w:t>
      </w:r>
      <w:r>
        <w:rPr>
          <w:rFonts w:hint="eastAsia" w:ascii="宋体" w:hAnsi="宋体" w:cs="宋体"/>
          <w:color w:val="auto"/>
        </w:rPr>
        <w:t>④</w:t>
      </w:r>
      <w:r>
        <w:rPr>
          <w:color w:val="auto"/>
          <w:szCs w:val="21"/>
        </w:rPr>
        <w:t>＞</w:t>
      </w:r>
      <w:r>
        <w:rPr>
          <w:rFonts w:hint="eastAsia" w:ascii="宋体" w:hAnsi="宋体" w:cs="宋体"/>
          <w:color w:val="auto"/>
        </w:rPr>
        <w:t>③</w:t>
      </w:r>
      <w:r>
        <w:rPr>
          <w:color w:val="auto"/>
          <w:szCs w:val="21"/>
        </w:rPr>
        <w:t>，且最大值与最小的差值为8.95%；对比4组样品，随着耐磨时间的延长，初始耐磨强度较高的碳基材料耐磨强度下降得更慢，初始耐磨强度较低的碳基材料耐磨强度下降得更快。且实验时间延长，不同样品之间耐磨强度差距越大。故本标准规定耐磨测试时间选择120min。</w:t>
      </w:r>
    </w:p>
    <w:p>
      <w:pPr>
        <w:keepNext/>
        <w:keepLines/>
        <w:tabs>
          <w:tab w:val="left" w:pos="397"/>
        </w:tabs>
        <w:spacing w:beforeLines="50" w:afterLines="50" w:line="360" w:lineRule="auto"/>
        <w:jc w:val="center"/>
        <w:rPr>
          <w:color w:val="auto"/>
          <w:sz w:val="18"/>
          <w:szCs w:val="18"/>
        </w:rPr>
      </w:pPr>
      <w:r>
        <w:rPr>
          <w:color w:val="auto"/>
          <w:sz w:val="18"/>
          <w:szCs w:val="18"/>
        </w:rPr>
        <w:t>表3  不同耐磨强度测试时间测试结果</w:t>
      </w:r>
    </w:p>
    <w:tbl>
      <w:tblPr>
        <w:tblStyle w:val="26"/>
        <w:tblW w:w="981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80"/>
        <w:gridCol w:w="768"/>
        <w:gridCol w:w="768"/>
        <w:gridCol w:w="768"/>
        <w:gridCol w:w="768"/>
        <w:gridCol w:w="768"/>
        <w:gridCol w:w="768"/>
        <w:gridCol w:w="768"/>
        <w:gridCol w:w="772"/>
        <w:gridCol w:w="768"/>
        <w:gridCol w:w="768"/>
        <w:gridCol w:w="768"/>
        <w:gridCol w:w="78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样品</w:t>
            </w:r>
          </w:p>
          <w:p>
            <w:pPr>
              <w:pStyle w:val="15"/>
              <w:spacing w:line="360" w:lineRule="auto"/>
              <w:ind w:left="0" w:leftChars="0" w:firstLine="0" w:firstLineChars="0"/>
              <w:jc w:val="center"/>
              <w:rPr>
                <w:color w:val="auto"/>
                <w:sz w:val="18"/>
                <w:szCs w:val="18"/>
              </w:rPr>
            </w:pPr>
            <w:r>
              <w:rPr>
                <w:color w:val="auto"/>
                <w:sz w:val="18"/>
                <w:szCs w:val="18"/>
              </w:rPr>
              <w:t>编号</w:t>
            </w:r>
          </w:p>
        </w:tc>
        <w:tc>
          <w:tcPr>
            <w:tcW w:w="3072" w:type="dxa"/>
            <w:gridSpan w:val="4"/>
            <w:vAlign w:val="center"/>
          </w:tcPr>
          <w:p>
            <w:pPr>
              <w:pStyle w:val="15"/>
              <w:spacing w:line="360" w:lineRule="auto"/>
              <w:ind w:left="0" w:leftChars="0" w:firstLine="0" w:firstLineChars="0"/>
              <w:jc w:val="center"/>
              <w:rPr>
                <w:color w:val="auto"/>
                <w:sz w:val="18"/>
                <w:szCs w:val="18"/>
              </w:rPr>
            </w:pPr>
            <w:r>
              <w:rPr>
                <w:color w:val="auto"/>
                <w:sz w:val="18"/>
                <w:szCs w:val="18"/>
              </w:rPr>
              <w:t>耐磨测试20min</w:t>
            </w:r>
          </w:p>
        </w:tc>
        <w:tc>
          <w:tcPr>
            <w:tcW w:w="3076" w:type="dxa"/>
            <w:gridSpan w:val="4"/>
            <w:vAlign w:val="center"/>
          </w:tcPr>
          <w:p>
            <w:pPr>
              <w:pStyle w:val="15"/>
              <w:spacing w:line="360" w:lineRule="auto"/>
              <w:ind w:left="0" w:leftChars="0" w:firstLine="0" w:firstLineChars="0"/>
              <w:jc w:val="center"/>
              <w:rPr>
                <w:color w:val="auto"/>
                <w:sz w:val="18"/>
                <w:szCs w:val="18"/>
              </w:rPr>
            </w:pPr>
            <w:r>
              <w:rPr>
                <w:color w:val="auto"/>
                <w:sz w:val="18"/>
                <w:szCs w:val="18"/>
              </w:rPr>
              <w:t>耐磨测试60min</w:t>
            </w:r>
          </w:p>
        </w:tc>
        <w:tc>
          <w:tcPr>
            <w:tcW w:w="3091" w:type="dxa"/>
            <w:gridSpan w:val="4"/>
            <w:vAlign w:val="center"/>
          </w:tcPr>
          <w:p>
            <w:pPr>
              <w:pStyle w:val="15"/>
              <w:spacing w:line="360" w:lineRule="auto"/>
              <w:ind w:left="0" w:leftChars="0" w:firstLine="0" w:firstLineChars="0"/>
              <w:jc w:val="center"/>
              <w:rPr>
                <w:color w:val="auto"/>
                <w:sz w:val="18"/>
                <w:szCs w:val="18"/>
              </w:rPr>
            </w:pPr>
            <w:r>
              <w:rPr>
                <w:color w:val="auto"/>
                <w:sz w:val="18"/>
                <w:szCs w:val="18"/>
              </w:rPr>
              <w:t>耐磨测试120min</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耐磨前重量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耐磨后重量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耐磨强度(%)</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耐磨强度平均值(%)</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耐磨前重量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耐磨后重量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w:t>
            </w:r>
          </w:p>
          <w:p>
            <w:pPr>
              <w:pStyle w:val="15"/>
              <w:spacing w:line="360" w:lineRule="auto"/>
              <w:ind w:left="0" w:leftChars="0" w:firstLine="0" w:firstLineChars="0"/>
              <w:jc w:val="center"/>
              <w:rPr>
                <w:color w:val="auto"/>
                <w:sz w:val="18"/>
                <w:szCs w:val="18"/>
              </w:rPr>
            </w:pPr>
            <w:r>
              <w:rPr>
                <w:color w:val="auto"/>
                <w:sz w:val="18"/>
                <w:szCs w:val="18"/>
              </w:rPr>
              <w:t>强度(%)</w:t>
            </w:r>
          </w:p>
        </w:tc>
        <w:tc>
          <w:tcPr>
            <w:tcW w:w="772"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耐磨强度平均值(%)</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耐磨前重量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耐磨后重量</w:t>
            </w:r>
          </w:p>
          <w:p>
            <w:pPr>
              <w:pStyle w:val="15"/>
              <w:spacing w:line="360" w:lineRule="auto"/>
              <w:ind w:left="0" w:leftChars="0" w:firstLine="0" w:firstLineChars="0"/>
              <w:jc w:val="center"/>
              <w:rPr>
                <w:color w:val="auto"/>
                <w:sz w:val="18"/>
                <w:szCs w:val="18"/>
              </w:rPr>
            </w:pPr>
            <w:r>
              <w:rPr>
                <w:color w:val="auto"/>
                <w:sz w:val="18"/>
                <w:szCs w:val="18"/>
              </w:rPr>
              <w:t>(g)</w:t>
            </w:r>
          </w:p>
        </w:tc>
        <w:tc>
          <w:tcPr>
            <w:tcW w:w="7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耐磨强度(%)</w:t>
            </w:r>
          </w:p>
        </w:tc>
        <w:tc>
          <w:tcPr>
            <w:tcW w:w="787"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耐磨强度平均值(%)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50.16</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49.05</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97.79</w:t>
            </w:r>
          </w:p>
        </w:tc>
        <w:tc>
          <w:tcPr>
            <w:tcW w:w="768"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97.73</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50.63</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47.15</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93.13</w:t>
            </w:r>
          </w:p>
        </w:tc>
        <w:tc>
          <w:tcPr>
            <w:tcW w:w="772"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93.23</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50.16</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43.45</w:t>
            </w:r>
          </w:p>
        </w:tc>
        <w:tc>
          <w:tcPr>
            <w:tcW w:w="76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86.62</w:t>
            </w:r>
          </w:p>
        </w:tc>
        <w:tc>
          <w:tcPr>
            <w:tcW w:w="787"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87.09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50.24</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49.07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97.67</w:t>
            </w:r>
          </w:p>
        </w:tc>
        <w:tc>
          <w:tcPr>
            <w:tcW w:w="768"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50.75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47.36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93.32</w:t>
            </w:r>
          </w:p>
        </w:tc>
        <w:tc>
          <w:tcPr>
            <w:tcW w:w="772"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50.12</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43.88</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87.55</w:t>
            </w:r>
          </w:p>
        </w:tc>
        <w:tc>
          <w:tcPr>
            <w:tcW w:w="787"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50.35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49.07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97.46</w:t>
            </w:r>
          </w:p>
        </w:tc>
        <w:tc>
          <w:tcPr>
            <w:tcW w:w="7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97.71</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50.66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46.91</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92.60</w:t>
            </w:r>
          </w:p>
        </w:tc>
        <w:tc>
          <w:tcPr>
            <w:tcW w:w="772"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93.09</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50.42</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44.64</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88.54</w:t>
            </w:r>
          </w:p>
        </w:tc>
        <w:tc>
          <w:tcPr>
            <w:tcW w:w="787"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87.90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50.14</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49.11</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97.95</w:t>
            </w:r>
          </w:p>
        </w:tc>
        <w:tc>
          <w:tcPr>
            <w:tcW w:w="768"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50.75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47.49</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93.58</w:t>
            </w:r>
          </w:p>
        </w:tc>
        <w:tc>
          <w:tcPr>
            <w:tcW w:w="772"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50.87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44.39</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87.26</w:t>
            </w:r>
          </w:p>
        </w:tc>
        <w:tc>
          <w:tcPr>
            <w:tcW w:w="787"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50.25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48.82</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97.16</w:t>
            </w:r>
          </w:p>
        </w:tc>
        <w:tc>
          <w:tcPr>
            <w:tcW w:w="7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97.01</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50.84</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44.42</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87.37</w:t>
            </w:r>
          </w:p>
        </w:tc>
        <w:tc>
          <w:tcPr>
            <w:tcW w:w="772"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86.26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50.57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39.22</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77.56</w:t>
            </w:r>
          </w:p>
        </w:tc>
        <w:tc>
          <w:tcPr>
            <w:tcW w:w="787"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78.14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50.27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48.69</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96.85</w:t>
            </w:r>
          </w:p>
        </w:tc>
        <w:tc>
          <w:tcPr>
            <w:tcW w:w="768"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50.33</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42.85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85.14</w:t>
            </w:r>
          </w:p>
        </w:tc>
        <w:tc>
          <w:tcPr>
            <w:tcW w:w="772"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50.60</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39.83</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78.72</w:t>
            </w:r>
          </w:p>
        </w:tc>
        <w:tc>
          <w:tcPr>
            <w:tcW w:w="787"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50.27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49.17</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97.81</w:t>
            </w:r>
          </w:p>
        </w:tc>
        <w:tc>
          <w:tcPr>
            <w:tcW w:w="7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97.73</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50.74</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44.68</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88.06</w:t>
            </w:r>
          </w:p>
        </w:tc>
        <w:tc>
          <w:tcPr>
            <w:tcW w:w="772"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88.40</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50.19</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40.66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81.01</w:t>
            </w:r>
          </w:p>
        </w:tc>
        <w:tc>
          <w:tcPr>
            <w:tcW w:w="787"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81.15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80" w:type="dxa"/>
            <w:vMerge w:val="continue"/>
            <w:vAlign w:val="center"/>
          </w:tcPr>
          <w:p>
            <w:pPr>
              <w:spacing w:line="360" w:lineRule="auto"/>
              <w:jc w:val="center"/>
              <w:rPr>
                <w:rFonts w:eastAsiaTheme="minorEastAsia"/>
                <w:color w:val="auto"/>
                <w:szCs w:val="21"/>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50.25</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49.06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97.64</w:t>
            </w:r>
          </w:p>
        </w:tc>
        <w:tc>
          <w:tcPr>
            <w:tcW w:w="768"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50.46</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44.78</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88.74</w:t>
            </w:r>
          </w:p>
        </w:tc>
        <w:tc>
          <w:tcPr>
            <w:tcW w:w="772" w:type="dxa"/>
            <w:vMerge w:val="continue"/>
            <w:vAlign w:val="center"/>
          </w:tcPr>
          <w:p>
            <w:pPr>
              <w:pStyle w:val="15"/>
              <w:spacing w:line="360" w:lineRule="auto"/>
              <w:ind w:left="0" w:leftChars="0" w:firstLine="0" w:firstLineChars="0"/>
              <w:jc w:val="center"/>
              <w:rPr>
                <w:color w:val="auto"/>
                <w:sz w:val="18"/>
                <w:szCs w:val="18"/>
              </w:rPr>
            </w:pP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50.70</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41.21</w:t>
            </w:r>
          </w:p>
        </w:tc>
        <w:tc>
          <w:tcPr>
            <w:tcW w:w="768" w:type="dxa"/>
            <w:vAlign w:val="center"/>
          </w:tcPr>
          <w:p>
            <w:pPr>
              <w:pStyle w:val="15"/>
              <w:spacing w:line="360" w:lineRule="auto"/>
              <w:ind w:left="0" w:leftChars="0" w:firstLine="0" w:firstLineChars="0"/>
              <w:jc w:val="center"/>
              <w:rPr>
                <w:color w:val="auto"/>
                <w:sz w:val="18"/>
                <w:szCs w:val="18"/>
              </w:rPr>
            </w:pPr>
            <w:r>
              <w:rPr>
                <w:color w:val="auto"/>
                <w:sz w:val="18"/>
                <w:szCs w:val="18"/>
              </w:rPr>
              <w:t>81.28</w:t>
            </w:r>
          </w:p>
        </w:tc>
        <w:tc>
          <w:tcPr>
            <w:tcW w:w="787" w:type="dxa"/>
            <w:vMerge w:val="continue"/>
            <w:vAlign w:val="center"/>
          </w:tcPr>
          <w:p>
            <w:pPr>
              <w:pStyle w:val="15"/>
              <w:spacing w:line="360" w:lineRule="auto"/>
              <w:ind w:left="0" w:leftChars="0" w:firstLine="0" w:firstLineChars="0"/>
              <w:jc w:val="center"/>
              <w:rPr>
                <w:color w:val="auto"/>
                <w:sz w:val="18"/>
                <w:szCs w:val="18"/>
              </w:rPr>
            </w:pPr>
          </w:p>
        </w:tc>
      </w:tr>
    </w:tbl>
    <w:p>
      <w:pPr>
        <w:pStyle w:val="3"/>
        <w:spacing w:beforeLines="50" w:afterLines="50" w:line="360" w:lineRule="auto"/>
        <w:jc w:val="center"/>
        <w:rPr>
          <w:rFonts w:ascii="Times New Roman" w:hAnsi="Times New Roman" w:eastAsia="宋体"/>
          <w:b w:val="0"/>
          <w:color w:val="auto"/>
          <w:sz w:val="24"/>
          <w:szCs w:val="24"/>
        </w:rPr>
      </w:pPr>
      <w:bookmarkStart w:id="202" w:name="_Toc7145"/>
      <w:bookmarkStart w:id="203" w:name="_Toc22709"/>
      <w:r>
        <w:rPr>
          <w:rFonts w:ascii="Times New Roman" w:hAnsi="Times New Roman" w:eastAsia="宋体"/>
          <w:b w:val="0"/>
          <w:color w:val="auto"/>
          <w:sz w:val="24"/>
          <w:szCs w:val="24"/>
        </w:rPr>
        <w:t>6.4 耐压强度</w:t>
      </w:r>
      <w:bookmarkEnd w:id="202"/>
      <w:bookmarkEnd w:id="203"/>
    </w:p>
    <w:p>
      <w:pPr>
        <w:spacing w:line="360" w:lineRule="auto"/>
        <w:rPr>
          <w:color w:val="auto"/>
          <w:szCs w:val="21"/>
        </w:rPr>
      </w:pPr>
      <w:r>
        <w:rPr>
          <w:color w:val="auto"/>
          <w:szCs w:val="21"/>
        </w:rPr>
        <w:t>6.4.2  随着烟气净化碳基材料生产工艺和技术的进步，目前市场中烟气净化碳基材料耐压强度值大于500N占比较大，</w:t>
      </w:r>
      <w:r>
        <w:rPr>
          <w:rFonts w:hint="eastAsia"/>
          <w:color w:val="auto"/>
          <w:szCs w:val="21"/>
        </w:rPr>
        <w:t>原有检测方法中</w:t>
      </w:r>
      <w:r>
        <w:rPr>
          <w:color w:val="auto"/>
          <w:szCs w:val="21"/>
        </w:rPr>
        <w:t>采用耐压强度大于500N时按500N计算的方式</w:t>
      </w:r>
      <w:r>
        <w:rPr>
          <w:rFonts w:hint="eastAsia"/>
          <w:color w:val="auto"/>
          <w:szCs w:val="21"/>
        </w:rPr>
        <w:t>会导致样品的耐压强度低于实际值，</w:t>
      </w:r>
      <w:r>
        <w:rPr>
          <w:color w:val="auto"/>
          <w:szCs w:val="21"/>
        </w:rPr>
        <w:t>已不能合理表示其</w:t>
      </w:r>
      <w:r>
        <w:rPr>
          <w:rFonts w:hint="eastAsia"/>
          <w:color w:val="auto"/>
          <w:szCs w:val="21"/>
        </w:rPr>
        <w:t>真实</w:t>
      </w:r>
      <w:r>
        <w:rPr>
          <w:color w:val="auto"/>
          <w:szCs w:val="21"/>
        </w:rPr>
        <w:t>耐压强度值，而取其实际测试值更为科学合理。耐压强度测试值不同计算方式对比结果见表4</w:t>
      </w:r>
      <w:r>
        <w:rPr>
          <w:color w:val="auto"/>
        </w:rPr>
        <w:t>。</w:t>
      </w:r>
    </w:p>
    <w:p>
      <w:pPr>
        <w:keepNext/>
        <w:keepLines/>
        <w:tabs>
          <w:tab w:val="left" w:pos="397"/>
        </w:tabs>
        <w:spacing w:beforeLines="50" w:afterLines="50" w:line="360" w:lineRule="auto"/>
        <w:jc w:val="center"/>
        <w:rPr>
          <w:color w:val="auto"/>
          <w:sz w:val="18"/>
          <w:szCs w:val="18"/>
        </w:rPr>
      </w:pPr>
      <w:r>
        <w:rPr>
          <w:color w:val="auto"/>
          <w:sz w:val="18"/>
          <w:szCs w:val="18"/>
        </w:rPr>
        <w:t>表4  耐压强度测试值不同计算方式对比（N）</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2"/>
        <w:gridCol w:w="898"/>
        <w:gridCol w:w="900"/>
        <w:gridCol w:w="900"/>
        <w:gridCol w:w="900"/>
        <w:gridCol w:w="914"/>
        <w:gridCol w:w="3068"/>
        <w:gridCol w:w="167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样品</w:t>
            </w:r>
          </w:p>
          <w:p>
            <w:pPr>
              <w:pStyle w:val="15"/>
              <w:spacing w:line="360" w:lineRule="auto"/>
              <w:ind w:left="0" w:leftChars="0" w:firstLine="0" w:firstLineChars="0"/>
              <w:jc w:val="center"/>
              <w:rPr>
                <w:color w:val="auto"/>
                <w:sz w:val="18"/>
                <w:szCs w:val="18"/>
              </w:rPr>
            </w:pPr>
            <w:r>
              <w:rPr>
                <w:color w:val="auto"/>
                <w:sz w:val="18"/>
                <w:szCs w:val="18"/>
              </w:rPr>
              <w:t>编号</w:t>
            </w:r>
          </w:p>
        </w:tc>
        <w:tc>
          <w:tcPr>
            <w:tcW w:w="4512" w:type="dxa"/>
            <w:gridSpan w:val="5"/>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试样耐压强度测试数据（实际值）</w:t>
            </w:r>
          </w:p>
        </w:tc>
        <w:tc>
          <w:tcPr>
            <w:tcW w:w="306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耐压强度</w:t>
            </w:r>
          </w:p>
          <w:p>
            <w:pPr>
              <w:pStyle w:val="15"/>
              <w:spacing w:line="360" w:lineRule="auto"/>
              <w:ind w:left="0" w:leftChars="0" w:firstLine="0" w:firstLineChars="0"/>
              <w:jc w:val="center"/>
              <w:rPr>
                <w:color w:val="auto"/>
                <w:sz w:val="18"/>
                <w:szCs w:val="18"/>
              </w:rPr>
            </w:pPr>
            <w:r>
              <w:rPr>
                <w:color w:val="auto"/>
                <w:sz w:val="18"/>
                <w:szCs w:val="18"/>
              </w:rPr>
              <w:t>(大于500N时按500N计算)</w:t>
            </w:r>
          </w:p>
        </w:tc>
        <w:tc>
          <w:tcPr>
            <w:tcW w:w="1674"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耐压强度</w:t>
            </w:r>
          </w:p>
          <w:p>
            <w:pPr>
              <w:pStyle w:val="15"/>
              <w:spacing w:line="360" w:lineRule="auto"/>
              <w:ind w:left="0" w:leftChars="0" w:firstLine="0" w:firstLineChars="0"/>
              <w:jc w:val="center"/>
              <w:rPr>
                <w:color w:val="auto"/>
                <w:sz w:val="18"/>
                <w:szCs w:val="18"/>
              </w:rPr>
            </w:pPr>
            <w:r>
              <w:rPr>
                <w:color w:val="auto"/>
                <w:sz w:val="18"/>
                <w:szCs w:val="18"/>
              </w:rPr>
              <w:t>(按实际值计算)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89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219.6</w:t>
            </w:r>
          </w:p>
        </w:tc>
        <w:tc>
          <w:tcPr>
            <w:tcW w:w="900"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278.9</w:t>
            </w:r>
          </w:p>
        </w:tc>
        <w:tc>
          <w:tcPr>
            <w:tcW w:w="900"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384.8</w:t>
            </w:r>
          </w:p>
        </w:tc>
        <w:tc>
          <w:tcPr>
            <w:tcW w:w="900"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479.4</w:t>
            </w:r>
          </w:p>
        </w:tc>
        <w:tc>
          <w:tcPr>
            <w:tcW w:w="914"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535.4</w:t>
            </w:r>
          </w:p>
        </w:tc>
        <w:tc>
          <w:tcPr>
            <w:tcW w:w="3068"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391.6</w:t>
            </w:r>
          </w:p>
        </w:tc>
        <w:tc>
          <w:tcPr>
            <w:tcW w:w="1674"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406.5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253.9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302.4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388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485.3</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538.5</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260.2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344.5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393.6</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518.8</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584.4</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277.4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356.8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407.7</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519.9</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600.4</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294.6</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420.1</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466.5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495.9</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635.5</w:t>
            </w:r>
          </w:p>
        </w:tc>
        <w:tc>
          <w:tcPr>
            <w:tcW w:w="30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449.9</w:t>
            </w:r>
          </w:p>
        </w:tc>
        <w:tc>
          <w:tcPr>
            <w:tcW w:w="1674"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487.4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320.4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433</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469.2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501.7</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667.7</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359.3</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449.9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470.9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543.8</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671.6</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366.0</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457.0</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494.2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553.0</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677.1</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267.4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366.7</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436.3</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519.1</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647.0</w:t>
            </w:r>
          </w:p>
        </w:tc>
        <w:tc>
          <w:tcPr>
            <w:tcW w:w="30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430.6</w:t>
            </w:r>
          </w:p>
        </w:tc>
        <w:tc>
          <w:tcPr>
            <w:tcW w:w="1674"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496.6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268.5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382.7</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447.8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558.6</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747</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327.3</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388.5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481.2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604.6</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770.4</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337.5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412.2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496.6</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613.3</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859</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236.4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304.3</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410.1</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456.3</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505.1</w:t>
            </w:r>
          </w:p>
        </w:tc>
        <w:tc>
          <w:tcPr>
            <w:tcW w:w="30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401.5</w:t>
            </w:r>
          </w:p>
        </w:tc>
        <w:tc>
          <w:tcPr>
            <w:tcW w:w="1674"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431.7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252.0</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368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411.7</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458.6</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637.2</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258.2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398.6</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415.2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477.1</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710.1</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pStyle w:val="15"/>
              <w:spacing w:line="360" w:lineRule="auto"/>
              <w:ind w:left="0" w:leftChars="0" w:firstLine="0" w:firstLineChars="0"/>
              <w:jc w:val="center"/>
              <w:rPr>
                <w:color w:val="auto"/>
                <w:sz w:val="18"/>
                <w:szCs w:val="18"/>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281.2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400.8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423.4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477.4</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752</w:t>
            </w:r>
          </w:p>
        </w:tc>
        <w:tc>
          <w:tcPr>
            <w:tcW w:w="3068" w:type="dxa"/>
            <w:vMerge w:val="continue"/>
            <w:vAlign w:val="center"/>
          </w:tcPr>
          <w:p>
            <w:pPr>
              <w:pStyle w:val="15"/>
              <w:spacing w:line="360" w:lineRule="auto"/>
              <w:ind w:left="0" w:leftChars="0" w:firstLine="0" w:firstLineChars="0"/>
              <w:jc w:val="center"/>
              <w:rPr>
                <w:color w:val="auto"/>
                <w:sz w:val="18"/>
                <w:szCs w:val="18"/>
              </w:rPr>
            </w:pPr>
          </w:p>
        </w:tc>
        <w:tc>
          <w:tcPr>
            <w:tcW w:w="1674"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278.4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367.6</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479.9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528.6</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651.3</w:t>
            </w:r>
          </w:p>
        </w:tc>
        <w:tc>
          <w:tcPr>
            <w:tcW w:w="306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444.8</w:t>
            </w:r>
          </w:p>
        </w:tc>
        <w:tc>
          <w:tcPr>
            <w:tcW w:w="1674"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499.5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spacing w:line="360" w:lineRule="auto"/>
              <w:jc w:val="center"/>
              <w:rPr>
                <w:rFonts w:eastAsiaTheme="minorEastAsia"/>
                <w:color w:val="auto"/>
                <w:szCs w:val="21"/>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314.5</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397.9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483.2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535</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691.6</w:t>
            </w:r>
          </w:p>
        </w:tc>
        <w:tc>
          <w:tcPr>
            <w:tcW w:w="3068" w:type="dxa"/>
            <w:vMerge w:val="continue"/>
            <w:vAlign w:val="center"/>
          </w:tcPr>
          <w:p>
            <w:pPr>
              <w:spacing w:line="360" w:lineRule="auto"/>
              <w:jc w:val="center"/>
              <w:rPr>
                <w:rFonts w:eastAsiaTheme="minorEastAsia"/>
                <w:color w:val="auto"/>
                <w:szCs w:val="21"/>
              </w:rPr>
            </w:pPr>
          </w:p>
        </w:tc>
        <w:tc>
          <w:tcPr>
            <w:tcW w:w="1674"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spacing w:line="360" w:lineRule="auto"/>
              <w:jc w:val="center"/>
              <w:rPr>
                <w:rFonts w:eastAsiaTheme="minorEastAsia"/>
                <w:color w:val="auto"/>
                <w:szCs w:val="21"/>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326.9</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455.2</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489.7</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553.2</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761.5</w:t>
            </w:r>
          </w:p>
        </w:tc>
        <w:tc>
          <w:tcPr>
            <w:tcW w:w="3068" w:type="dxa"/>
            <w:vMerge w:val="continue"/>
            <w:vAlign w:val="center"/>
          </w:tcPr>
          <w:p>
            <w:pPr>
              <w:spacing w:line="360" w:lineRule="auto"/>
              <w:jc w:val="center"/>
              <w:rPr>
                <w:rFonts w:eastAsiaTheme="minorEastAsia"/>
                <w:color w:val="auto"/>
                <w:szCs w:val="21"/>
              </w:rPr>
            </w:pPr>
          </w:p>
        </w:tc>
        <w:tc>
          <w:tcPr>
            <w:tcW w:w="1674"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92" w:type="dxa"/>
            <w:vMerge w:val="continue"/>
            <w:vAlign w:val="center"/>
          </w:tcPr>
          <w:p>
            <w:pPr>
              <w:spacing w:line="360" w:lineRule="auto"/>
              <w:jc w:val="center"/>
              <w:rPr>
                <w:rFonts w:eastAsiaTheme="minorEastAsia"/>
                <w:color w:val="auto"/>
                <w:szCs w:val="21"/>
              </w:rPr>
            </w:pPr>
          </w:p>
        </w:tc>
        <w:tc>
          <w:tcPr>
            <w:tcW w:w="898" w:type="dxa"/>
            <w:vAlign w:val="center"/>
          </w:tcPr>
          <w:p>
            <w:pPr>
              <w:pStyle w:val="15"/>
              <w:spacing w:line="360" w:lineRule="auto"/>
              <w:ind w:left="0" w:leftChars="0" w:firstLine="0" w:firstLineChars="0"/>
              <w:jc w:val="center"/>
              <w:rPr>
                <w:color w:val="auto"/>
                <w:sz w:val="18"/>
                <w:szCs w:val="18"/>
              </w:rPr>
            </w:pPr>
            <w:r>
              <w:rPr>
                <w:color w:val="auto"/>
                <w:sz w:val="18"/>
                <w:szCs w:val="18"/>
              </w:rPr>
              <w:t>333.4</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468.8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515.8</w:t>
            </w:r>
          </w:p>
        </w:tc>
        <w:tc>
          <w:tcPr>
            <w:tcW w:w="900" w:type="dxa"/>
            <w:vAlign w:val="center"/>
          </w:tcPr>
          <w:p>
            <w:pPr>
              <w:pStyle w:val="15"/>
              <w:spacing w:line="360" w:lineRule="auto"/>
              <w:ind w:left="0" w:leftChars="0" w:firstLine="0" w:firstLineChars="0"/>
              <w:jc w:val="center"/>
              <w:rPr>
                <w:color w:val="auto"/>
                <w:sz w:val="18"/>
                <w:szCs w:val="18"/>
              </w:rPr>
            </w:pPr>
            <w:r>
              <w:rPr>
                <w:color w:val="auto"/>
                <w:sz w:val="18"/>
                <w:szCs w:val="18"/>
              </w:rPr>
              <w:t>586</w:t>
            </w:r>
          </w:p>
        </w:tc>
        <w:tc>
          <w:tcPr>
            <w:tcW w:w="914" w:type="dxa"/>
            <w:vAlign w:val="center"/>
          </w:tcPr>
          <w:p>
            <w:pPr>
              <w:pStyle w:val="15"/>
              <w:spacing w:line="360" w:lineRule="auto"/>
              <w:ind w:left="0" w:leftChars="0" w:firstLine="0" w:firstLineChars="0"/>
              <w:jc w:val="center"/>
              <w:rPr>
                <w:color w:val="auto"/>
                <w:sz w:val="18"/>
                <w:szCs w:val="18"/>
              </w:rPr>
            </w:pPr>
            <w:r>
              <w:rPr>
                <w:color w:val="auto"/>
                <w:sz w:val="18"/>
                <w:szCs w:val="18"/>
              </w:rPr>
              <w:t>772.4</w:t>
            </w:r>
          </w:p>
        </w:tc>
        <w:tc>
          <w:tcPr>
            <w:tcW w:w="3068" w:type="dxa"/>
            <w:vMerge w:val="continue"/>
            <w:vAlign w:val="center"/>
          </w:tcPr>
          <w:p>
            <w:pPr>
              <w:spacing w:line="360" w:lineRule="auto"/>
              <w:jc w:val="center"/>
              <w:rPr>
                <w:rFonts w:eastAsiaTheme="minorEastAsia"/>
                <w:color w:val="auto"/>
                <w:szCs w:val="21"/>
              </w:rPr>
            </w:pPr>
          </w:p>
        </w:tc>
        <w:tc>
          <w:tcPr>
            <w:tcW w:w="1674" w:type="dxa"/>
            <w:vMerge w:val="continue"/>
            <w:vAlign w:val="center"/>
          </w:tcPr>
          <w:p>
            <w:pPr>
              <w:spacing w:line="360" w:lineRule="auto"/>
              <w:jc w:val="center"/>
              <w:rPr>
                <w:rFonts w:eastAsiaTheme="minorEastAsia"/>
                <w:color w:val="auto"/>
                <w:szCs w:val="21"/>
              </w:rPr>
            </w:pPr>
          </w:p>
        </w:tc>
      </w:tr>
    </w:tbl>
    <w:p>
      <w:pPr>
        <w:spacing w:line="360" w:lineRule="auto"/>
        <w:rPr>
          <w:color w:val="auto"/>
          <w:szCs w:val="21"/>
        </w:rPr>
      </w:pPr>
      <w:r>
        <w:rPr>
          <w:color w:val="auto"/>
          <w:szCs w:val="21"/>
        </w:rPr>
        <w:t>6.4.</w:t>
      </w:r>
      <w:r>
        <w:rPr>
          <w:rFonts w:hint="eastAsia"/>
          <w:color w:val="auto"/>
          <w:szCs w:val="21"/>
        </w:rPr>
        <w:t>3</w:t>
      </w:r>
      <w:r>
        <w:rPr>
          <w:color w:val="auto"/>
          <w:szCs w:val="21"/>
        </w:rPr>
        <w:t xml:space="preserve">  </w:t>
      </w:r>
      <w:r>
        <w:rPr>
          <w:color w:val="auto"/>
          <w:szCs w:val="21"/>
        </w:rPr>
        <w:t>变异系数是用于计算测试的耐压强度数据偏离平均值离散程度的统计量，反应碳基材料耐压强度值的稳定程度。通过实验测试数据表明，烟气净化碳基材料耐压强度测试中，存在平均值满足要求，但样品数据偏差较大的情况，此类产品质量波动大，影响烟气净化工程项目的正常运行。因此需要对产品耐压强度的波动进行限制，简单的通过平均值很难判断耐压强度波动情况，本标准引入变异系数进行耐压强度波动大小的表征，可以量化评价产品稳定性，不受平均值影响，具有很好的优劣鉴别效果。其中，变异系数越小证明样品耐压强度值越稳定。为验证变异系数概念引入的必要性，通过</w:t>
      </w:r>
      <w:r>
        <w:rPr>
          <w:rFonts w:hint="eastAsia"/>
          <w:color w:val="auto"/>
          <w:szCs w:val="21"/>
        </w:rPr>
        <w:t>缩分</w:t>
      </w:r>
      <w:r>
        <w:rPr>
          <w:color w:val="auto"/>
          <w:szCs w:val="21"/>
        </w:rPr>
        <w:t>取样和</w:t>
      </w:r>
      <w:r>
        <w:rPr>
          <w:rFonts w:hint="eastAsia"/>
          <w:color w:val="auto"/>
          <w:szCs w:val="21"/>
        </w:rPr>
        <w:t>随机</w:t>
      </w:r>
      <w:r>
        <w:rPr>
          <w:color w:val="auto"/>
          <w:szCs w:val="21"/>
        </w:rPr>
        <w:t>取长径比大于1的两种试样测试耐</w:t>
      </w:r>
      <w:r>
        <w:rPr>
          <w:rFonts w:hint="eastAsia"/>
          <w:color w:val="auto"/>
          <w:szCs w:val="21"/>
        </w:rPr>
        <w:t>压</w:t>
      </w:r>
      <w:r>
        <w:rPr>
          <w:color w:val="auto"/>
          <w:szCs w:val="21"/>
        </w:rPr>
        <w:t>强度并求算变异系数，见表5和表6，由结果可知，随机取长径比大于1样品的耐压强度值整体偏小，变异系数较大，整体代表性较差，因此，</w:t>
      </w:r>
      <w:r>
        <w:rPr>
          <w:rFonts w:hint="eastAsia"/>
          <w:color w:val="auto"/>
          <w:szCs w:val="21"/>
        </w:rPr>
        <w:t>缩分</w:t>
      </w:r>
      <w:r>
        <w:rPr>
          <w:color w:val="auto"/>
          <w:szCs w:val="21"/>
        </w:rPr>
        <w:t>取样方式更具代表性。</w:t>
      </w:r>
    </w:p>
    <w:p>
      <w:pPr>
        <w:keepNext/>
        <w:keepLines/>
        <w:tabs>
          <w:tab w:val="left" w:pos="397"/>
        </w:tabs>
        <w:spacing w:beforeLines="50" w:afterLines="50" w:line="360" w:lineRule="auto"/>
        <w:jc w:val="center"/>
        <w:rPr>
          <w:color w:val="auto"/>
          <w:sz w:val="18"/>
          <w:szCs w:val="18"/>
        </w:rPr>
      </w:pPr>
      <w:r>
        <w:rPr>
          <w:color w:val="auto"/>
          <w:sz w:val="18"/>
          <w:szCs w:val="18"/>
        </w:rPr>
        <w:t>表5  缩分取样耐压强度值及其变异系数</w:t>
      </w:r>
    </w:p>
    <w:tbl>
      <w:tblPr>
        <w:tblStyle w:val="26"/>
        <w:tblW w:w="983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82"/>
        <w:gridCol w:w="1246"/>
        <w:gridCol w:w="1246"/>
        <w:gridCol w:w="1246"/>
        <w:gridCol w:w="1246"/>
        <w:gridCol w:w="1254"/>
        <w:gridCol w:w="1309"/>
        <w:gridCol w:w="130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6238" w:type="dxa"/>
            <w:gridSpan w:val="5"/>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20个样品数据（实际值）/ N</w:t>
            </w:r>
          </w:p>
        </w:tc>
        <w:tc>
          <w:tcPr>
            <w:tcW w:w="1309"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平均值(N)</w:t>
            </w:r>
          </w:p>
        </w:tc>
        <w:tc>
          <w:tcPr>
            <w:tcW w:w="1309"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变异系数（%）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1246"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301.8</w:t>
            </w:r>
          </w:p>
        </w:tc>
        <w:tc>
          <w:tcPr>
            <w:tcW w:w="1246"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388.9</w:t>
            </w:r>
          </w:p>
        </w:tc>
        <w:tc>
          <w:tcPr>
            <w:tcW w:w="1246"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445</w:t>
            </w:r>
          </w:p>
        </w:tc>
        <w:tc>
          <w:tcPr>
            <w:tcW w:w="1246"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532.1</w:t>
            </w:r>
          </w:p>
        </w:tc>
        <w:tc>
          <w:tcPr>
            <w:tcW w:w="1254"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630.2</w:t>
            </w:r>
          </w:p>
        </w:tc>
        <w:tc>
          <w:tcPr>
            <w:tcW w:w="1309"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503.7</w:t>
            </w:r>
          </w:p>
        </w:tc>
        <w:tc>
          <w:tcPr>
            <w:tcW w:w="1309"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23.21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330.7</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428.8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444.9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600</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716.1</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374.1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452.2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516.3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569.4</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656.5</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387.2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483.3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524.4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604.5</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687.6</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276.8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356.9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408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520.1</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600.2</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436.5</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27.63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294.6</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419.7</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466.8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495.9</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636</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251.3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331.4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402.5</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462.6</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617.7</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282.2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340.3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419.4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508.5</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639.6</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358.8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449.9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471.0</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544.1</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672.2</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472.7</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29.11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254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302.1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388.2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485.3</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539.4</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243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365.1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435.2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493.3</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600.4</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388.3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499.4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533.5</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616.6</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814.7</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365.9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457</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494.1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553.2</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677.3</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450.5</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27.6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220.1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279.2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385.3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479.4</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535.5</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283.0</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434.1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510.2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549.3</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621.4</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pStyle w:val="15"/>
              <w:spacing w:line="360" w:lineRule="auto"/>
              <w:ind w:left="0" w:leftChars="0" w:firstLine="0" w:firstLineChars="0"/>
              <w:jc w:val="center"/>
              <w:rPr>
                <w:color w:val="auto"/>
                <w:sz w:val="18"/>
                <w:szCs w:val="18"/>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242.9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385</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440.1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495.2</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602.3</w:t>
            </w:r>
          </w:p>
        </w:tc>
        <w:tc>
          <w:tcPr>
            <w:tcW w:w="1309" w:type="dxa"/>
            <w:vMerge w:val="continue"/>
            <w:vAlign w:val="center"/>
          </w:tcPr>
          <w:p>
            <w:pPr>
              <w:pStyle w:val="15"/>
              <w:spacing w:line="360" w:lineRule="auto"/>
              <w:ind w:left="0" w:leftChars="0" w:firstLine="0" w:firstLineChars="0"/>
              <w:jc w:val="center"/>
              <w:rPr>
                <w:color w:val="auto"/>
                <w:sz w:val="18"/>
                <w:szCs w:val="18"/>
              </w:rPr>
            </w:pPr>
          </w:p>
        </w:tc>
        <w:tc>
          <w:tcPr>
            <w:tcW w:w="1309"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271.8</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363.9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415</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452.1</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460.2</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453.2</w:t>
            </w:r>
          </w:p>
        </w:tc>
        <w:tc>
          <w:tcPr>
            <w:tcW w:w="1309"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26.7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spacing w:line="360" w:lineRule="auto"/>
              <w:jc w:val="center"/>
              <w:rPr>
                <w:rFonts w:eastAsiaTheme="minorEastAsia"/>
                <w:color w:val="auto"/>
                <w:szCs w:val="21"/>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212.9</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360</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410.1</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515.2</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632.3</w:t>
            </w:r>
          </w:p>
        </w:tc>
        <w:tc>
          <w:tcPr>
            <w:tcW w:w="1309" w:type="dxa"/>
            <w:vMerge w:val="continue"/>
            <w:vAlign w:val="center"/>
          </w:tcPr>
          <w:p>
            <w:pPr>
              <w:spacing w:line="360" w:lineRule="auto"/>
              <w:jc w:val="center"/>
              <w:rPr>
                <w:rFonts w:eastAsiaTheme="minorEastAsia"/>
                <w:color w:val="auto"/>
                <w:szCs w:val="21"/>
              </w:rPr>
            </w:pPr>
          </w:p>
        </w:tc>
        <w:tc>
          <w:tcPr>
            <w:tcW w:w="1309"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spacing w:line="360" w:lineRule="auto"/>
              <w:jc w:val="center"/>
              <w:rPr>
                <w:rFonts w:eastAsiaTheme="minorEastAsia"/>
                <w:color w:val="auto"/>
                <w:szCs w:val="21"/>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658.3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474.4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303.5</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436.6</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644.7</w:t>
            </w:r>
          </w:p>
        </w:tc>
        <w:tc>
          <w:tcPr>
            <w:tcW w:w="1309" w:type="dxa"/>
            <w:vMerge w:val="continue"/>
            <w:vAlign w:val="center"/>
          </w:tcPr>
          <w:p>
            <w:pPr>
              <w:spacing w:line="360" w:lineRule="auto"/>
              <w:jc w:val="center"/>
              <w:rPr>
                <w:rFonts w:eastAsiaTheme="minorEastAsia"/>
                <w:color w:val="auto"/>
                <w:szCs w:val="21"/>
              </w:rPr>
            </w:pPr>
          </w:p>
        </w:tc>
        <w:tc>
          <w:tcPr>
            <w:tcW w:w="1309"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82" w:type="dxa"/>
            <w:vMerge w:val="continue"/>
            <w:vAlign w:val="center"/>
          </w:tcPr>
          <w:p>
            <w:pPr>
              <w:spacing w:line="360" w:lineRule="auto"/>
              <w:jc w:val="center"/>
              <w:rPr>
                <w:rFonts w:eastAsiaTheme="minorEastAsia"/>
                <w:color w:val="auto"/>
                <w:szCs w:val="21"/>
              </w:rPr>
            </w:pP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357.2</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458.3</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494.4</w:t>
            </w:r>
          </w:p>
        </w:tc>
        <w:tc>
          <w:tcPr>
            <w:tcW w:w="1246" w:type="dxa"/>
            <w:vAlign w:val="center"/>
          </w:tcPr>
          <w:p>
            <w:pPr>
              <w:pStyle w:val="15"/>
              <w:spacing w:line="360" w:lineRule="auto"/>
              <w:ind w:left="0" w:leftChars="0" w:firstLine="0" w:firstLineChars="0"/>
              <w:jc w:val="center"/>
              <w:rPr>
                <w:color w:val="auto"/>
                <w:sz w:val="18"/>
                <w:szCs w:val="18"/>
              </w:rPr>
            </w:pPr>
            <w:r>
              <w:rPr>
                <w:color w:val="auto"/>
                <w:sz w:val="18"/>
                <w:szCs w:val="18"/>
              </w:rPr>
              <w:t>624.5</w:t>
            </w:r>
          </w:p>
        </w:tc>
        <w:tc>
          <w:tcPr>
            <w:tcW w:w="1254" w:type="dxa"/>
            <w:vAlign w:val="center"/>
          </w:tcPr>
          <w:p>
            <w:pPr>
              <w:pStyle w:val="15"/>
              <w:spacing w:line="360" w:lineRule="auto"/>
              <w:ind w:left="0" w:leftChars="0" w:firstLine="0" w:firstLineChars="0"/>
              <w:jc w:val="center"/>
              <w:rPr>
                <w:color w:val="auto"/>
                <w:sz w:val="18"/>
                <w:szCs w:val="18"/>
              </w:rPr>
            </w:pPr>
            <w:r>
              <w:rPr>
                <w:color w:val="auto"/>
                <w:sz w:val="18"/>
                <w:szCs w:val="18"/>
              </w:rPr>
              <w:t>517.6</w:t>
            </w:r>
          </w:p>
        </w:tc>
        <w:tc>
          <w:tcPr>
            <w:tcW w:w="1309" w:type="dxa"/>
            <w:vMerge w:val="continue"/>
            <w:vAlign w:val="center"/>
          </w:tcPr>
          <w:p>
            <w:pPr>
              <w:spacing w:line="360" w:lineRule="auto"/>
              <w:jc w:val="center"/>
              <w:rPr>
                <w:rFonts w:eastAsiaTheme="minorEastAsia"/>
                <w:color w:val="auto"/>
                <w:szCs w:val="21"/>
              </w:rPr>
            </w:pPr>
          </w:p>
        </w:tc>
        <w:tc>
          <w:tcPr>
            <w:tcW w:w="1309" w:type="dxa"/>
            <w:vMerge w:val="continue"/>
            <w:vAlign w:val="center"/>
          </w:tcPr>
          <w:p>
            <w:pPr>
              <w:spacing w:line="360" w:lineRule="auto"/>
              <w:jc w:val="center"/>
              <w:rPr>
                <w:rFonts w:eastAsiaTheme="minorEastAsia"/>
                <w:color w:val="auto"/>
                <w:szCs w:val="21"/>
              </w:rPr>
            </w:pPr>
          </w:p>
        </w:tc>
      </w:tr>
    </w:tbl>
    <w:p>
      <w:pPr>
        <w:keepNext/>
        <w:keepLines/>
        <w:tabs>
          <w:tab w:val="left" w:pos="397"/>
        </w:tabs>
        <w:spacing w:beforeLines="50" w:afterLines="50" w:line="360" w:lineRule="auto"/>
        <w:jc w:val="center"/>
        <w:rPr>
          <w:color w:val="auto"/>
          <w:sz w:val="18"/>
          <w:szCs w:val="18"/>
        </w:rPr>
      </w:pPr>
      <w:r>
        <w:rPr>
          <w:color w:val="auto"/>
          <w:sz w:val="18"/>
          <w:szCs w:val="18"/>
        </w:rPr>
        <w:t>表6  随机取长径比大于1样品的耐压强度值及其变异系数</w:t>
      </w:r>
    </w:p>
    <w:tbl>
      <w:tblPr>
        <w:tblStyle w:val="26"/>
        <w:tblW w:w="983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6"/>
        <w:gridCol w:w="1248"/>
        <w:gridCol w:w="1247"/>
        <w:gridCol w:w="1247"/>
        <w:gridCol w:w="1247"/>
        <w:gridCol w:w="1251"/>
        <w:gridCol w:w="1308"/>
        <w:gridCol w:w="13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6240" w:type="dxa"/>
            <w:gridSpan w:val="5"/>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20个样品数据（实际值）/ N</w:t>
            </w:r>
          </w:p>
        </w:tc>
        <w:tc>
          <w:tcPr>
            <w:tcW w:w="130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平均值(N)</w:t>
            </w:r>
          </w:p>
        </w:tc>
        <w:tc>
          <w:tcPr>
            <w:tcW w:w="1308" w:type="dxa"/>
            <w:tcBorders>
              <w:bottom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变异系数（%）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1248"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246.8</w:t>
            </w:r>
          </w:p>
        </w:tc>
        <w:tc>
          <w:tcPr>
            <w:tcW w:w="1247"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331.9</w:t>
            </w:r>
          </w:p>
        </w:tc>
        <w:tc>
          <w:tcPr>
            <w:tcW w:w="1247"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378.0</w:t>
            </w:r>
          </w:p>
        </w:tc>
        <w:tc>
          <w:tcPr>
            <w:tcW w:w="1247"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540.1</w:t>
            </w:r>
          </w:p>
        </w:tc>
        <w:tc>
          <w:tcPr>
            <w:tcW w:w="1251" w:type="dxa"/>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630.2</w:t>
            </w:r>
          </w:p>
        </w:tc>
        <w:tc>
          <w:tcPr>
            <w:tcW w:w="1308"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422.1</w:t>
            </w:r>
          </w:p>
        </w:tc>
        <w:tc>
          <w:tcPr>
            <w:tcW w:w="1308" w:type="dxa"/>
            <w:vMerge w:val="restart"/>
            <w:tcBorders>
              <w:top w:val="single" w:color="auto" w:sz="8" w:space="0"/>
            </w:tcBorders>
            <w:vAlign w:val="center"/>
          </w:tcPr>
          <w:p>
            <w:pPr>
              <w:pStyle w:val="15"/>
              <w:spacing w:line="360" w:lineRule="auto"/>
              <w:ind w:left="0" w:leftChars="0" w:firstLine="0" w:firstLineChars="0"/>
              <w:jc w:val="center"/>
              <w:rPr>
                <w:color w:val="auto"/>
                <w:sz w:val="18"/>
                <w:szCs w:val="18"/>
              </w:rPr>
            </w:pPr>
            <w:r>
              <w:rPr>
                <w:color w:val="auto"/>
                <w:sz w:val="18"/>
                <w:szCs w:val="18"/>
              </w:rPr>
              <w:t>32.98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264.6</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394.7</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436.8</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515.9</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666.0</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224.0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277.1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358.2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505.3</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569.4</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213.0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340.1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405.2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513.3</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630.4</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190.1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254.2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355.3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499.4</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565.5</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435.9</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39.25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253.0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409.1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480.2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569.3</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651.4</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229.9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320.0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364.1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539.2</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614.3</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253.1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329.2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389.3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573.4</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877.5</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252.2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315.3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389.4</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528.5</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669.6</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454.5</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32.19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344.1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427.2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486.3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589.4</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686.5</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335.9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432.0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464.1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573.2</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707.3</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213.4</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261.5</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351.6</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442.7</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618.8</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289.7</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407.8</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438.9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522.0</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698.1</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446.7</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27.79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300.7</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403.8</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414.9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620.0</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546.1</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328.8</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424.9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441.0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564.1</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502.2</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pStyle w:val="15"/>
              <w:spacing w:line="360" w:lineRule="auto"/>
              <w:ind w:left="0" w:leftChars="0" w:firstLine="0" w:firstLineChars="0"/>
              <w:jc w:val="center"/>
              <w:rPr>
                <w:color w:val="auto"/>
                <w:sz w:val="18"/>
                <w:szCs w:val="18"/>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221.3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306.4</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372.5</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482.6</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647.7</w:t>
            </w:r>
          </w:p>
        </w:tc>
        <w:tc>
          <w:tcPr>
            <w:tcW w:w="1308" w:type="dxa"/>
            <w:vMerge w:val="continue"/>
            <w:vAlign w:val="center"/>
          </w:tcPr>
          <w:p>
            <w:pPr>
              <w:pStyle w:val="15"/>
              <w:spacing w:line="360" w:lineRule="auto"/>
              <w:ind w:left="0" w:leftChars="0" w:firstLine="0" w:firstLineChars="0"/>
              <w:jc w:val="center"/>
              <w:rPr>
                <w:color w:val="auto"/>
                <w:sz w:val="18"/>
                <w:szCs w:val="18"/>
              </w:rPr>
            </w:pPr>
          </w:p>
        </w:tc>
        <w:tc>
          <w:tcPr>
            <w:tcW w:w="1308"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restart"/>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243.4</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286.5</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381.6</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422.7</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588.8</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443.7</w:t>
            </w:r>
          </w:p>
        </w:tc>
        <w:tc>
          <w:tcPr>
            <w:tcW w:w="1308" w:type="dxa"/>
            <w:vMerge w:val="restart"/>
            <w:vAlign w:val="center"/>
          </w:tcPr>
          <w:p>
            <w:pPr>
              <w:pStyle w:val="15"/>
              <w:spacing w:line="360" w:lineRule="auto"/>
              <w:ind w:left="0" w:leftChars="0" w:firstLine="0" w:firstLineChars="0"/>
              <w:jc w:val="center"/>
              <w:rPr>
                <w:color w:val="auto"/>
                <w:sz w:val="18"/>
                <w:szCs w:val="18"/>
              </w:rPr>
            </w:pPr>
            <w:r>
              <w:rPr>
                <w:color w:val="auto"/>
                <w:sz w:val="18"/>
                <w:szCs w:val="18"/>
              </w:rPr>
              <w:t>33.47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spacing w:line="360" w:lineRule="auto"/>
              <w:jc w:val="center"/>
              <w:rPr>
                <w:rFonts w:eastAsiaTheme="minorEastAsia"/>
                <w:color w:val="auto"/>
                <w:szCs w:val="21"/>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259.9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345.0</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394.1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519.2</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584.3</w:t>
            </w:r>
          </w:p>
        </w:tc>
        <w:tc>
          <w:tcPr>
            <w:tcW w:w="1308" w:type="dxa"/>
            <w:vMerge w:val="continue"/>
            <w:vAlign w:val="center"/>
          </w:tcPr>
          <w:p>
            <w:pPr>
              <w:spacing w:line="360" w:lineRule="auto"/>
              <w:jc w:val="center"/>
              <w:rPr>
                <w:rFonts w:eastAsiaTheme="minorEastAsia"/>
                <w:color w:val="auto"/>
                <w:szCs w:val="21"/>
              </w:rPr>
            </w:pPr>
          </w:p>
        </w:tc>
        <w:tc>
          <w:tcPr>
            <w:tcW w:w="1308"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spacing w:line="360" w:lineRule="auto"/>
              <w:jc w:val="center"/>
              <w:rPr>
                <w:rFonts w:eastAsiaTheme="minorEastAsia"/>
                <w:color w:val="auto"/>
                <w:szCs w:val="21"/>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283.1</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354.2</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419.3</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553.4</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847.5</w:t>
            </w:r>
          </w:p>
        </w:tc>
        <w:tc>
          <w:tcPr>
            <w:tcW w:w="1308" w:type="dxa"/>
            <w:vMerge w:val="continue"/>
            <w:vAlign w:val="center"/>
          </w:tcPr>
          <w:p>
            <w:pPr>
              <w:spacing w:line="360" w:lineRule="auto"/>
              <w:jc w:val="center"/>
              <w:rPr>
                <w:rFonts w:eastAsiaTheme="minorEastAsia"/>
                <w:color w:val="auto"/>
                <w:szCs w:val="21"/>
              </w:rPr>
            </w:pPr>
          </w:p>
        </w:tc>
        <w:tc>
          <w:tcPr>
            <w:tcW w:w="1308" w:type="dxa"/>
            <w:vMerge w:val="continue"/>
            <w:vAlign w:val="center"/>
          </w:tcPr>
          <w:p>
            <w:pPr>
              <w:spacing w:line="360" w:lineRule="auto"/>
              <w:jc w:val="center"/>
              <w:rPr>
                <w:rFonts w:eastAsiaTheme="minorEastAsia"/>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6" w:type="dxa"/>
            <w:vMerge w:val="continue"/>
            <w:vAlign w:val="center"/>
          </w:tcPr>
          <w:p>
            <w:pPr>
              <w:spacing w:line="360" w:lineRule="auto"/>
              <w:jc w:val="center"/>
              <w:rPr>
                <w:rFonts w:eastAsiaTheme="minorEastAsia"/>
                <w:color w:val="auto"/>
                <w:szCs w:val="21"/>
              </w:rPr>
            </w:pPr>
          </w:p>
        </w:tc>
        <w:tc>
          <w:tcPr>
            <w:tcW w:w="1248" w:type="dxa"/>
            <w:vAlign w:val="center"/>
          </w:tcPr>
          <w:p>
            <w:pPr>
              <w:pStyle w:val="15"/>
              <w:spacing w:line="360" w:lineRule="auto"/>
              <w:ind w:left="0" w:leftChars="0" w:firstLine="0" w:firstLineChars="0"/>
              <w:jc w:val="center"/>
              <w:rPr>
                <w:color w:val="auto"/>
                <w:sz w:val="18"/>
                <w:szCs w:val="18"/>
              </w:rPr>
            </w:pPr>
            <w:r>
              <w:rPr>
                <w:color w:val="auto"/>
                <w:sz w:val="18"/>
                <w:szCs w:val="18"/>
              </w:rPr>
              <w:t>319.7</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432.8</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468.9</w:t>
            </w:r>
          </w:p>
        </w:tc>
        <w:tc>
          <w:tcPr>
            <w:tcW w:w="1247" w:type="dxa"/>
            <w:vAlign w:val="center"/>
          </w:tcPr>
          <w:p>
            <w:pPr>
              <w:pStyle w:val="15"/>
              <w:spacing w:line="360" w:lineRule="auto"/>
              <w:ind w:left="0" w:leftChars="0" w:firstLine="0" w:firstLineChars="0"/>
              <w:jc w:val="center"/>
              <w:rPr>
                <w:color w:val="auto"/>
                <w:sz w:val="18"/>
                <w:szCs w:val="18"/>
              </w:rPr>
            </w:pPr>
            <w:r>
              <w:rPr>
                <w:color w:val="auto"/>
                <w:sz w:val="18"/>
                <w:szCs w:val="18"/>
              </w:rPr>
              <w:t>502.0</w:t>
            </w:r>
          </w:p>
        </w:tc>
        <w:tc>
          <w:tcPr>
            <w:tcW w:w="1251" w:type="dxa"/>
            <w:vAlign w:val="center"/>
          </w:tcPr>
          <w:p>
            <w:pPr>
              <w:pStyle w:val="15"/>
              <w:spacing w:line="360" w:lineRule="auto"/>
              <w:ind w:left="0" w:leftChars="0" w:firstLine="0" w:firstLineChars="0"/>
              <w:jc w:val="center"/>
              <w:rPr>
                <w:color w:val="auto"/>
                <w:sz w:val="18"/>
                <w:szCs w:val="18"/>
              </w:rPr>
            </w:pPr>
            <w:r>
              <w:rPr>
                <w:color w:val="auto"/>
                <w:sz w:val="18"/>
                <w:szCs w:val="18"/>
              </w:rPr>
              <w:t>668.1</w:t>
            </w:r>
          </w:p>
        </w:tc>
        <w:tc>
          <w:tcPr>
            <w:tcW w:w="1308" w:type="dxa"/>
            <w:vMerge w:val="continue"/>
            <w:vAlign w:val="center"/>
          </w:tcPr>
          <w:p>
            <w:pPr>
              <w:spacing w:line="360" w:lineRule="auto"/>
              <w:jc w:val="center"/>
              <w:rPr>
                <w:rFonts w:eastAsiaTheme="minorEastAsia"/>
                <w:color w:val="auto"/>
                <w:szCs w:val="21"/>
              </w:rPr>
            </w:pPr>
          </w:p>
        </w:tc>
        <w:tc>
          <w:tcPr>
            <w:tcW w:w="1308" w:type="dxa"/>
            <w:vMerge w:val="continue"/>
            <w:vAlign w:val="center"/>
          </w:tcPr>
          <w:p>
            <w:pPr>
              <w:spacing w:line="360" w:lineRule="auto"/>
              <w:jc w:val="center"/>
              <w:rPr>
                <w:rFonts w:eastAsiaTheme="minorEastAsia"/>
                <w:color w:val="auto"/>
                <w:szCs w:val="21"/>
              </w:rPr>
            </w:pPr>
          </w:p>
        </w:tc>
      </w:tr>
    </w:tbl>
    <w:p>
      <w:pPr>
        <w:pStyle w:val="3"/>
        <w:spacing w:beforeLines="50" w:afterLines="50" w:line="360" w:lineRule="auto"/>
        <w:jc w:val="center"/>
        <w:rPr>
          <w:rFonts w:ascii="Times New Roman" w:hAnsi="Times New Roman" w:eastAsia="宋体"/>
          <w:b w:val="0"/>
          <w:color w:val="auto"/>
          <w:sz w:val="24"/>
          <w:szCs w:val="24"/>
        </w:rPr>
      </w:pPr>
      <w:bookmarkStart w:id="204" w:name="_Toc3219"/>
      <w:bookmarkStart w:id="205" w:name="_Toc31948"/>
      <w:r>
        <w:rPr>
          <w:rFonts w:ascii="Times New Roman" w:hAnsi="Times New Roman" w:eastAsia="宋体"/>
          <w:b w:val="0"/>
          <w:color w:val="auto"/>
          <w:sz w:val="24"/>
          <w:szCs w:val="24"/>
        </w:rPr>
        <w:t>6.5 着火点</w:t>
      </w:r>
      <w:bookmarkEnd w:id="204"/>
      <w:bookmarkEnd w:id="205"/>
    </w:p>
    <w:p>
      <w:pPr>
        <w:spacing w:line="360" w:lineRule="auto"/>
        <w:rPr>
          <w:color w:val="auto"/>
        </w:rPr>
      </w:pPr>
      <w:r>
        <w:rPr>
          <w:color w:val="auto"/>
          <w:szCs w:val="21"/>
        </w:rPr>
        <w:t>6.5.2  本标准中是通过程序控温和程序记录温度，最终寻找出温度变化的“拐点”，即升温速率突变的点，而后程序自动给出升温速率突变之前记录的温度，即为着火点。着火点温度抓取程序逻辑</w:t>
      </w:r>
      <w:r>
        <w:rPr>
          <w:rFonts w:hint="eastAsia"/>
          <w:color w:val="auto"/>
          <w:szCs w:val="21"/>
        </w:rPr>
        <w:t>为</w:t>
      </w:r>
      <w:r>
        <w:rPr>
          <w:color w:val="auto"/>
          <w:szCs w:val="21"/>
        </w:rPr>
        <w:t>：</w:t>
      </w:r>
      <w:r>
        <w:rPr>
          <w:color w:val="auto"/>
        </w:rPr>
        <w:t>热电偶在线测量碳基材料温度T</w:t>
      </w:r>
      <w:r>
        <w:rPr>
          <w:color w:val="auto"/>
          <w:vertAlign w:val="subscript"/>
        </w:rPr>
        <w:t>1</w:t>
      </w:r>
      <w:r>
        <w:rPr>
          <w:color w:val="auto"/>
        </w:rPr>
        <w:t>、T</w:t>
      </w:r>
      <w:r>
        <w:rPr>
          <w:color w:val="auto"/>
          <w:vertAlign w:val="subscript"/>
        </w:rPr>
        <w:t>2</w:t>
      </w:r>
      <w:r>
        <w:rPr>
          <w:color w:val="auto"/>
        </w:rPr>
        <w:t>、T</w:t>
      </w:r>
      <w:r>
        <w:rPr>
          <w:color w:val="auto"/>
          <w:vertAlign w:val="subscript"/>
        </w:rPr>
        <w:t>3</w:t>
      </w:r>
      <w:r>
        <w:rPr>
          <w:color w:val="auto"/>
        </w:rPr>
        <w:t>······T</w:t>
      </w:r>
      <w:r>
        <w:rPr>
          <w:color w:val="auto"/>
          <w:vertAlign w:val="subscript"/>
        </w:rPr>
        <w:t>n</w:t>
      </w:r>
      <w:r>
        <w:rPr>
          <w:color w:val="auto"/>
        </w:rPr>
        <w:t>（每1秒记录一次），系统自动计算连续两次测得的温差</w:t>
      </w:r>
      <w:r>
        <w:rPr>
          <w:rFonts w:ascii="Cambria Math" w:hAnsi="Cambria Math" w:cs="Cambria Math"/>
          <w:color w:val="auto"/>
        </w:rPr>
        <w:t>△</w:t>
      </w:r>
      <w:r>
        <w:rPr>
          <w:color w:val="auto"/>
        </w:rPr>
        <w:t>T</w:t>
      </w:r>
      <w:r>
        <w:rPr>
          <w:color w:val="auto"/>
          <w:vertAlign w:val="subscript"/>
        </w:rPr>
        <w:t>1</w:t>
      </w:r>
      <w:r>
        <w:rPr>
          <w:color w:val="auto"/>
        </w:rPr>
        <w:t>、</w:t>
      </w:r>
      <w:r>
        <w:rPr>
          <w:rFonts w:ascii="Cambria Math" w:hAnsi="Cambria Math" w:cs="Cambria Math"/>
          <w:color w:val="auto"/>
        </w:rPr>
        <w:t>△</w:t>
      </w:r>
      <w:r>
        <w:rPr>
          <w:color w:val="auto"/>
        </w:rPr>
        <w:t>T</w:t>
      </w:r>
      <w:r>
        <w:rPr>
          <w:color w:val="auto"/>
          <w:vertAlign w:val="subscript"/>
        </w:rPr>
        <w:t>2</w:t>
      </w:r>
      <w:r>
        <w:rPr>
          <w:color w:val="auto"/>
        </w:rPr>
        <w:t>、</w:t>
      </w:r>
      <w:r>
        <w:rPr>
          <w:rFonts w:ascii="Cambria Math" w:hAnsi="Cambria Math" w:cs="Cambria Math"/>
          <w:color w:val="auto"/>
        </w:rPr>
        <w:t>△</w:t>
      </w:r>
      <w:r>
        <w:rPr>
          <w:color w:val="auto"/>
        </w:rPr>
        <w:t>T</w:t>
      </w:r>
      <w:r>
        <w:rPr>
          <w:color w:val="auto"/>
          <w:vertAlign w:val="subscript"/>
        </w:rPr>
        <w:t>3</w:t>
      </w:r>
      <w:r>
        <w:rPr>
          <w:color w:val="auto"/>
        </w:rPr>
        <w:t>······</w:t>
      </w:r>
      <w:r>
        <w:rPr>
          <w:rFonts w:ascii="Cambria Math" w:hAnsi="Cambria Math" w:cs="Cambria Math"/>
          <w:color w:val="auto"/>
        </w:rPr>
        <w:t>△</w:t>
      </w:r>
      <w:r>
        <w:rPr>
          <w:color w:val="auto"/>
        </w:rPr>
        <w:t>T</w:t>
      </w:r>
      <w:r>
        <w:rPr>
          <w:color w:val="auto"/>
          <w:vertAlign w:val="subscript"/>
        </w:rPr>
        <w:t>n</w:t>
      </w:r>
      <w:r>
        <w:rPr>
          <w:color w:val="auto"/>
        </w:rPr>
        <w:t>（</w:t>
      </w:r>
      <w:r>
        <w:rPr>
          <w:rFonts w:ascii="Cambria Math" w:hAnsi="Cambria Math" w:cs="Cambria Math"/>
          <w:color w:val="auto"/>
        </w:rPr>
        <w:t>△</w:t>
      </w:r>
      <w:r>
        <w:rPr>
          <w:color w:val="auto"/>
        </w:rPr>
        <w:t>T</w:t>
      </w:r>
      <w:r>
        <w:rPr>
          <w:color w:val="auto"/>
          <w:vertAlign w:val="subscript"/>
        </w:rPr>
        <w:t>1</w:t>
      </w:r>
      <w:r>
        <w:rPr>
          <w:color w:val="auto"/>
        </w:rPr>
        <w:t>=T</w:t>
      </w:r>
      <w:r>
        <w:rPr>
          <w:color w:val="auto"/>
          <w:vertAlign w:val="subscript"/>
        </w:rPr>
        <w:t>2</w:t>
      </w:r>
      <w:r>
        <w:rPr>
          <w:color w:val="auto"/>
        </w:rPr>
        <w:t>-T</w:t>
      </w:r>
      <w:r>
        <w:rPr>
          <w:color w:val="auto"/>
          <w:vertAlign w:val="subscript"/>
        </w:rPr>
        <w:t>1</w:t>
      </w:r>
      <w:r>
        <w:rPr>
          <w:color w:val="auto"/>
        </w:rPr>
        <w:t>、</w:t>
      </w:r>
      <w:r>
        <w:rPr>
          <w:rFonts w:ascii="Cambria Math" w:hAnsi="Cambria Math" w:cs="Cambria Math"/>
          <w:color w:val="auto"/>
        </w:rPr>
        <w:t>△</w:t>
      </w:r>
      <w:r>
        <w:rPr>
          <w:color w:val="auto"/>
        </w:rPr>
        <w:t>T</w:t>
      </w:r>
      <w:r>
        <w:rPr>
          <w:color w:val="auto"/>
          <w:vertAlign w:val="subscript"/>
        </w:rPr>
        <w:t>2</w:t>
      </w:r>
      <w:r>
        <w:rPr>
          <w:color w:val="auto"/>
        </w:rPr>
        <w:t>=T</w:t>
      </w:r>
      <w:r>
        <w:rPr>
          <w:color w:val="auto"/>
          <w:vertAlign w:val="subscript"/>
        </w:rPr>
        <w:t>3</w:t>
      </w:r>
      <w:r>
        <w:rPr>
          <w:color w:val="auto"/>
        </w:rPr>
        <w:t>-T</w:t>
      </w:r>
      <w:r>
        <w:rPr>
          <w:color w:val="auto"/>
          <w:vertAlign w:val="subscript"/>
        </w:rPr>
        <w:t>2</w:t>
      </w:r>
      <w:r>
        <w:rPr>
          <w:color w:val="auto"/>
        </w:rPr>
        <w:t>、</w:t>
      </w:r>
      <w:r>
        <w:rPr>
          <w:rFonts w:ascii="Cambria Math" w:hAnsi="Cambria Math" w:cs="Cambria Math"/>
          <w:color w:val="auto"/>
        </w:rPr>
        <w:t>△</w:t>
      </w:r>
      <w:r>
        <w:rPr>
          <w:color w:val="auto"/>
        </w:rPr>
        <w:t>T</w:t>
      </w:r>
      <w:r>
        <w:rPr>
          <w:color w:val="auto"/>
          <w:vertAlign w:val="subscript"/>
        </w:rPr>
        <w:t>3</w:t>
      </w:r>
      <w:r>
        <w:rPr>
          <w:color w:val="auto"/>
        </w:rPr>
        <w:t>=T</w:t>
      </w:r>
      <w:r>
        <w:rPr>
          <w:color w:val="auto"/>
          <w:vertAlign w:val="subscript"/>
        </w:rPr>
        <w:t>4</w:t>
      </w:r>
      <w:r>
        <w:rPr>
          <w:color w:val="auto"/>
        </w:rPr>
        <w:t>-T</w:t>
      </w:r>
      <w:r>
        <w:rPr>
          <w:color w:val="auto"/>
          <w:vertAlign w:val="subscript"/>
        </w:rPr>
        <w:t>3</w:t>
      </w:r>
      <w:r>
        <w:rPr>
          <w:color w:val="auto"/>
        </w:rPr>
        <w:t>······</w:t>
      </w:r>
      <w:r>
        <w:rPr>
          <w:rFonts w:ascii="Cambria Math" w:hAnsi="Cambria Math" w:cs="Cambria Math"/>
          <w:color w:val="auto"/>
        </w:rPr>
        <w:t>△</w:t>
      </w:r>
      <w:r>
        <w:rPr>
          <w:color w:val="auto"/>
        </w:rPr>
        <w:t>T</w:t>
      </w:r>
      <w:r>
        <w:rPr>
          <w:color w:val="auto"/>
          <w:vertAlign w:val="subscript"/>
        </w:rPr>
        <w:t>n</w:t>
      </w:r>
      <w:r>
        <w:rPr>
          <w:color w:val="auto"/>
        </w:rPr>
        <w:t>=T</w:t>
      </w:r>
      <w:r>
        <w:rPr>
          <w:color w:val="auto"/>
          <w:vertAlign w:val="subscript"/>
        </w:rPr>
        <w:t>n+1</w:t>
      </w:r>
      <w:r>
        <w:rPr>
          <w:color w:val="auto"/>
        </w:rPr>
        <w:t>-T</w:t>
      </w:r>
      <w:r>
        <w:rPr>
          <w:color w:val="auto"/>
          <w:vertAlign w:val="subscript"/>
        </w:rPr>
        <w:t>n</w:t>
      </w:r>
      <w:r>
        <w:rPr>
          <w:color w:val="auto"/>
        </w:rPr>
        <w:t>）。为避免偶然情况导致温差波动较大影响判断，确定若碳基材料温度&gt;200℃时，且首次出现连续三个差值</w:t>
      </w:r>
      <w:r>
        <w:rPr>
          <w:rFonts w:ascii="Cambria Math" w:hAnsi="Cambria Math" w:cs="Cambria Math"/>
          <w:color w:val="auto"/>
        </w:rPr>
        <w:t>△</w:t>
      </w:r>
      <w:r>
        <w:rPr>
          <w:color w:val="auto"/>
        </w:rPr>
        <w:t>T</w:t>
      </w:r>
      <w:r>
        <w:rPr>
          <w:color w:val="auto"/>
          <w:vertAlign w:val="subscript"/>
        </w:rPr>
        <w:t>i</w:t>
      </w:r>
      <w:r>
        <w:rPr>
          <w:color w:val="auto"/>
        </w:rPr>
        <w:t>、</w:t>
      </w:r>
      <w:r>
        <w:rPr>
          <w:rFonts w:ascii="Cambria Math" w:hAnsi="Cambria Math" w:cs="Cambria Math"/>
          <w:color w:val="auto"/>
        </w:rPr>
        <w:t>△</w:t>
      </w:r>
      <w:r>
        <w:rPr>
          <w:color w:val="auto"/>
        </w:rPr>
        <w:t>T</w:t>
      </w:r>
      <w:r>
        <w:rPr>
          <w:color w:val="auto"/>
          <w:vertAlign w:val="subscript"/>
        </w:rPr>
        <w:t>i+1</w:t>
      </w:r>
      <w:r>
        <w:rPr>
          <w:color w:val="auto"/>
        </w:rPr>
        <w:t>、</w:t>
      </w:r>
      <w:r>
        <w:rPr>
          <w:rFonts w:ascii="Cambria Math" w:hAnsi="Cambria Math" w:cs="Cambria Math"/>
          <w:color w:val="auto"/>
        </w:rPr>
        <w:t>△</w:t>
      </w:r>
      <w:r>
        <w:rPr>
          <w:color w:val="auto"/>
        </w:rPr>
        <w:t>T</w:t>
      </w:r>
      <w:r>
        <w:rPr>
          <w:color w:val="auto"/>
          <w:vertAlign w:val="subscript"/>
        </w:rPr>
        <w:t>i+2</w:t>
      </w:r>
      <w:r>
        <w:rPr>
          <w:color w:val="auto"/>
        </w:rPr>
        <w:t>均大于</w:t>
      </w:r>
      <w:r>
        <w:rPr>
          <w:rFonts w:hint="eastAsia"/>
          <w:color w:val="auto"/>
        </w:rPr>
        <w:t>1</w:t>
      </w:r>
      <w:r>
        <w:rPr>
          <w:color w:val="auto"/>
        </w:rPr>
        <w:t>则判定碳基材料着火，系统自动判定并给出，对应的温度Ti即判定为着火点</w:t>
      </w:r>
      <w:r>
        <w:rPr>
          <w:rFonts w:hint="eastAsia"/>
          <w:color w:val="auto"/>
        </w:rPr>
        <w:t>，</w:t>
      </w:r>
      <w:r>
        <w:rPr>
          <w:rFonts w:hint="eastAsia"/>
          <w:color w:val="auto"/>
        </w:rPr>
        <w:t>详见以下</w:t>
      </w:r>
      <w:r>
        <w:rPr>
          <w:color w:val="auto"/>
          <w:szCs w:val="21"/>
        </w:rPr>
        <w:t>程序逻辑图</w:t>
      </w:r>
      <w:r>
        <w:rPr>
          <w:rFonts w:hint="eastAsia"/>
          <w:color w:val="auto"/>
          <w:szCs w:val="21"/>
        </w:rPr>
        <w:t>：</w:t>
      </w:r>
    </w:p>
    <w:p>
      <w:pPr>
        <w:spacing w:beforeLines="50" w:afterLines="50" w:line="360" w:lineRule="auto"/>
        <w:jc w:val="center"/>
        <w:rPr>
          <w:color w:val="auto"/>
          <w:szCs w:val="21"/>
        </w:rPr>
      </w:pPr>
      <w:r>
        <w:rPr>
          <w:color w:val="auto"/>
          <w:szCs w:val="21"/>
        </w:rPr>
        <w:t xml:space="preserve">    </w:t>
      </w:r>
      <w:r>
        <w:rPr>
          <w:color w:val="auto"/>
          <w:szCs w:val="21"/>
        </w:rPr>
        <w:drawing>
          <wp:inline distT="0" distB="0" distL="0" distR="0">
            <wp:extent cx="3581400" cy="2827655"/>
            <wp:effectExtent l="0" t="0" r="0" b="10795"/>
            <wp:docPr id="5"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0"/>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a:xfrm>
                      <a:off x="0" y="0"/>
                      <a:ext cx="3588056" cy="2833342"/>
                    </a:xfrm>
                    <a:prstGeom prst="rect">
                      <a:avLst/>
                    </a:prstGeom>
                    <a:noFill/>
                  </pic:spPr>
                </pic:pic>
              </a:graphicData>
            </a:graphic>
          </wp:inline>
        </w:drawing>
      </w:r>
    </w:p>
    <w:p>
      <w:pPr>
        <w:keepLines/>
        <w:tabs>
          <w:tab w:val="left" w:pos="397"/>
        </w:tabs>
        <w:spacing w:beforeLines="50" w:afterLines="50" w:line="360" w:lineRule="auto"/>
        <w:ind w:firstLine="3330" w:firstLineChars="1850"/>
        <w:rPr>
          <w:color w:val="auto"/>
          <w:sz w:val="18"/>
          <w:szCs w:val="18"/>
        </w:rPr>
      </w:pPr>
      <w:r>
        <w:rPr>
          <w:color w:val="auto"/>
          <w:sz w:val="18"/>
          <w:szCs w:val="18"/>
        </w:rPr>
        <w:t>图</w:t>
      </w:r>
      <w:r>
        <w:rPr>
          <w:rFonts w:hint="eastAsia"/>
          <w:color w:val="auto"/>
          <w:sz w:val="18"/>
          <w:szCs w:val="18"/>
        </w:rPr>
        <w:t>1</w:t>
      </w:r>
      <w:r>
        <w:rPr>
          <w:color w:val="auto"/>
          <w:sz w:val="18"/>
          <w:szCs w:val="18"/>
        </w:rPr>
        <w:t xml:space="preserve">  着火点温度抓取程序逻辑</w:t>
      </w:r>
      <w:r>
        <w:rPr>
          <w:rFonts w:hint="eastAsia"/>
          <w:color w:val="auto"/>
          <w:sz w:val="18"/>
          <w:szCs w:val="18"/>
        </w:rPr>
        <w:t>图</w:t>
      </w:r>
    </w:p>
    <w:p>
      <w:pPr>
        <w:spacing w:line="360" w:lineRule="auto"/>
        <w:ind w:firstLine="420" w:firstLineChars="200"/>
        <w:rPr>
          <w:color w:val="auto"/>
          <w:szCs w:val="21"/>
          <w:highlight w:val="yellow"/>
        </w:rPr>
      </w:pPr>
      <w:r>
        <w:rPr>
          <w:rFonts w:hint="eastAsia"/>
          <w:color w:val="auto"/>
          <w:szCs w:val="21"/>
        </w:rPr>
        <w:t>图中</w:t>
      </w:r>
      <w:r>
        <w:rPr>
          <w:color w:val="auto"/>
          <w:szCs w:val="21"/>
        </w:rPr>
        <w:t>显示了本标准中程序测温和程序读数的算法，以便于根据实际情况配套着火点装置来编写程序。表7为本标准自动读数法测试与切线法计算着火点的对比试验结果，对比试验表明，程序自动读数测得平行样相对差值比切线法测得平行样相对差值小，即程序自动读数法所测结果更稳定，故本标准规定采用程序自动读数法进行着火点测试。本标准中程序设定的空气流正常升温速率为</w:t>
      </w:r>
      <w:r>
        <w:rPr>
          <w:color w:val="auto"/>
        </w:rPr>
        <w:t>2℃/min ~3℃/min，</w:t>
      </w:r>
      <w:r>
        <w:rPr>
          <w:rFonts w:hint="eastAsia"/>
          <w:color w:val="auto"/>
        </w:rPr>
        <w:t>间隔1秒的正常升温差值小于1</w:t>
      </w:r>
      <w:r>
        <w:rPr>
          <w:color w:val="auto"/>
        </w:rPr>
        <w:t>℃</w:t>
      </w:r>
      <w:r>
        <w:rPr>
          <w:rFonts w:hint="eastAsia"/>
          <w:color w:val="auto"/>
        </w:rPr>
        <w:t>，为避免偶然性误差，选取连续3次温度差大于1来判定着火点。</w:t>
      </w:r>
    </w:p>
    <w:p>
      <w:pPr>
        <w:keepNext/>
        <w:keepLines/>
        <w:tabs>
          <w:tab w:val="left" w:pos="397"/>
        </w:tabs>
        <w:spacing w:beforeLines="50" w:afterLines="50" w:line="360" w:lineRule="auto"/>
        <w:jc w:val="center"/>
        <w:rPr>
          <w:color w:val="auto"/>
          <w:sz w:val="18"/>
          <w:szCs w:val="18"/>
        </w:rPr>
      </w:pPr>
      <w:r>
        <w:rPr>
          <w:color w:val="auto"/>
          <w:sz w:val="18"/>
          <w:szCs w:val="18"/>
        </w:rPr>
        <w:t>表7  程序自动读数测试与切线法测试结果对比</w:t>
      </w:r>
    </w:p>
    <w:tbl>
      <w:tblPr>
        <w:tblStyle w:val="25"/>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5"/>
        <w:gridCol w:w="1469"/>
        <w:gridCol w:w="1477"/>
        <w:gridCol w:w="1495"/>
        <w:gridCol w:w="1476"/>
        <w:gridCol w:w="1476"/>
        <w:gridCol w:w="14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4441" w:type="dxa"/>
            <w:gridSpan w:val="3"/>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程序自动读数测试</w:t>
            </w:r>
          </w:p>
        </w:tc>
        <w:tc>
          <w:tcPr>
            <w:tcW w:w="4448" w:type="dxa"/>
            <w:gridSpan w:val="3"/>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切线法测试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469" w:type="dxa"/>
            <w:tcBorders>
              <w:bottom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着火点(℃)</w:t>
            </w:r>
          </w:p>
        </w:tc>
        <w:tc>
          <w:tcPr>
            <w:tcW w:w="1477"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相对差值(℃)</w:t>
            </w:r>
          </w:p>
        </w:tc>
        <w:tc>
          <w:tcPr>
            <w:tcW w:w="1495"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476" w:type="dxa"/>
            <w:tcBorders>
              <w:bottom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着火点(℃)</w:t>
            </w:r>
          </w:p>
        </w:tc>
        <w:tc>
          <w:tcPr>
            <w:tcW w:w="1476"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相对差值(℃)</w:t>
            </w:r>
          </w:p>
        </w:tc>
        <w:tc>
          <w:tcPr>
            <w:tcW w:w="1496" w:type="dxa"/>
            <w:tcBorders>
              <w:bottom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①</w:t>
            </w:r>
          </w:p>
        </w:tc>
        <w:tc>
          <w:tcPr>
            <w:tcW w:w="1469" w:type="dxa"/>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449</w:t>
            </w:r>
          </w:p>
        </w:tc>
        <w:tc>
          <w:tcPr>
            <w:tcW w:w="1477"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495"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447</w:t>
            </w:r>
          </w:p>
        </w:tc>
        <w:tc>
          <w:tcPr>
            <w:tcW w:w="1476" w:type="dxa"/>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449</w:t>
            </w:r>
          </w:p>
        </w:tc>
        <w:tc>
          <w:tcPr>
            <w:tcW w:w="1476" w:type="dxa"/>
            <w:vMerge w:val="restart"/>
            <w:tcBorders>
              <w:top w:val="single" w:color="auto" w:sz="8" w:space="0"/>
            </w:tcBorders>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15</w:t>
            </w:r>
          </w:p>
        </w:tc>
        <w:tc>
          <w:tcPr>
            <w:tcW w:w="1496" w:type="dxa"/>
            <w:vMerge w:val="restart"/>
            <w:tcBorders>
              <w:top w:val="single" w:color="auto" w:sz="8" w:space="0"/>
            </w:tcBorders>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vAlign w:val="center"/>
          </w:tcPr>
          <w:p>
            <w:pPr>
              <w:pStyle w:val="15"/>
              <w:spacing w:line="360" w:lineRule="auto"/>
              <w:ind w:left="0" w:leftChars="0" w:firstLine="0" w:firstLineChars="0"/>
              <w:jc w:val="center"/>
              <w:rPr>
                <w:color w:val="auto"/>
                <w:sz w:val="18"/>
                <w:szCs w:val="18"/>
              </w:rPr>
            </w:pP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445</w:t>
            </w:r>
          </w:p>
        </w:tc>
        <w:tc>
          <w:tcPr>
            <w:tcW w:w="1477" w:type="dxa"/>
            <w:vMerge w:val="continue"/>
            <w:vAlign w:val="center"/>
          </w:tcPr>
          <w:p>
            <w:pPr>
              <w:pStyle w:val="15"/>
              <w:spacing w:line="360" w:lineRule="auto"/>
              <w:ind w:left="0" w:leftChars="0" w:firstLine="0" w:firstLineChars="0"/>
              <w:jc w:val="center"/>
              <w:rPr>
                <w:color w:val="auto"/>
                <w:sz w:val="18"/>
                <w:szCs w:val="18"/>
              </w:rPr>
            </w:pPr>
          </w:p>
        </w:tc>
        <w:tc>
          <w:tcPr>
            <w:tcW w:w="1495" w:type="dxa"/>
            <w:vMerge w:val="continue"/>
            <w:vAlign w:val="center"/>
          </w:tcPr>
          <w:p>
            <w:pPr>
              <w:pStyle w:val="15"/>
              <w:spacing w:line="360" w:lineRule="auto"/>
              <w:ind w:left="0" w:leftChars="0" w:firstLine="0" w:firstLineChars="0"/>
              <w:jc w:val="center"/>
              <w:rPr>
                <w:color w:val="auto"/>
                <w:sz w:val="18"/>
                <w:szCs w:val="18"/>
              </w:rPr>
            </w:pP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464</w:t>
            </w:r>
          </w:p>
        </w:tc>
        <w:tc>
          <w:tcPr>
            <w:tcW w:w="1476" w:type="dxa"/>
            <w:vMerge w:val="continue"/>
            <w:vAlign w:val="center"/>
          </w:tcPr>
          <w:p>
            <w:pPr>
              <w:pStyle w:val="15"/>
              <w:spacing w:line="360" w:lineRule="auto"/>
              <w:ind w:left="0" w:leftChars="0" w:firstLine="0" w:firstLineChars="0"/>
              <w:jc w:val="center"/>
              <w:rPr>
                <w:color w:val="auto"/>
                <w:sz w:val="18"/>
                <w:szCs w:val="18"/>
              </w:rPr>
            </w:pPr>
          </w:p>
        </w:tc>
        <w:tc>
          <w:tcPr>
            <w:tcW w:w="1496"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②</w:t>
            </w: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444</w:t>
            </w:r>
          </w:p>
        </w:tc>
        <w:tc>
          <w:tcPr>
            <w:tcW w:w="1477"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8</w:t>
            </w:r>
          </w:p>
        </w:tc>
        <w:tc>
          <w:tcPr>
            <w:tcW w:w="149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448</w:t>
            </w: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468</w:t>
            </w:r>
          </w:p>
        </w:tc>
        <w:tc>
          <w:tcPr>
            <w:tcW w:w="147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17</w:t>
            </w:r>
          </w:p>
        </w:tc>
        <w:tc>
          <w:tcPr>
            <w:tcW w:w="1496"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vAlign w:val="center"/>
          </w:tcPr>
          <w:p>
            <w:pPr>
              <w:pStyle w:val="15"/>
              <w:spacing w:line="360" w:lineRule="auto"/>
              <w:ind w:left="0" w:leftChars="0" w:firstLine="0" w:firstLineChars="0"/>
              <w:jc w:val="center"/>
              <w:rPr>
                <w:color w:val="auto"/>
                <w:sz w:val="18"/>
                <w:szCs w:val="18"/>
              </w:rPr>
            </w:pP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452</w:t>
            </w:r>
          </w:p>
        </w:tc>
        <w:tc>
          <w:tcPr>
            <w:tcW w:w="1477" w:type="dxa"/>
            <w:vMerge w:val="continue"/>
            <w:vAlign w:val="center"/>
          </w:tcPr>
          <w:p>
            <w:pPr>
              <w:pStyle w:val="15"/>
              <w:spacing w:line="360" w:lineRule="auto"/>
              <w:ind w:left="0" w:leftChars="0" w:firstLine="0" w:firstLineChars="0"/>
              <w:jc w:val="center"/>
              <w:rPr>
                <w:color w:val="auto"/>
                <w:sz w:val="18"/>
                <w:szCs w:val="18"/>
              </w:rPr>
            </w:pPr>
          </w:p>
        </w:tc>
        <w:tc>
          <w:tcPr>
            <w:tcW w:w="1495" w:type="dxa"/>
            <w:vMerge w:val="continue"/>
            <w:vAlign w:val="center"/>
          </w:tcPr>
          <w:p>
            <w:pPr>
              <w:pStyle w:val="15"/>
              <w:spacing w:line="360" w:lineRule="auto"/>
              <w:ind w:left="0" w:leftChars="0" w:firstLine="0" w:firstLineChars="0"/>
              <w:jc w:val="center"/>
              <w:rPr>
                <w:color w:val="auto"/>
                <w:sz w:val="18"/>
                <w:szCs w:val="18"/>
              </w:rPr>
            </w:pP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451</w:t>
            </w:r>
          </w:p>
        </w:tc>
        <w:tc>
          <w:tcPr>
            <w:tcW w:w="1476" w:type="dxa"/>
            <w:vMerge w:val="continue"/>
            <w:vAlign w:val="center"/>
          </w:tcPr>
          <w:p>
            <w:pPr>
              <w:pStyle w:val="15"/>
              <w:spacing w:line="360" w:lineRule="auto"/>
              <w:ind w:left="0" w:leftChars="0" w:firstLine="0" w:firstLineChars="0"/>
              <w:jc w:val="center"/>
              <w:rPr>
                <w:color w:val="auto"/>
                <w:sz w:val="18"/>
                <w:szCs w:val="18"/>
              </w:rPr>
            </w:pPr>
          </w:p>
        </w:tc>
        <w:tc>
          <w:tcPr>
            <w:tcW w:w="1496"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③</w:t>
            </w: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447</w:t>
            </w:r>
          </w:p>
        </w:tc>
        <w:tc>
          <w:tcPr>
            <w:tcW w:w="1477"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7</w:t>
            </w:r>
          </w:p>
        </w:tc>
        <w:tc>
          <w:tcPr>
            <w:tcW w:w="149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444</w:t>
            </w: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459</w:t>
            </w:r>
          </w:p>
        </w:tc>
        <w:tc>
          <w:tcPr>
            <w:tcW w:w="147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8</w:t>
            </w:r>
          </w:p>
        </w:tc>
        <w:tc>
          <w:tcPr>
            <w:tcW w:w="1496"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vAlign w:val="center"/>
          </w:tcPr>
          <w:p>
            <w:pPr>
              <w:pStyle w:val="15"/>
              <w:spacing w:line="360" w:lineRule="auto"/>
              <w:ind w:left="0" w:leftChars="0" w:firstLine="0" w:firstLineChars="0"/>
              <w:jc w:val="center"/>
              <w:rPr>
                <w:color w:val="auto"/>
                <w:sz w:val="18"/>
                <w:szCs w:val="18"/>
              </w:rPr>
            </w:pP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440</w:t>
            </w:r>
          </w:p>
        </w:tc>
        <w:tc>
          <w:tcPr>
            <w:tcW w:w="1477" w:type="dxa"/>
            <w:vMerge w:val="continue"/>
            <w:vAlign w:val="center"/>
          </w:tcPr>
          <w:p>
            <w:pPr>
              <w:pStyle w:val="15"/>
              <w:spacing w:line="360" w:lineRule="auto"/>
              <w:ind w:left="0" w:leftChars="0" w:firstLine="0" w:firstLineChars="0"/>
              <w:jc w:val="center"/>
              <w:rPr>
                <w:color w:val="auto"/>
                <w:sz w:val="18"/>
                <w:szCs w:val="18"/>
              </w:rPr>
            </w:pPr>
          </w:p>
        </w:tc>
        <w:tc>
          <w:tcPr>
            <w:tcW w:w="1495" w:type="dxa"/>
            <w:vMerge w:val="continue"/>
            <w:vAlign w:val="center"/>
          </w:tcPr>
          <w:p>
            <w:pPr>
              <w:pStyle w:val="15"/>
              <w:spacing w:line="360" w:lineRule="auto"/>
              <w:ind w:left="0" w:leftChars="0" w:firstLine="0" w:firstLineChars="0"/>
              <w:jc w:val="center"/>
              <w:rPr>
                <w:color w:val="auto"/>
                <w:sz w:val="18"/>
                <w:szCs w:val="18"/>
              </w:rPr>
            </w:pP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451</w:t>
            </w:r>
          </w:p>
        </w:tc>
        <w:tc>
          <w:tcPr>
            <w:tcW w:w="1476" w:type="dxa"/>
            <w:vMerge w:val="continue"/>
            <w:vAlign w:val="center"/>
          </w:tcPr>
          <w:p>
            <w:pPr>
              <w:pStyle w:val="15"/>
              <w:spacing w:line="360" w:lineRule="auto"/>
              <w:ind w:left="0" w:leftChars="0" w:firstLine="0" w:firstLineChars="0"/>
              <w:jc w:val="center"/>
              <w:rPr>
                <w:color w:val="auto"/>
                <w:sz w:val="18"/>
                <w:szCs w:val="18"/>
              </w:rPr>
            </w:pPr>
          </w:p>
        </w:tc>
        <w:tc>
          <w:tcPr>
            <w:tcW w:w="1496"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④</w:t>
            </w: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444</w:t>
            </w:r>
          </w:p>
        </w:tc>
        <w:tc>
          <w:tcPr>
            <w:tcW w:w="1477"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8</w:t>
            </w:r>
          </w:p>
        </w:tc>
        <w:tc>
          <w:tcPr>
            <w:tcW w:w="149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448</w:t>
            </w: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452</w:t>
            </w:r>
          </w:p>
        </w:tc>
        <w:tc>
          <w:tcPr>
            <w:tcW w:w="147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24</w:t>
            </w:r>
          </w:p>
        </w:tc>
        <w:tc>
          <w:tcPr>
            <w:tcW w:w="1496"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vAlign w:val="center"/>
          </w:tcPr>
          <w:p>
            <w:pPr>
              <w:pStyle w:val="15"/>
              <w:spacing w:line="360" w:lineRule="auto"/>
              <w:ind w:left="0" w:leftChars="0" w:firstLine="0" w:firstLineChars="0"/>
              <w:jc w:val="center"/>
              <w:rPr>
                <w:color w:val="auto"/>
                <w:sz w:val="18"/>
                <w:szCs w:val="18"/>
              </w:rPr>
            </w:pP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452</w:t>
            </w:r>
          </w:p>
        </w:tc>
        <w:tc>
          <w:tcPr>
            <w:tcW w:w="1477" w:type="dxa"/>
            <w:vMerge w:val="continue"/>
            <w:vAlign w:val="center"/>
          </w:tcPr>
          <w:p>
            <w:pPr>
              <w:pStyle w:val="15"/>
              <w:spacing w:line="360" w:lineRule="auto"/>
              <w:ind w:left="0" w:leftChars="0" w:firstLine="0" w:firstLineChars="0"/>
              <w:jc w:val="center"/>
              <w:rPr>
                <w:color w:val="auto"/>
                <w:sz w:val="18"/>
                <w:szCs w:val="18"/>
              </w:rPr>
            </w:pPr>
          </w:p>
        </w:tc>
        <w:tc>
          <w:tcPr>
            <w:tcW w:w="1495" w:type="dxa"/>
            <w:vMerge w:val="continue"/>
            <w:vAlign w:val="center"/>
          </w:tcPr>
          <w:p>
            <w:pPr>
              <w:pStyle w:val="15"/>
              <w:spacing w:line="360" w:lineRule="auto"/>
              <w:ind w:left="0" w:leftChars="0" w:firstLine="0" w:firstLineChars="0"/>
              <w:jc w:val="center"/>
              <w:rPr>
                <w:color w:val="auto"/>
                <w:sz w:val="18"/>
                <w:szCs w:val="18"/>
              </w:rPr>
            </w:pP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476</w:t>
            </w:r>
          </w:p>
        </w:tc>
        <w:tc>
          <w:tcPr>
            <w:tcW w:w="1476" w:type="dxa"/>
            <w:vMerge w:val="continue"/>
            <w:vAlign w:val="center"/>
          </w:tcPr>
          <w:p>
            <w:pPr>
              <w:pStyle w:val="15"/>
              <w:spacing w:line="360" w:lineRule="auto"/>
              <w:ind w:left="0" w:leftChars="0" w:firstLine="0" w:firstLineChars="0"/>
              <w:jc w:val="center"/>
              <w:rPr>
                <w:color w:val="auto"/>
                <w:sz w:val="18"/>
                <w:szCs w:val="18"/>
              </w:rPr>
            </w:pPr>
          </w:p>
        </w:tc>
        <w:tc>
          <w:tcPr>
            <w:tcW w:w="1496" w:type="dxa"/>
            <w:vMerge w:val="continue"/>
            <w:vAlign w:val="center"/>
          </w:tcPr>
          <w:p>
            <w:pPr>
              <w:pStyle w:val="15"/>
              <w:spacing w:line="360" w:lineRule="auto"/>
              <w:ind w:left="0" w:leftChars="0" w:firstLine="0" w:firstLineChars="0"/>
              <w:jc w:val="center"/>
              <w:rPr>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rFonts w:hint="eastAsia" w:ascii="宋体" w:hAnsi="宋体" w:cs="宋体"/>
                <w:color w:val="auto"/>
                <w:sz w:val="18"/>
                <w:szCs w:val="18"/>
              </w:rPr>
              <w:t>⑤</w:t>
            </w:r>
          </w:p>
        </w:tc>
        <w:tc>
          <w:tcPr>
            <w:tcW w:w="1469"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467</w:t>
            </w:r>
          </w:p>
        </w:tc>
        <w:tc>
          <w:tcPr>
            <w:tcW w:w="1477"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9</w:t>
            </w:r>
          </w:p>
        </w:tc>
        <w:tc>
          <w:tcPr>
            <w:tcW w:w="1495"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463</w:t>
            </w:r>
          </w:p>
        </w:tc>
        <w:tc>
          <w:tcPr>
            <w:tcW w:w="1476" w:type="dxa"/>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474</w:t>
            </w:r>
          </w:p>
        </w:tc>
        <w:tc>
          <w:tcPr>
            <w:tcW w:w="1476" w:type="dxa"/>
            <w:vMerge w:val="restart"/>
            <w:shd w:val="clear" w:color="000000" w:fill="FFFFFF"/>
            <w:vAlign w:val="center"/>
          </w:tcPr>
          <w:p>
            <w:pPr>
              <w:pStyle w:val="15"/>
              <w:spacing w:line="360" w:lineRule="auto"/>
              <w:ind w:left="0" w:leftChars="0" w:firstLine="0" w:firstLineChars="0"/>
              <w:jc w:val="center"/>
              <w:rPr>
                <w:color w:val="auto"/>
                <w:sz w:val="18"/>
                <w:szCs w:val="18"/>
              </w:rPr>
            </w:pPr>
            <w:r>
              <w:rPr>
                <w:color w:val="auto"/>
                <w:sz w:val="18"/>
                <w:szCs w:val="18"/>
              </w:rPr>
              <w:t>8</w:t>
            </w:r>
          </w:p>
        </w:tc>
        <w:tc>
          <w:tcPr>
            <w:tcW w:w="1496" w:type="dxa"/>
            <w:vMerge w:val="restart"/>
            <w:shd w:val="clear" w:color="000000" w:fill="FFFFFF"/>
            <w:noWrap/>
            <w:vAlign w:val="center"/>
          </w:tcPr>
          <w:p>
            <w:pPr>
              <w:pStyle w:val="15"/>
              <w:spacing w:line="360" w:lineRule="auto"/>
              <w:ind w:left="0" w:leftChars="0" w:firstLine="0" w:firstLineChars="0"/>
              <w:jc w:val="center"/>
              <w:rPr>
                <w:color w:val="auto"/>
                <w:sz w:val="18"/>
                <w:szCs w:val="18"/>
              </w:rPr>
            </w:pPr>
            <w:r>
              <w:rPr>
                <w:color w:val="auto"/>
                <w:sz w:val="18"/>
                <w:szCs w:val="18"/>
              </w:rPr>
              <w:t>468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5" w:type="dxa"/>
            <w:vMerge w:val="continue"/>
            <w:vAlign w:val="center"/>
          </w:tcPr>
          <w:p>
            <w:pPr>
              <w:widowControl/>
              <w:spacing w:line="360" w:lineRule="auto"/>
              <w:jc w:val="center"/>
              <w:rPr>
                <w:rFonts w:eastAsia="楷体"/>
                <w:color w:val="auto"/>
                <w:kern w:val="0"/>
                <w:sz w:val="22"/>
                <w:szCs w:val="22"/>
              </w:rPr>
            </w:pPr>
          </w:p>
        </w:tc>
        <w:tc>
          <w:tcPr>
            <w:tcW w:w="1469" w:type="dxa"/>
            <w:shd w:val="clear" w:color="000000" w:fill="FFFFFF"/>
            <w:noWrap/>
            <w:vAlign w:val="center"/>
          </w:tcPr>
          <w:p>
            <w:pPr>
              <w:widowControl/>
              <w:spacing w:line="360" w:lineRule="auto"/>
              <w:jc w:val="center"/>
              <w:rPr>
                <w:rFonts w:eastAsia="楷体"/>
                <w:color w:val="auto"/>
                <w:kern w:val="0"/>
                <w:sz w:val="22"/>
                <w:szCs w:val="22"/>
              </w:rPr>
            </w:pPr>
            <w:r>
              <w:rPr>
                <w:color w:val="auto"/>
                <w:sz w:val="18"/>
                <w:szCs w:val="18"/>
              </w:rPr>
              <w:t>458</w:t>
            </w:r>
          </w:p>
        </w:tc>
        <w:tc>
          <w:tcPr>
            <w:tcW w:w="1477" w:type="dxa"/>
            <w:vMerge w:val="continue"/>
            <w:vAlign w:val="center"/>
          </w:tcPr>
          <w:p>
            <w:pPr>
              <w:widowControl/>
              <w:spacing w:line="360" w:lineRule="auto"/>
              <w:jc w:val="center"/>
              <w:rPr>
                <w:rFonts w:eastAsia="楷体"/>
                <w:color w:val="auto"/>
                <w:kern w:val="0"/>
                <w:sz w:val="22"/>
                <w:szCs w:val="22"/>
              </w:rPr>
            </w:pPr>
          </w:p>
        </w:tc>
        <w:tc>
          <w:tcPr>
            <w:tcW w:w="1495" w:type="dxa"/>
            <w:vMerge w:val="continue"/>
            <w:vAlign w:val="center"/>
          </w:tcPr>
          <w:p>
            <w:pPr>
              <w:widowControl/>
              <w:spacing w:line="360" w:lineRule="auto"/>
              <w:jc w:val="center"/>
              <w:rPr>
                <w:rFonts w:eastAsia="楷体"/>
                <w:color w:val="auto"/>
                <w:kern w:val="0"/>
                <w:sz w:val="22"/>
                <w:szCs w:val="22"/>
              </w:rPr>
            </w:pPr>
          </w:p>
        </w:tc>
        <w:tc>
          <w:tcPr>
            <w:tcW w:w="1476" w:type="dxa"/>
            <w:shd w:val="clear" w:color="000000" w:fill="FFFFFF"/>
            <w:noWrap/>
            <w:vAlign w:val="center"/>
          </w:tcPr>
          <w:p>
            <w:pPr>
              <w:widowControl/>
              <w:spacing w:line="360" w:lineRule="auto"/>
              <w:jc w:val="center"/>
              <w:rPr>
                <w:rFonts w:eastAsia="楷体"/>
                <w:color w:val="auto"/>
                <w:kern w:val="0"/>
                <w:sz w:val="22"/>
                <w:szCs w:val="22"/>
              </w:rPr>
            </w:pPr>
            <w:r>
              <w:rPr>
                <w:color w:val="auto"/>
                <w:sz w:val="18"/>
                <w:szCs w:val="18"/>
              </w:rPr>
              <w:t>462</w:t>
            </w:r>
          </w:p>
        </w:tc>
        <w:tc>
          <w:tcPr>
            <w:tcW w:w="1476" w:type="dxa"/>
            <w:vMerge w:val="continue"/>
            <w:vAlign w:val="center"/>
          </w:tcPr>
          <w:p>
            <w:pPr>
              <w:widowControl/>
              <w:spacing w:line="360" w:lineRule="auto"/>
              <w:jc w:val="center"/>
              <w:rPr>
                <w:rFonts w:eastAsia="楷体"/>
                <w:color w:val="auto"/>
                <w:kern w:val="0"/>
                <w:sz w:val="22"/>
                <w:szCs w:val="22"/>
              </w:rPr>
            </w:pPr>
          </w:p>
        </w:tc>
        <w:tc>
          <w:tcPr>
            <w:tcW w:w="1496" w:type="dxa"/>
            <w:vMerge w:val="continue"/>
            <w:vAlign w:val="center"/>
          </w:tcPr>
          <w:p>
            <w:pPr>
              <w:widowControl/>
              <w:spacing w:line="360" w:lineRule="auto"/>
              <w:jc w:val="center"/>
              <w:rPr>
                <w:rFonts w:eastAsia="楷体"/>
                <w:color w:val="auto"/>
                <w:kern w:val="0"/>
                <w:sz w:val="22"/>
                <w:szCs w:val="22"/>
              </w:rPr>
            </w:pPr>
          </w:p>
        </w:tc>
      </w:tr>
    </w:tbl>
    <w:p>
      <w:pPr>
        <w:pStyle w:val="3"/>
        <w:spacing w:beforeLines="50" w:afterLines="50" w:line="360" w:lineRule="auto"/>
        <w:jc w:val="center"/>
        <w:rPr>
          <w:rFonts w:ascii="Times New Roman" w:hAnsi="Times New Roman" w:eastAsia="宋体"/>
          <w:b w:val="0"/>
          <w:color w:val="auto"/>
          <w:sz w:val="24"/>
          <w:szCs w:val="24"/>
        </w:rPr>
      </w:pPr>
      <w:bookmarkStart w:id="206" w:name="_Toc8797"/>
      <w:bookmarkStart w:id="207" w:name="_Toc14555"/>
      <w:r>
        <w:rPr>
          <w:rFonts w:ascii="Times New Roman" w:hAnsi="Times New Roman" w:eastAsia="宋体"/>
          <w:b w:val="0"/>
          <w:color w:val="auto"/>
          <w:sz w:val="24"/>
          <w:szCs w:val="24"/>
        </w:rPr>
        <w:t>6.6 水分</w:t>
      </w:r>
      <w:bookmarkEnd w:id="206"/>
      <w:bookmarkEnd w:id="207"/>
    </w:p>
    <w:p>
      <w:pPr>
        <w:spacing w:line="360" w:lineRule="auto"/>
        <w:rPr>
          <w:color w:val="auto"/>
          <w:szCs w:val="21"/>
        </w:rPr>
      </w:pPr>
      <w:r>
        <w:rPr>
          <w:color w:val="auto"/>
          <w:szCs w:val="21"/>
        </w:rPr>
        <w:t>6.6.1  在测试开始前将称量瓶及其配套磨口盖完全干燥，以避免容器水分对结果产生影响。考虑到碳基材料样品个体差异性大，取样质量会对测试结果造成影响，因此分别选取8组不同质量试样进行测试，实验数据见表8，通过实验数据可知，取样质量选取20g时极差最小，同时试样质量越大，完全烘干时间越长，因此建议试样质量取20g；样品干燥时间不足，会造成水分测试结果偏小及多个平行样结果偏差大，因此选择5个不同干燥时间进行测试，实验数据见表</w:t>
      </w:r>
      <w:r>
        <w:rPr>
          <w:rFonts w:hint="eastAsia"/>
          <w:color w:val="auto"/>
          <w:szCs w:val="21"/>
        </w:rPr>
        <w:t>9</w:t>
      </w:r>
      <w:r>
        <w:rPr>
          <w:color w:val="auto"/>
          <w:szCs w:val="21"/>
        </w:rPr>
        <w:t>，结合实验数据可以得出，当干燥时间大于2h后测试结果已基本不发生变化，因此规定干燥时间取2h。</w:t>
      </w:r>
    </w:p>
    <w:p>
      <w:pPr>
        <w:keepNext/>
        <w:keepLines/>
        <w:tabs>
          <w:tab w:val="left" w:pos="397"/>
        </w:tabs>
        <w:spacing w:beforeLines="50" w:afterLines="50" w:line="360" w:lineRule="auto"/>
        <w:jc w:val="center"/>
        <w:rPr>
          <w:color w:val="auto"/>
          <w:sz w:val="18"/>
          <w:szCs w:val="18"/>
        </w:rPr>
      </w:pPr>
      <w:r>
        <w:rPr>
          <w:color w:val="auto"/>
          <w:sz w:val="18"/>
          <w:szCs w:val="18"/>
        </w:rPr>
        <w:t>表8  质量对试样水分数值影响情况</w:t>
      </w:r>
    </w:p>
    <w:tbl>
      <w:tblPr>
        <w:tblStyle w:val="25"/>
        <w:tblW w:w="984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0"/>
        <w:gridCol w:w="1126"/>
        <w:gridCol w:w="969"/>
        <w:gridCol w:w="969"/>
        <w:gridCol w:w="969"/>
        <w:gridCol w:w="969"/>
        <w:gridCol w:w="969"/>
        <w:gridCol w:w="969"/>
        <w:gridCol w:w="969"/>
        <w:gridCol w:w="97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086" w:type="dxa"/>
            <w:gridSpan w:val="2"/>
            <w:vMerge w:val="restart"/>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60" w:type="dxa"/>
            <w:gridSpan w:val="8"/>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试样质量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086" w:type="dxa"/>
            <w:gridSpan w:val="2"/>
            <w:vMerge w:val="continue"/>
            <w:shd w:val="clear" w:color="auto" w:fill="auto"/>
            <w:noWrap/>
            <w:vAlign w:val="center"/>
          </w:tcPr>
          <w:p>
            <w:pPr>
              <w:pStyle w:val="15"/>
              <w:spacing w:line="360" w:lineRule="auto"/>
              <w:ind w:left="0" w:leftChars="0" w:firstLine="0" w:firstLineChars="0"/>
              <w:jc w:val="center"/>
              <w:rPr>
                <w:color w:val="auto"/>
                <w:sz w:val="18"/>
                <w:szCs w:val="18"/>
              </w:rPr>
            </w:pP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10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20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 g</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 g</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50 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086" w:type="dxa"/>
            <w:gridSpan w:val="2"/>
            <w:tcBorders>
              <w:bottom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干燥完全时间</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2.5h</w:t>
            </w:r>
          </w:p>
        </w:tc>
        <w:tc>
          <w:tcPr>
            <w:tcW w:w="96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2.5h</w:t>
            </w:r>
          </w:p>
        </w:tc>
        <w:tc>
          <w:tcPr>
            <w:tcW w:w="97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3.5h</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960"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2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8.49</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8.17</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7.79</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8.12</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8.30</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8.40</w:t>
            </w:r>
          </w:p>
        </w:tc>
        <w:tc>
          <w:tcPr>
            <w:tcW w:w="9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8.59</w:t>
            </w:r>
          </w:p>
        </w:tc>
        <w:tc>
          <w:tcPr>
            <w:tcW w:w="97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2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8.45</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8.33</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8.62</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8.39</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8.21</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2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9.60</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8.60</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8.39</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8.45</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8.52</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2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8.53</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8.26</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8.04</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7.98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8.27</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8.26</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086"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8.77</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8.31</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8.15</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8.22</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8.40</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086"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0.31</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0.81</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0.64</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0.14</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0.18</w:t>
            </w:r>
          </w:p>
        </w:tc>
        <w:tc>
          <w:tcPr>
            <w:tcW w:w="9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0.38</w:t>
            </w:r>
          </w:p>
        </w:tc>
        <w:tc>
          <w:tcPr>
            <w:tcW w:w="97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0.28</w:t>
            </w:r>
          </w:p>
        </w:tc>
      </w:tr>
    </w:tbl>
    <w:p>
      <w:pPr>
        <w:keepNext/>
        <w:keepLines/>
        <w:tabs>
          <w:tab w:val="left" w:pos="397"/>
        </w:tabs>
        <w:spacing w:beforeLines="50" w:afterLines="50" w:line="360" w:lineRule="auto"/>
        <w:jc w:val="center"/>
        <w:rPr>
          <w:color w:val="auto"/>
          <w:sz w:val="18"/>
          <w:szCs w:val="18"/>
        </w:rPr>
      </w:pPr>
      <w:r>
        <w:rPr>
          <w:color w:val="auto"/>
          <w:sz w:val="18"/>
          <w:szCs w:val="18"/>
        </w:rPr>
        <w:t>表9  干燥时间对水分数值影响情况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58"/>
        <w:gridCol w:w="1132"/>
        <w:gridCol w:w="1550"/>
        <w:gridCol w:w="1550"/>
        <w:gridCol w:w="1550"/>
        <w:gridCol w:w="1550"/>
        <w:gridCol w:w="15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56" w:type="dxa"/>
            <w:gridSpan w:val="5"/>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干燥时间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55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h</w:t>
            </w:r>
          </w:p>
        </w:tc>
        <w:tc>
          <w:tcPr>
            <w:tcW w:w="155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h</w:t>
            </w:r>
          </w:p>
        </w:tc>
        <w:tc>
          <w:tcPr>
            <w:tcW w:w="155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h</w:t>
            </w:r>
          </w:p>
        </w:tc>
        <w:tc>
          <w:tcPr>
            <w:tcW w:w="155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 h</w:t>
            </w:r>
          </w:p>
        </w:tc>
        <w:tc>
          <w:tcPr>
            <w:tcW w:w="155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 h</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3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5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7.98</w:t>
            </w:r>
          </w:p>
        </w:tc>
        <w:tc>
          <w:tcPr>
            <w:tcW w:w="15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c>
          <w:tcPr>
            <w:tcW w:w="15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8.26</w:t>
            </w:r>
          </w:p>
        </w:tc>
        <w:tc>
          <w:tcPr>
            <w:tcW w:w="15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8.27</w:t>
            </w:r>
          </w:p>
        </w:tc>
        <w:tc>
          <w:tcPr>
            <w:tcW w:w="155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7.81</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8.12</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8.15</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c>
          <w:tcPr>
            <w:tcW w:w="155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7.72</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8.01</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8.21</w:t>
            </w:r>
          </w:p>
        </w:tc>
        <w:tc>
          <w:tcPr>
            <w:tcW w:w="155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7.74</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7.98</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8.15</w:t>
            </w:r>
          </w:p>
        </w:tc>
        <w:tc>
          <w:tcPr>
            <w:tcW w:w="155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7.81</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8.08</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8.19</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c>
          <w:tcPr>
            <w:tcW w:w="155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0.26</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0.11</w:t>
            </w:r>
          </w:p>
        </w:tc>
        <w:tc>
          <w:tcPr>
            <w:tcW w:w="15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0.12</w:t>
            </w:r>
          </w:p>
        </w:tc>
        <w:tc>
          <w:tcPr>
            <w:tcW w:w="155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0.11</w:t>
            </w:r>
          </w:p>
        </w:tc>
      </w:tr>
    </w:tbl>
    <w:p>
      <w:pPr>
        <w:spacing w:line="360" w:lineRule="auto"/>
        <w:rPr>
          <w:color w:val="auto"/>
          <w:szCs w:val="21"/>
        </w:rPr>
      </w:pPr>
      <w:r>
        <w:rPr>
          <w:color w:val="auto"/>
          <w:szCs w:val="21"/>
        </w:rPr>
        <w:t>6.6.3  由表10中的实验数据可得，分析结果差值在0.19%~0.42%，因此规定两次平行测试结果的差值不大于0.5%。</w:t>
      </w:r>
    </w:p>
    <w:p>
      <w:pPr>
        <w:keepNext/>
        <w:keepLines/>
        <w:tabs>
          <w:tab w:val="left" w:pos="397"/>
        </w:tabs>
        <w:spacing w:beforeLines="50" w:afterLines="50" w:line="360" w:lineRule="auto"/>
        <w:jc w:val="center"/>
        <w:rPr>
          <w:color w:val="auto"/>
          <w:sz w:val="18"/>
          <w:szCs w:val="18"/>
        </w:rPr>
      </w:pPr>
      <w:r>
        <w:rPr>
          <w:color w:val="auto"/>
          <w:sz w:val="18"/>
          <w:szCs w:val="18"/>
        </w:rPr>
        <w:t>表10  碳基材料试样</w:t>
      </w:r>
      <w:r>
        <w:rPr>
          <w:rFonts w:hint="eastAsia"/>
          <w:color w:val="auto"/>
          <w:sz w:val="18"/>
          <w:szCs w:val="18"/>
        </w:rPr>
        <w:t>水分</w:t>
      </w:r>
      <w:r>
        <w:rPr>
          <w:color w:val="auto"/>
          <w:sz w:val="18"/>
          <w:szCs w:val="18"/>
        </w:rPr>
        <w:t>精密度测试情况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58"/>
        <w:gridCol w:w="1130"/>
        <w:gridCol w:w="1292"/>
        <w:gridCol w:w="1292"/>
        <w:gridCol w:w="1292"/>
        <w:gridCol w:w="1292"/>
        <w:gridCol w:w="1292"/>
        <w:gridCol w:w="12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88"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58" w:type="dxa"/>
            <w:gridSpan w:val="6"/>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88"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29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样品A</w:t>
            </w:r>
          </w:p>
        </w:tc>
        <w:tc>
          <w:tcPr>
            <w:tcW w:w="129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样品B</w:t>
            </w:r>
          </w:p>
        </w:tc>
        <w:tc>
          <w:tcPr>
            <w:tcW w:w="129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样品C</w:t>
            </w:r>
          </w:p>
        </w:tc>
        <w:tc>
          <w:tcPr>
            <w:tcW w:w="129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样品D</w:t>
            </w:r>
          </w:p>
        </w:tc>
        <w:tc>
          <w:tcPr>
            <w:tcW w:w="129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样品E</w:t>
            </w:r>
          </w:p>
        </w:tc>
        <w:tc>
          <w:tcPr>
            <w:tcW w:w="129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样品F</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3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29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8.55</w:t>
            </w:r>
          </w:p>
        </w:tc>
        <w:tc>
          <w:tcPr>
            <w:tcW w:w="129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8.35</w:t>
            </w:r>
          </w:p>
        </w:tc>
        <w:tc>
          <w:tcPr>
            <w:tcW w:w="129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6.76</w:t>
            </w:r>
          </w:p>
        </w:tc>
        <w:tc>
          <w:tcPr>
            <w:tcW w:w="129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6.62</w:t>
            </w:r>
          </w:p>
        </w:tc>
        <w:tc>
          <w:tcPr>
            <w:tcW w:w="129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3.27</w:t>
            </w:r>
          </w:p>
        </w:tc>
        <w:tc>
          <w:tcPr>
            <w:tcW w:w="129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8.42</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8.20</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6.64</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6.53</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8.36</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8.18</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6.89</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6.74</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3.23</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8.30</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8.16</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6.71</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6.57</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3.06</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2.97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8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8.41</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8.22</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6.75</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6.62</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3.26</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8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0.25</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0.19</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0.26</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0.21</w:t>
            </w:r>
          </w:p>
        </w:tc>
        <w:tc>
          <w:tcPr>
            <w:tcW w:w="129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0.42</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0.39</w:t>
            </w:r>
          </w:p>
        </w:tc>
      </w:tr>
    </w:tbl>
    <w:p>
      <w:pPr>
        <w:pStyle w:val="3"/>
        <w:spacing w:beforeLines="50" w:afterLines="50" w:line="360" w:lineRule="auto"/>
        <w:jc w:val="center"/>
        <w:rPr>
          <w:rFonts w:ascii="Times New Roman" w:hAnsi="Times New Roman" w:eastAsia="宋体"/>
          <w:b w:val="0"/>
          <w:color w:val="auto"/>
          <w:sz w:val="24"/>
          <w:szCs w:val="24"/>
        </w:rPr>
      </w:pPr>
      <w:bookmarkStart w:id="208" w:name="_Toc21997"/>
      <w:bookmarkStart w:id="209" w:name="_Toc14346"/>
      <w:r>
        <w:rPr>
          <w:rFonts w:ascii="Times New Roman" w:hAnsi="Times New Roman" w:eastAsia="宋体"/>
          <w:b w:val="0"/>
          <w:color w:val="auto"/>
          <w:sz w:val="24"/>
          <w:szCs w:val="24"/>
        </w:rPr>
        <w:t>6.7 灰分</w:t>
      </w:r>
      <w:bookmarkEnd w:id="208"/>
      <w:bookmarkEnd w:id="209"/>
    </w:p>
    <w:p>
      <w:pPr>
        <w:spacing w:line="360" w:lineRule="auto"/>
        <w:rPr>
          <w:color w:val="auto"/>
          <w:szCs w:val="21"/>
        </w:rPr>
      </w:pPr>
      <w:r>
        <w:rPr>
          <w:color w:val="auto"/>
          <w:szCs w:val="21"/>
        </w:rPr>
        <w:t>6.7.1  灰分测试前将灰皿灼烧至恒重，以避免容器质量变化对结果产生影响。在本测试方法中，需要保证试样测试流程短，保证短时间灼烧完全并使测试结果稳定，选择4组不同质量试样以及选取4个不同灼烧时间进行测试，实验数据见表11和表12。结合实验数据，在试样质量选取为1g时，极差小，在灼烧时间大于1h后测试结果已基本不变，故本标准规定试样称取质量为1g，灼烧时间取1h。</w:t>
      </w:r>
    </w:p>
    <w:p>
      <w:pPr>
        <w:keepNext/>
        <w:keepLines/>
        <w:tabs>
          <w:tab w:val="left" w:pos="397"/>
        </w:tabs>
        <w:spacing w:beforeLines="50" w:afterLines="50" w:line="360" w:lineRule="auto"/>
        <w:jc w:val="center"/>
        <w:rPr>
          <w:color w:val="auto"/>
          <w:sz w:val="18"/>
          <w:szCs w:val="18"/>
        </w:rPr>
      </w:pPr>
      <w:r>
        <w:rPr>
          <w:color w:val="auto"/>
          <w:sz w:val="18"/>
          <w:szCs w:val="18"/>
        </w:rPr>
        <w:t>表11  质量对试样灰分数值影响情况</w:t>
      </w:r>
    </w:p>
    <w:tbl>
      <w:tblPr>
        <w:tblStyle w:val="25"/>
        <w:tblW w:w="984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55"/>
        <w:gridCol w:w="1140"/>
        <w:gridCol w:w="967"/>
        <w:gridCol w:w="967"/>
        <w:gridCol w:w="967"/>
        <w:gridCol w:w="967"/>
        <w:gridCol w:w="967"/>
        <w:gridCol w:w="967"/>
        <w:gridCol w:w="967"/>
        <w:gridCol w:w="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5"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9" w:type="dxa"/>
            <w:gridSpan w:val="8"/>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试样质量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5" w:type="dxa"/>
            <w:gridSpan w:val="2"/>
            <w:vMerge w:val="continue"/>
            <w:vAlign w:val="center"/>
          </w:tcPr>
          <w:p>
            <w:pPr>
              <w:pStyle w:val="15"/>
              <w:spacing w:line="360" w:lineRule="auto"/>
              <w:ind w:left="0" w:leftChars="0" w:firstLine="0" w:firstLineChars="0"/>
              <w:jc w:val="center"/>
              <w:rPr>
                <w:color w:val="auto"/>
                <w:sz w:val="18"/>
                <w:szCs w:val="18"/>
              </w:rPr>
            </w:pPr>
          </w:p>
        </w:tc>
        <w:tc>
          <w:tcPr>
            <w:tcW w:w="3868"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样品A</w:t>
            </w:r>
          </w:p>
        </w:tc>
        <w:tc>
          <w:tcPr>
            <w:tcW w:w="3881"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样品B</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5"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0.5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0.5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g</w:t>
            </w:r>
          </w:p>
        </w:tc>
        <w:tc>
          <w:tcPr>
            <w:tcW w:w="96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g</w:t>
            </w:r>
          </w:p>
        </w:tc>
        <w:tc>
          <w:tcPr>
            <w:tcW w:w="98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 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5"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4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11.56</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11.57</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11.52</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11.80</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22.33</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22.82</w:t>
            </w:r>
          </w:p>
        </w:tc>
        <w:tc>
          <w:tcPr>
            <w:tcW w:w="96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22.83</w:t>
            </w:r>
          </w:p>
        </w:tc>
        <w:tc>
          <w:tcPr>
            <w:tcW w:w="98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5" w:type="dxa"/>
            <w:vMerge w:val="continue"/>
            <w:vAlign w:val="center"/>
          </w:tcPr>
          <w:p>
            <w:pPr>
              <w:pStyle w:val="15"/>
              <w:spacing w:line="360" w:lineRule="auto"/>
              <w:ind w:left="0" w:leftChars="0" w:firstLine="0" w:firstLineChars="0"/>
              <w:jc w:val="center"/>
              <w:rPr>
                <w:color w:val="auto"/>
                <w:sz w:val="18"/>
                <w:szCs w:val="18"/>
              </w:rPr>
            </w:pPr>
          </w:p>
        </w:tc>
        <w:tc>
          <w:tcPr>
            <w:tcW w:w="11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11.28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11.61</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11.66</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22.68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22.66</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22.62</w:t>
            </w:r>
          </w:p>
        </w:tc>
        <w:tc>
          <w:tcPr>
            <w:tcW w:w="98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5" w:type="dxa"/>
            <w:vMerge w:val="continue"/>
            <w:vAlign w:val="center"/>
          </w:tcPr>
          <w:p>
            <w:pPr>
              <w:pStyle w:val="15"/>
              <w:spacing w:line="360" w:lineRule="auto"/>
              <w:ind w:left="0" w:leftChars="0" w:firstLine="0" w:firstLineChars="0"/>
              <w:jc w:val="center"/>
              <w:rPr>
                <w:color w:val="auto"/>
                <w:sz w:val="18"/>
                <w:szCs w:val="18"/>
              </w:rPr>
            </w:pPr>
          </w:p>
        </w:tc>
        <w:tc>
          <w:tcPr>
            <w:tcW w:w="11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11.47</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11.79</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11.64</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11.59</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22.57</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22.76</w:t>
            </w:r>
          </w:p>
        </w:tc>
        <w:tc>
          <w:tcPr>
            <w:tcW w:w="98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22.63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55" w:type="dxa"/>
            <w:vMerge w:val="continue"/>
            <w:vAlign w:val="center"/>
          </w:tcPr>
          <w:p>
            <w:pPr>
              <w:pStyle w:val="15"/>
              <w:spacing w:line="360" w:lineRule="auto"/>
              <w:ind w:left="0" w:leftChars="0" w:firstLine="0" w:firstLineChars="0"/>
              <w:jc w:val="center"/>
              <w:rPr>
                <w:color w:val="auto"/>
                <w:sz w:val="18"/>
                <w:szCs w:val="18"/>
              </w:rPr>
            </w:pPr>
          </w:p>
        </w:tc>
        <w:tc>
          <w:tcPr>
            <w:tcW w:w="11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11.24</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11.66</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11.76</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11.72</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22.41</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22.88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22.79</w:t>
            </w:r>
          </w:p>
        </w:tc>
        <w:tc>
          <w:tcPr>
            <w:tcW w:w="98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5"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11.39</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11.65</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11.63</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11.69</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22.50</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22.78</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22.75</w:t>
            </w:r>
          </w:p>
        </w:tc>
        <w:tc>
          <w:tcPr>
            <w:tcW w:w="98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22.77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5"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0.32</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0.24</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0.21</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0.34</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0.22</w:t>
            </w:r>
          </w:p>
        </w:tc>
        <w:tc>
          <w:tcPr>
            <w:tcW w:w="96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0.21</w:t>
            </w:r>
          </w:p>
        </w:tc>
        <w:tc>
          <w:tcPr>
            <w:tcW w:w="98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0.25</w:t>
            </w:r>
          </w:p>
        </w:tc>
      </w:tr>
    </w:tbl>
    <w:p>
      <w:pPr>
        <w:keepNext/>
        <w:keepLines/>
        <w:tabs>
          <w:tab w:val="left" w:pos="397"/>
        </w:tabs>
        <w:spacing w:beforeLines="50" w:afterLines="50" w:line="360" w:lineRule="auto"/>
        <w:jc w:val="center"/>
        <w:rPr>
          <w:color w:val="auto"/>
          <w:sz w:val="18"/>
          <w:szCs w:val="18"/>
        </w:rPr>
      </w:pPr>
      <w:r>
        <w:rPr>
          <w:color w:val="auto"/>
          <w:sz w:val="18"/>
          <w:szCs w:val="18"/>
        </w:rPr>
        <w:t>表12  灼烧时间对试样灰分数值影响情况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132"/>
        <w:gridCol w:w="1936"/>
        <w:gridCol w:w="1936"/>
        <w:gridCol w:w="1936"/>
        <w:gridCol w:w="19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100"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c>
          <w:tcPr>
            <w:tcW w:w="7746"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灼烧时间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100"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0.5 h</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h</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h</w:t>
            </w: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h</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3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样品A</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11.43</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11.62</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11.61</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样品B</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15.74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15.81</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15.81</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样品C</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12.98</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13.29</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13.30</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样品D</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12.06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12.21</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12.22</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样品E</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13.86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14.16</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样品F</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12.57</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12.57</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12.56</w:t>
            </w:r>
          </w:p>
        </w:tc>
      </w:tr>
    </w:tbl>
    <w:p>
      <w:pPr>
        <w:spacing w:line="360" w:lineRule="auto"/>
        <w:rPr>
          <w:color w:val="auto"/>
          <w:szCs w:val="21"/>
        </w:rPr>
      </w:pPr>
      <w:r>
        <w:rPr>
          <w:color w:val="auto"/>
          <w:szCs w:val="21"/>
        </w:rPr>
        <w:t>6.7.3  由表13中的实验数据可知，分析结果差值在0.07%~0.32%，因此规定两次平行测试结果的差值不大于0.5%。</w:t>
      </w:r>
    </w:p>
    <w:p>
      <w:pPr>
        <w:keepNext/>
        <w:keepLines/>
        <w:tabs>
          <w:tab w:val="left" w:pos="397"/>
        </w:tabs>
        <w:spacing w:beforeLines="50" w:afterLines="50" w:line="360" w:lineRule="auto"/>
        <w:jc w:val="center"/>
        <w:rPr>
          <w:color w:val="auto"/>
          <w:sz w:val="18"/>
          <w:szCs w:val="18"/>
        </w:rPr>
      </w:pPr>
      <w:r>
        <w:rPr>
          <w:color w:val="auto"/>
          <w:sz w:val="18"/>
          <w:szCs w:val="18"/>
        </w:rPr>
        <w:t>表13  碳基材料试样</w:t>
      </w:r>
      <w:r>
        <w:rPr>
          <w:rFonts w:hint="eastAsia"/>
          <w:color w:val="auto"/>
          <w:sz w:val="18"/>
          <w:szCs w:val="18"/>
        </w:rPr>
        <w:t>灰分</w:t>
      </w:r>
      <w:r>
        <w:rPr>
          <w:color w:val="auto"/>
          <w:sz w:val="18"/>
          <w:szCs w:val="18"/>
        </w:rPr>
        <w:t>精密度测试情况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8"/>
        <w:gridCol w:w="1120"/>
        <w:gridCol w:w="1290"/>
        <w:gridCol w:w="1290"/>
        <w:gridCol w:w="1290"/>
        <w:gridCol w:w="1290"/>
        <w:gridCol w:w="1290"/>
        <w:gridCol w:w="12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8" w:type="dxa"/>
            <w:gridSpan w:val="6"/>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A</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B</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C</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D</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E</w:t>
            </w:r>
          </w:p>
        </w:tc>
        <w:tc>
          <w:tcPr>
            <w:tcW w:w="129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F</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2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11.58</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15.80</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13.27</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12.18</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14.12</w:t>
            </w:r>
          </w:p>
        </w:tc>
        <w:tc>
          <w:tcPr>
            <w:tcW w:w="129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8" w:type="dxa"/>
            <w:vMerge w:val="continue"/>
            <w:vAlign w:val="center"/>
          </w:tcPr>
          <w:p>
            <w:pPr>
              <w:pStyle w:val="15"/>
              <w:spacing w:line="360" w:lineRule="auto"/>
              <w:ind w:left="0" w:leftChars="0" w:firstLine="0" w:firstLineChars="0"/>
              <w:jc w:val="center"/>
              <w:rPr>
                <w:color w:val="auto"/>
                <w:sz w:val="18"/>
                <w:szCs w:val="18"/>
              </w:rPr>
            </w:pPr>
          </w:p>
        </w:tc>
        <w:tc>
          <w:tcPr>
            <w:tcW w:w="112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11.56</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13.11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12.10</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14.13</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8" w:type="dxa"/>
            <w:vMerge w:val="continue"/>
            <w:vAlign w:val="center"/>
          </w:tcPr>
          <w:p>
            <w:pPr>
              <w:pStyle w:val="15"/>
              <w:spacing w:line="360" w:lineRule="auto"/>
              <w:ind w:left="0" w:leftChars="0" w:firstLine="0" w:firstLineChars="0"/>
              <w:jc w:val="center"/>
              <w:rPr>
                <w:color w:val="auto"/>
                <w:sz w:val="18"/>
                <w:szCs w:val="18"/>
              </w:rPr>
            </w:pPr>
          </w:p>
        </w:tc>
        <w:tc>
          <w:tcPr>
            <w:tcW w:w="112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15.74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13.35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12.26</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14.20</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78" w:type="dxa"/>
            <w:vMerge w:val="continue"/>
            <w:vAlign w:val="center"/>
          </w:tcPr>
          <w:p>
            <w:pPr>
              <w:pStyle w:val="15"/>
              <w:spacing w:line="360" w:lineRule="auto"/>
              <w:ind w:left="0" w:leftChars="0" w:firstLine="0" w:firstLineChars="0"/>
              <w:jc w:val="center"/>
              <w:rPr>
                <w:color w:val="auto"/>
                <w:sz w:val="18"/>
                <w:szCs w:val="18"/>
              </w:rPr>
            </w:pPr>
          </w:p>
        </w:tc>
        <w:tc>
          <w:tcPr>
            <w:tcW w:w="112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13.43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12.31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14.17</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11.62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13.29</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12.21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14.16</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12.57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0.32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0.08</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0.07</w:t>
            </w:r>
          </w:p>
        </w:tc>
      </w:tr>
    </w:tbl>
    <w:p>
      <w:pPr>
        <w:pStyle w:val="3"/>
        <w:spacing w:beforeLines="50" w:afterLines="50" w:line="360" w:lineRule="auto"/>
        <w:jc w:val="center"/>
        <w:rPr>
          <w:rFonts w:ascii="Times New Roman" w:hAnsi="Times New Roman" w:eastAsia="宋体"/>
          <w:b w:val="0"/>
          <w:color w:val="auto"/>
          <w:sz w:val="24"/>
          <w:szCs w:val="24"/>
        </w:rPr>
      </w:pPr>
      <w:bookmarkStart w:id="210" w:name="_Toc23386"/>
      <w:bookmarkStart w:id="211" w:name="_Toc6058"/>
      <w:r>
        <w:rPr>
          <w:rFonts w:ascii="Times New Roman" w:hAnsi="Times New Roman" w:eastAsia="宋体"/>
          <w:b w:val="0"/>
          <w:color w:val="auto"/>
          <w:sz w:val="24"/>
          <w:szCs w:val="24"/>
        </w:rPr>
        <w:t>6.8 挥发分</w:t>
      </w:r>
      <w:bookmarkEnd w:id="210"/>
      <w:bookmarkEnd w:id="211"/>
    </w:p>
    <w:p>
      <w:pPr>
        <w:spacing w:line="360" w:lineRule="auto"/>
        <w:rPr>
          <w:color w:val="auto"/>
          <w:szCs w:val="21"/>
        </w:rPr>
      </w:pPr>
      <w:r>
        <w:rPr>
          <w:color w:val="auto"/>
          <w:szCs w:val="21"/>
        </w:rPr>
        <w:t>6.8.1  氮气吹扫可将管式炉中空气排尽，以避免氧气与试样反应。测试时塞上隔热炉塞以保证恒温区与温度。关闭管式炉后降温过程保持管式炉内的氮气氛围，以避免试样中成分在高温下与氧气接触发生反应。在本测试方法中，需要保证试样能均匀平铺在灰皿中，减少实验时长及避免挥发分挥发不充分，选择4组不同质量试样以及选取4个不同恒温时间进行测试，实验数据见表14和表15。结合实验数据，在试样质量选取为1g时，极差小，在恒温时间大于1h后测试结果已基本不变，因此规定试样称取质量为1g，恒温时间取1h。</w:t>
      </w:r>
    </w:p>
    <w:p>
      <w:pPr>
        <w:keepNext/>
        <w:keepLines/>
        <w:tabs>
          <w:tab w:val="left" w:pos="397"/>
        </w:tabs>
        <w:spacing w:beforeLines="50" w:afterLines="50" w:line="360" w:lineRule="auto"/>
        <w:jc w:val="center"/>
        <w:rPr>
          <w:color w:val="auto"/>
          <w:sz w:val="18"/>
          <w:szCs w:val="18"/>
        </w:rPr>
      </w:pPr>
      <w:r>
        <w:rPr>
          <w:color w:val="auto"/>
          <w:sz w:val="18"/>
          <w:szCs w:val="18"/>
        </w:rPr>
        <w:t>表14  不同质量试样挥发分数值变化情况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130"/>
        <w:gridCol w:w="1936"/>
        <w:gridCol w:w="1936"/>
        <w:gridCol w:w="1936"/>
        <w:gridCol w:w="19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8"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试样质量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0.5 g</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g</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g</w:t>
            </w:r>
          </w:p>
        </w:tc>
        <w:tc>
          <w:tcPr>
            <w:tcW w:w="194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 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3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1.81</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1.82</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1.83</w:t>
            </w:r>
          </w:p>
        </w:tc>
        <w:tc>
          <w:tcPr>
            <w:tcW w:w="194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1.67</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1.90</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1.76</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1.80</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8" w:type="dxa"/>
            <w:vMerge w:val="continue"/>
            <w:vAlign w:val="center"/>
          </w:tcPr>
          <w:p>
            <w:pPr>
              <w:pStyle w:val="15"/>
              <w:spacing w:line="360" w:lineRule="auto"/>
              <w:ind w:left="0" w:leftChars="0" w:firstLine="0" w:firstLineChars="0"/>
              <w:jc w:val="center"/>
              <w:rPr>
                <w:color w:val="auto"/>
                <w:sz w:val="18"/>
                <w:szCs w:val="18"/>
              </w:rPr>
            </w:pPr>
          </w:p>
        </w:tc>
        <w:tc>
          <w:tcPr>
            <w:tcW w:w="113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1.53</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1.67</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1.69</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1.77</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0.28</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0.16</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0.15</w:t>
            </w:r>
          </w:p>
        </w:tc>
      </w:tr>
    </w:tbl>
    <w:p>
      <w:pPr>
        <w:keepNext/>
        <w:keepLines/>
        <w:tabs>
          <w:tab w:val="left" w:pos="397"/>
        </w:tabs>
        <w:spacing w:beforeLines="50" w:afterLines="50" w:line="360" w:lineRule="auto"/>
        <w:jc w:val="center"/>
        <w:rPr>
          <w:color w:val="auto"/>
          <w:sz w:val="18"/>
          <w:szCs w:val="18"/>
        </w:rPr>
      </w:pPr>
      <w:r>
        <w:rPr>
          <w:color w:val="auto"/>
          <w:sz w:val="18"/>
          <w:szCs w:val="18"/>
        </w:rPr>
        <w:t>表15  不同恒温时间试样挥发分数值变化情况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0"/>
        <w:gridCol w:w="1138"/>
        <w:gridCol w:w="1936"/>
        <w:gridCol w:w="1936"/>
        <w:gridCol w:w="1936"/>
        <w:gridCol w:w="19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8"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恒温时间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0.5 h</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 h</w:t>
            </w: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h</w:t>
            </w:r>
          </w:p>
        </w:tc>
        <w:tc>
          <w:tcPr>
            <w:tcW w:w="194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 h</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0"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1.69</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1.80</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1.84</w:t>
            </w:r>
          </w:p>
        </w:tc>
        <w:tc>
          <w:tcPr>
            <w:tcW w:w="194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1.79</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1.81</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1.58</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1.73</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1.78</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60" w:type="dxa"/>
            <w:vMerge w:val="continue"/>
            <w:vAlign w:val="center"/>
          </w:tcPr>
          <w:p>
            <w:pPr>
              <w:pStyle w:val="15"/>
              <w:spacing w:line="360" w:lineRule="auto"/>
              <w:ind w:left="0" w:leftChars="0" w:firstLine="0" w:firstLineChars="0"/>
              <w:jc w:val="center"/>
              <w:rPr>
                <w:color w:val="auto"/>
                <w:sz w:val="18"/>
                <w:szCs w:val="18"/>
              </w:rPr>
            </w:pPr>
          </w:p>
        </w:tc>
        <w:tc>
          <w:tcPr>
            <w:tcW w:w="11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1.62</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1.78</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1.80</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1.78</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1.81</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0.16</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0.07</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0.06</w:t>
            </w:r>
          </w:p>
        </w:tc>
        <w:tc>
          <w:tcPr>
            <w:tcW w:w="194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0.12</w:t>
            </w:r>
          </w:p>
        </w:tc>
      </w:tr>
    </w:tbl>
    <w:p>
      <w:pPr>
        <w:spacing w:line="360" w:lineRule="auto"/>
        <w:rPr>
          <w:color w:val="auto"/>
          <w:szCs w:val="21"/>
        </w:rPr>
      </w:pPr>
      <w:r>
        <w:rPr>
          <w:color w:val="auto"/>
          <w:szCs w:val="21"/>
        </w:rPr>
        <w:t>6.8.3  由表16中的实验数据可知，分析结果差值在0.07%~0.27%，因此规定两次平行测试结果的差值不大于0.3 %。</w:t>
      </w:r>
    </w:p>
    <w:p>
      <w:pPr>
        <w:keepNext/>
        <w:keepLines/>
        <w:tabs>
          <w:tab w:val="left" w:pos="397"/>
        </w:tabs>
        <w:spacing w:beforeLines="50" w:afterLines="50" w:line="360" w:lineRule="auto"/>
        <w:jc w:val="center"/>
        <w:rPr>
          <w:color w:val="auto"/>
          <w:sz w:val="18"/>
          <w:szCs w:val="18"/>
        </w:rPr>
      </w:pPr>
      <w:r>
        <w:rPr>
          <w:color w:val="auto"/>
          <w:sz w:val="18"/>
          <w:szCs w:val="18"/>
        </w:rPr>
        <w:t>表16  碳基材料试样</w:t>
      </w:r>
      <w:r>
        <w:rPr>
          <w:rFonts w:hint="eastAsia"/>
          <w:color w:val="auto"/>
          <w:sz w:val="18"/>
          <w:szCs w:val="18"/>
        </w:rPr>
        <w:t>挥发分</w:t>
      </w:r>
      <w:r>
        <w:rPr>
          <w:color w:val="auto"/>
          <w:sz w:val="18"/>
          <w:szCs w:val="18"/>
        </w:rPr>
        <w:t>精密度测试情况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48"/>
        <w:gridCol w:w="1150"/>
        <w:gridCol w:w="1290"/>
        <w:gridCol w:w="1290"/>
        <w:gridCol w:w="1290"/>
        <w:gridCol w:w="1290"/>
        <w:gridCol w:w="1290"/>
        <w:gridCol w:w="12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8" w:type="dxa"/>
            <w:gridSpan w:val="6"/>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A</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B</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C</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D</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E</w:t>
            </w:r>
          </w:p>
        </w:tc>
        <w:tc>
          <w:tcPr>
            <w:tcW w:w="129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F</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1.80</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2.95</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2.52</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4.77</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3.08</w:t>
            </w:r>
          </w:p>
        </w:tc>
        <w:tc>
          <w:tcPr>
            <w:tcW w:w="129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8"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1.79</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2.89</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4.71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2.97</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8"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2.68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2.45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4.88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3.15</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8"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2.74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2.60</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4.92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3.12</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2.82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2.54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4.82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3.08</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8"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0.07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0.18</w:t>
            </w:r>
          </w:p>
        </w:tc>
        <w:tc>
          <w:tcPr>
            <w:tcW w:w="129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0.19</w:t>
            </w:r>
          </w:p>
        </w:tc>
      </w:tr>
    </w:tbl>
    <w:p>
      <w:pPr>
        <w:pStyle w:val="3"/>
        <w:spacing w:beforeLines="50" w:afterLines="50" w:line="360" w:lineRule="auto"/>
        <w:jc w:val="center"/>
        <w:rPr>
          <w:rFonts w:ascii="Times New Roman" w:hAnsi="Times New Roman" w:eastAsia="宋体"/>
          <w:b w:val="0"/>
          <w:color w:val="auto"/>
          <w:sz w:val="24"/>
          <w:szCs w:val="24"/>
        </w:rPr>
      </w:pPr>
      <w:bookmarkStart w:id="212" w:name="_Toc8598"/>
      <w:bookmarkStart w:id="213" w:name="_Toc18434"/>
      <w:r>
        <w:rPr>
          <w:rFonts w:ascii="Times New Roman" w:hAnsi="Times New Roman" w:eastAsia="宋体"/>
          <w:b w:val="0"/>
          <w:color w:val="auto"/>
          <w:sz w:val="24"/>
          <w:szCs w:val="24"/>
        </w:rPr>
        <w:t>6.9 水容量</w:t>
      </w:r>
      <w:bookmarkEnd w:id="212"/>
      <w:bookmarkEnd w:id="213"/>
    </w:p>
    <w:p>
      <w:pPr>
        <w:spacing w:line="360" w:lineRule="auto"/>
        <w:rPr>
          <w:color w:val="auto"/>
          <w:szCs w:val="21"/>
        </w:rPr>
      </w:pPr>
      <w:r>
        <w:rPr>
          <w:color w:val="auto"/>
          <w:szCs w:val="21"/>
        </w:rPr>
        <w:t>6.9.1  水容量测试中由于碳基材料样品的个体差异明显，取样质量会对测试结果造成影响，在测试时试样质量增多会造成堆叠，抽滤不完全。选择4组不同质量的试样进行测试，实验数据见表17，通过实验数据可以得出，在试样称取质量选取50g时极差最小，因此规定试样称取质量取50g。煮沸可以保证试样在短时间内达到吸附水饱和。选择4个不同煮沸时间进行测试，实验数据见表18，结合实验数据可得，煮沸时间大于20min后，测试结果已基本稳定，且煮沸20min时极差较小，因此规定煮沸时间取20min</w:t>
      </w:r>
      <w:r>
        <w:rPr>
          <w:rFonts w:hint="eastAsia"/>
          <w:color w:val="auto"/>
          <w:szCs w:val="21"/>
        </w:rPr>
        <w:t>。</w:t>
      </w:r>
      <w:r>
        <w:rPr>
          <w:color w:val="auto"/>
          <w:szCs w:val="21"/>
        </w:rPr>
        <w:t>煮沸后冷却至室温以避免试样质量因温度因素波动，抽滤时润湿滤纸以防止样品吸附水</w:t>
      </w:r>
      <w:r>
        <w:rPr>
          <w:rFonts w:hint="eastAsia"/>
          <w:color w:val="auto"/>
          <w:szCs w:val="21"/>
        </w:rPr>
        <w:t>后</w:t>
      </w:r>
      <w:r>
        <w:rPr>
          <w:color w:val="auto"/>
          <w:szCs w:val="21"/>
        </w:rPr>
        <w:t>部分被滤纸吸收</w:t>
      </w:r>
      <w:r>
        <w:rPr>
          <w:rFonts w:hint="eastAsia"/>
          <w:color w:val="auto"/>
          <w:szCs w:val="21"/>
        </w:rPr>
        <w:t>从而</w:t>
      </w:r>
      <w:r>
        <w:rPr>
          <w:color w:val="auto"/>
          <w:szCs w:val="21"/>
        </w:rPr>
        <w:t>对水容量测试结果造成影响</w:t>
      </w:r>
      <w:r>
        <w:rPr>
          <w:rFonts w:hint="eastAsia"/>
          <w:color w:val="auto"/>
          <w:szCs w:val="21"/>
        </w:rPr>
        <w:t>，</w:t>
      </w:r>
      <w:r>
        <w:rPr>
          <w:color w:val="auto"/>
          <w:szCs w:val="21"/>
        </w:rPr>
        <w:t>关闭安全瓶上活塞</w:t>
      </w:r>
      <w:r>
        <w:rPr>
          <w:rFonts w:hint="eastAsia"/>
          <w:color w:val="auto"/>
          <w:szCs w:val="21"/>
        </w:rPr>
        <w:t>并</w:t>
      </w:r>
      <w:r>
        <w:rPr>
          <w:color w:val="auto"/>
          <w:szCs w:val="21"/>
        </w:rPr>
        <w:t>打开循环水式多用真空泵</w:t>
      </w:r>
      <w:r>
        <w:rPr>
          <w:rFonts w:hint="eastAsia"/>
          <w:color w:val="auto"/>
          <w:szCs w:val="21"/>
        </w:rPr>
        <w:t>以</w:t>
      </w:r>
      <w:r>
        <w:rPr>
          <w:color w:val="auto"/>
          <w:szCs w:val="21"/>
        </w:rPr>
        <w:t>使滤纸紧贴漏斗</w:t>
      </w:r>
      <w:r>
        <w:rPr>
          <w:rFonts w:hint="eastAsia"/>
          <w:color w:val="auto"/>
          <w:szCs w:val="21"/>
        </w:rPr>
        <w:t>，后续移出</w:t>
      </w:r>
      <w:r>
        <w:rPr>
          <w:rFonts w:hint="eastAsia"/>
          <w:color w:val="auto"/>
          <w:szCs w:val="21"/>
          <w:highlight w:val="none"/>
        </w:rPr>
        <w:t>滤纸</w:t>
      </w:r>
      <w:r>
        <w:rPr>
          <w:rFonts w:hint="eastAsia"/>
          <w:color w:val="auto"/>
          <w:szCs w:val="21"/>
        </w:rPr>
        <w:t>给试样称重时再打开</w:t>
      </w:r>
      <w:r>
        <w:rPr>
          <w:color w:val="auto"/>
          <w:szCs w:val="21"/>
        </w:rPr>
        <w:t>安全瓶上活塞</w:t>
      </w:r>
      <w:r>
        <w:rPr>
          <w:rFonts w:hint="eastAsia"/>
          <w:color w:val="auto"/>
          <w:szCs w:val="21"/>
        </w:rPr>
        <w:t>并关闭</w:t>
      </w:r>
      <w:r>
        <w:rPr>
          <w:color w:val="auto"/>
          <w:szCs w:val="21"/>
        </w:rPr>
        <w:t>循环水式多用真空泵。</w:t>
      </w:r>
      <w:r>
        <w:rPr>
          <w:color w:val="auto"/>
          <w:szCs w:val="21"/>
        </w:rPr>
        <w:t>在本测试方法中，需要选择合适的抽滤时间以保证碳基材料样品除吸附饱和水以外的水抽滤完全，抽滤时间过长以及过短，均会导致结果偏差，选择4个抽滤时间进行测试，实验数据见表</w:t>
      </w:r>
      <w:r>
        <w:rPr>
          <w:rFonts w:hint="eastAsia"/>
          <w:color w:val="auto"/>
          <w:szCs w:val="21"/>
        </w:rPr>
        <w:t>1</w:t>
      </w:r>
      <w:r>
        <w:rPr>
          <w:color w:val="auto"/>
          <w:szCs w:val="21"/>
        </w:rPr>
        <w:t>9，通过实验数据可得，抽滤时间选择10min极差最小，因此规定抽滤时间取10min。</w:t>
      </w:r>
    </w:p>
    <w:p>
      <w:pPr>
        <w:keepNext/>
        <w:keepLines/>
        <w:tabs>
          <w:tab w:val="left" w:pos="397"/>
        </w:tabs>
        <w:spacing w:beforeLines="50" w:afterLines="50" w:line="360" w:lineRule="auto"/>
        <w:jc w:val="center"/>
        <w:rPr>
          <w:color w:val="auto"/>
          <w:sz w:val="18"/>
          <w:szCs w:val="18"/>
        </w:rPr>
      </w:pPr>
      <w:r>
        <w:rPr>
          <w:color w:val="auto"/>
          <w:sz w:val="18"/>
          <w:szCs w:val="18"/>
        </w:rPr>
        <w:t>表17  质量对试样水容量数值影响情况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40"/>
        <w:gridCol w:w="1150"/>
        <w:gridCol w:w="1938"/>
        <w:gridCol w:w="1938"/>
        <w:gridCol w:w="1938"/>
        <w:gridCol w:w="19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56"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试样质量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10g</w:t>
            </w: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30g</w:t>
            </w: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50g</w:t>
            </w:r>
          </w:p>
        </w:tc>
        <w:tc>
          <w:tcPr>
            <w:tcW w:w="194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80g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36.90 </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33.86 </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35.72 </w:t>
            </w:r>
          </w:p>
        </w:tc>
        <w:tc>
          <w:tcPr>
            <w:tcW w:w="194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33.57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36.40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33.11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36.28 </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35.13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35.90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34.81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34.81 </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33.86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34.73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34.27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34.95 </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34.34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35.98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34.01 </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35.44 </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 xml:space="preserve">34.23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2.17</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1.70</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1.47</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1.56</w:t>
            </w:r>
          </w:p>
        </w:tc>
      </w:tr>
    </w:tbl>
    <w:p>
      <w:pPr>
        <w:keepNext/>
        <w:keepLines/>
        <w:tabs>
          <w:tab w:val="left" w:pos="397"/>
        </w:tabs>
        <w:spacing w:beforeLines="50" w:afterLines="50" w:line="360" w:lineRule="auto"/>
        <w:jc w:val="center"/>
        <w:rPr>
          <w:color w:val="auto"/>
          <w:sz w:val="18"/>
          <w:szCs w:val="18"/>
        </w:rPr>
      </w:pPr>
      <w:r>
        <w:rPr>
          <w:color w:val="auto"/>
          <w:sz w:val="18"/>
          <w:szCs w:val="18"/>
        </w:rPr>
        <w:t>表18  煮沸时间对试样水容量数值影响情况</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40"/>
        <w:gridCol w:w="1150"/>
        <w:gridCol w:w="1938"/>
        <w:gridCol w:w="1938"/>
        <w:gridCol w:w="1938"/>
        <w:gridCol w:w="19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56"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煮沸时间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10 min</w:t>
            </w: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min</w:t>
            </w:r>
          </w:p>
        </w:tc>
        <w:tc>
          <w:tcPr>
            <w:tcW w:w="1938"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20 min</w:t>
            </w:r>
          </w:p>
        </w:tc>
        <w:tc>
          <w:tcPr>
            <w:tcW w:w="1942"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 min</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15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31.75</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36.06</w:t>
            </w:r>
          </w:p>
        </w:tc>
        <w:tc>
          <w:tcPr>
            <w:tcW w:w="1938"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35.72</w:t>
            </w:r>
          </w:p>
        </w:tc>
        <w:tc>
          <w:tcPr>
            <w:tcW w:w="1942"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30.43</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33.47</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36.28</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34.61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28.57</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36.68</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34.81</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40" w:type="dxa"/>
            <w:vMerge w:val="continue"/>
            <w:vAlign w:val="center"/>
          </w:tcPr>
          <w:p>
            <w:pPr>
              <w:pStyle w:val="15"/>
              <w:spacing w:line="360" w:lineRule="auto"/>
              <w:ind w:left="0" w:leftChars="0" w:firstLine="0" w:firstLineChars="0"/>
              <w:jc w:val="center"/>
              <w:rPr>
                <w:color w:val="auto"/>
                <w:sz w:val="18"/>
                <w:szCs w:val="18"/>
              </w:rPr>
            </w:pPr>
          </w:p>
        </w:tc>
        <w:tc>
          <w:tcPr>
            <w:tcW w:w="115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32.43</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34.81</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34.95</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30.80</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35.26</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35.44</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0"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3.86</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3.21</w:t>
            </w:r>
          </w:p>
        </w:tc>
        <w:tc>
          <w:tcPr>
            <w:tcW w:w="1938"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1.47</w:t>
            </w:r>
          </w:p>
        </w:tc>
        <w:tc>
          <w:tcPr>
            <w:tcW w:w="1942"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1.87</w:t>
            </w:r>
          </w:p>
        </w:tc>
      </w:tr>
    </w:tbl>
    <w:p>
      <w:pPr>
        <w:keepNext/>
        <w:keepLines/>
        <w:tabs>
          <w:tab w:val="left" w:pos="397"/>
        </w:tabs>
        <w:spacing w:beforeLines="50" w:afterLines="50" w:line="360" w:lineRule="auto"/>
        <w:jc w:val="center"/>
        <w:rPr>
          <w:color w:val="auto"/>
          <w:sz w:val="18"/>
          <w:szCs w:val="18"/>
        </w:rPr>
      </w:pPr>
      <w:r>
        <w:rPr>
          <w:color w:val="auto"/>
          <w:sz w:val="18"/>
          <w:szCs w:val="18"/>
        </w:rPr>
        <w:t>表19  不同抽滤时间对试样水容量数值影响情况</w:t>
      </w:r>
    </w:p>
    <w:tbl>
      <w:tblPr>
        <w:tblStyle w:val="25"/>
        <w:tblW w:w="984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1090"/>
        <w:gridCol w:w="1936"/>
        <w:gridCol w:w="1935"/>
        <w:gridCol w:w="1935"/>
        <w:gridCol w:w="193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9"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5" w:type="dxa"/>
            <w:gridSpan w:val="4"/>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抽滤时间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9"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936"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 min</w:t>
            </w:r>
          </w:p>
        </w:tc>
        <w:tc>
          <w:tcPr>
            <w:tcW w:w="1935"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10 min</w:t>
            </w:r>
          </w:p>
        </w:tc>
        <w:tc>
          <w:tcPr>
            <w:tcW w:w="1935"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15 min</w:t>
            </w:r>
          </w:p>
        </w:tc>
        <w:tc>
          <w:tcPr>
            <w:tcW w:w="1939"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20 min</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09"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p>
            <w:pPr>
              <w:pStyle w:val="15"/>
              <w:spacing w:line="360" w:lineRule="auto"/>
              <w:ind w:left="0" w:leftChars="0" w:firstLine="0" w:firstLineChars="0"/>
              <w:jc w:val="center"/>
              <w:rPr>
                <w:color w:val="auto"/>
                <w:sz w:val="18"/>
                <w:szCs w:val="18"/>
              </w:rPr>
            </w:pPr>
            <w:r>
              <w:rPr>
                <w:color w:val="auto"/>
                <w:sz w:val="18"/>
                <w:szCs w:val="18"/>
              </w:rPr>
              <w:t>（%）</w:t>
            </w:r>
          </w:p>
        </w:tc>
        <w:tc>
          <w:tcPr>
            <w:tcW w:w="10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936"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37.49</w:t>
            </w:r>
          </w:p>
        </w:tc>
        <w:tc>
          <w:tcPr>
            <w:tcW w:w="1935"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35.72</w:t>
            </w:r>
          </w:p>
        </w:tc>
        <w:tc>
          <w:tcPr>
            <w:tcW w:w="1935"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36.53</w:t>
            </w:r>
          </w:p>
        </w:tc>
        <w:tc>
          <w:tcPr>
            <w:tcW w:w="193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09" w:type="dxa"/>
            <w:vMerge w:val="continue"/>
            <w:vAlign w:val="center"/>
          </w:tcPr>
          <w:p>
            <w:pPr>
              <w:pStyle w:val="15"/>
              <w:spacing w:line="360" w:lineRule="auto"/>
              <w:ind w:left="0" w:leftChars="0" w:firstLine="0" w:firstLineChars="0"/>
              <w:jc w:val="center"/>
              <w:rPr>
                <w:color w:val="auto"/>
                <w:sz w:val="18"/>
                <w:szCs w:val="18"/>
              </w:rPr>
            </w:pPr>
          </w:p>
        </w:tc>
        <w:tc>
          <w:tcPr>
            <w:tcW w:w="10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36.42</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36.28</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35.14</w:t>
            </w:r>
          </w:p>
        </w:tc>
        <w:tc>
          <w:tcPr>
            <w:tcW w:w="193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33.52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09" w:type="dxa"/>
            <w:vMerge w:val="continue"/>
            <w:vAlign w:val="center"/>
          </w:tcPr>
          <w:p>
            <w:pPr>
              <w:pStyle w:val="15"/>
              <w:spacing w:line="360" w:lineRule="auto"/>
              <w:ind w:left="0" w:leftChars="0" w:firstLine="0" w:firstLineChars="0"/>
              <w:jc w:val="center"/>
              <w:rPr>
                <w:color w:val="auto"/>
                <w:sz w:val="18"/>
                <w:szCs w:val="18"/>
              </w:rPr>
            </w:pPr>
          </w:p>
        </w:tc>
        <w:tc>
          <w:tcPr>
            <w:tcW w:w="10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39.57</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34.81</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34.58</w:t>
            </w:r>
          </w:p>
        </w:tc>
        <w:tc>
          <w:tcPr>
            <w:tcW w:w="193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09" w:type="dxa"/>
            <w:vMerge w:val="continue"/>
            <w:vAlign w:val="center"/>
          </w:tcPr>
          <w:p>
            <w:pPr>
              <w:pStyle w:val="15"/>
              <w:spacing w:line="360" w:lineRule="auto"/>
              <w:ind w:left="0" w:leftChars="0" w:firstLine="0" w:firstLineChars="0"/>
              <w:jc w:val="center"/>
              <w:rPr>
                <w:color w:val="auto"/>
                <w:sz w:val="18"/>
                <w:szCs w:val="18"/>
              </w:rPr>
            </w:pPr>
          </w:p>
        </w:tc>
        <w:tc>
          <w:tcPr>
            <w:tcW w:w="10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38.93</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34.95</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35.69</w:t>
            </w:r>
          </w:p>
        </w:tc>
        <w:tc>
          <w:tcPr>
            <w:tcW w:w="193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9"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38.10</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35.44</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35.49</w:t>
            </w:r>
          </w:p>
        </w:tc>
        <w:tc>
          <w:tcPr>
            <w:tcW w:w="193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9"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936"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3.15</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1.47</w:t>
            </w:r>
          </w:p>
        </w:tc>
        <w:tc>
          <w:tcPr>
            <w:tcW w:w="1935"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1.95</w:t>
            </w:r>
          </w:p>
        </w:tc>
        <w:tc>
          <w:tcPr>
            <w:tcW w:w="193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2.88</w:t>
            </w:r>
          </w:p>
        </w:tc>
      </w:tr>
    </w:tbl>
    <w:p>
      <w:pPr>
        <w:spacing w:line="360" w:lineRule="auto"/>
        <w:rPr>
          <w:color w:val="auto"/>
          <w:szCs w:val="21"/>
        </w:rPr>
      </w:pPr>
      <w:r>
        <w:rPr>
          <w:color w:val="auto"/>
          <w:szCs w:val="21"/>
        </w:rPr>
        <w:t>6.9.3  由表20中的实验数据可得，分析结果差值在0.29%~2.70%，因此规定两次平行测试结果的差值不大于3.0%。</w:t>
      </w:r>
    </w:p>
    <w:p>
      <w:pPr>
        <w:keepNext/>
        <w:keepLines/>
        <w:tabs>
          <w:tab w:val="left" w:pos="397"/>
        </w:tabs>
        <w:spacing w:beforeLines="50" w:afterLines="50" w:line="360" w:lineRule="auto"/>
        <w:jc w:val="center"/>
        <w:rPr>
          <w:color w:val="auto"/>
          <w:sz w:val="18"/>
          <w:szCs w:val="18"/>
        </w:rPr>
      </w:pPr>
      <w:r>
        <w:rPr>
          <w:color w:val="auto"/>
          <w:sz w:val="18"/>
          <w:szCs w:val="18"/>
        </w:rPr>
        <w:t>表20  碳基材料试样</w:t>
      </w:r>
      <w:r>
        <w:rPr>
          <w:rFonts w:hint="eastAsia"/>
          <w:color w:val="auto"/>
          <w:sz w:val="18"/>
          <w:szCs w:val="18"/>
        </w:rPr>
        <w:t>水容量</w:t>
      </w:r>
      <w:r>
        <w:rPr>
          <w:color w:val="auto"/>
          <w:sz w:val="18"/>
          <w:szCs w:val="18"/>
        </w:rPr>
        <w:t>精密度测试情况</w:t>
      </w:r>
    </w:p>
    <w:tbl>
      <w:tblPr>
        <w:tblStyle w:val="25"/>
        <w:tblW w:w="984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28"/>
        <w:gridCol w:w="1069"/>
        <w:gridCol w:w="1290"/>
        <w:gridCol w:w="1290"/>
        <w:gridCol w:w="1290"/>
        <w:gridCol w:w="1290"/>
        <w:gridCol w:w="1290"/>
        <w:gridCol w:w="129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7" w:type="dxa"/>
            <w:gridSpan w:val="2"/>
            <w:vMerge w:val="restart"/>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平行样编号</w:t>
            </w:r>
          </w:p>
        </w:tc>
        <w:tc>
          <w:tcPr>
            <w:tcW w:w="7747" w:type="dxa"/>
            <w:gridSpan w:val="6"/>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7" w:type="dxa"/>
            <w:gridSpan w:val="2"/>
            <w:vMerge w:val="continue"/>
            <w:tcBorders>
              <w:bottom w:val="single" w:color="auto" w:sz="8" w:space="0"/>
            </w:tcBorders>
            <w:vAlign w:val="center"/>
          </w:tcPr>
          <w:p>
            <w:pPr>
              <w:pStyle w:val="15"/>
              <w:spacing w:line="360" w:lineRule="auto"/>
              <w:ind w:left="0" w:leftChars="0" w:firstLine="0" w:firstLineChars="0"/>
              <w:jc w:val="center"/>
              <w:rPr>
                <w:color w:val="auto"/>
                <w:sz w:val="18"/>
                <w:szCs w:val="18"/>
              </w:rPr>
            </w:pP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A</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B</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C</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D</w:t>
            </w:r>
          </w:p>
        </w:tc>
        <w:tc>
          <w:tcPr>
            <w:tcW w:w="1290"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E</w:t>
            </w:r>
          </w:p>
        </w:tc>
        <w:tc>
          <w:tcPr>
            <w:tcW w:w="1297" w:type="dxa"/>
            <w:tcBorders>
              <w:bottom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F</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28" w:type="dxa"/>
            <w:vMerge w:val="restart"/>
            <w:tcBorders>
              <w:top w:val="single" w:color="auto" w:sz="8" w:space="0"/>
            </w:tcBorders>
            <w:shd w:val="clear" w:color="auto" w:fill="auto"/>
            <w:vAlign w:val="center"/>
          </w:tcPr>
          <w:p>
            <w:pPr>
              <w:pStyle w:val="15"/>
              <w:spacing w:line="360" w:lineRule="auto"/>
              <w:ind w:left="0" w:leftChars="0" w:firstLine="0" w:firstLineChars="0"/>
              <w:jc w:val="center"/>
              <w:rPr>
                <w:color w:val="auto"/>
                <w:sz w:val="18"/>
                <w:szCs w:val="18"/>
              </w:rPr>
            </w:pPr>
            <w:r>
              <w:rPr>
                <w:color w:val="auto"/>
                <w:sz w:val="18"/>
                <w:szCs w:val="18"/>
              </w:rPr>
              <w:t>测试结果（%）</w:t>
            </w:r>
          </w:p>
        </w:tc>
        <w:tc>
          <w:tcPr>
            <w:tcW w:w="1069"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35.72</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46.91</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38.66</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37.34</w:t>
            </w:r>
          </w:p>
        </w:tc>
        <w:tc>
          <w:tcPr>
            <w:tcW w:w="1290"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49.35</w:t>
            </w:r>
          </w:p>
        </w:tc>
        <w:tc>
          <w:tcPr>
            <w:tcW w:w="1297" w:type="dxa"/>
            <w:tcBorders>
              <w:top w:val="single" w:color="auto" w:sz="8" w:space="0"/>
            </w:tcBorders>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39.85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28" w:type="dxa"/>
            <w:vMerge w:val="continue"/>
            <w:vAlign w:val="center"/>
          </w:tcPr>
          <w:p>
            <w:pPr>
              <w:pStyle w:val="15"/>
              <w:spacing w:line="360" w:lineRule="auto"/>
              <w:ind w:left="0" w:leftChars="0" w:firstLine="0" w:firstLineChars="0"/>
              <w:jc w:val="center"/>
              <w:rPr>
                <w:color w:val="auto"/>
                <w:sz w:val="18"/>
                <w:szCs w:val="18"/>
              </w:rPr>
            </w:pPr>
          </w:p>
        </w:tc>
        <w:tc>
          <w:tcPr>
            <w:tcW w:w="10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36.28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46.95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39.38</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35.51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50.32</w:t>
            </w:r>
          </w:p>
        </w:tc>
        <w:tc>
          <w:tcPr>
            <w:tcW w:w="129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40.76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28" w:type="dxa"/>
            <w:vMerge w:val="continue"/>
            <w:vAlign w:val="center"/>
          </w:tcPr>
          <w:p>
            <w:pPr>
              <w:pStyle w:val="15"/>
              <w:spacing w:line="360" w:lineRule="auto"/>
              <w:ind w:left="0" w:leftChars="0" w:firstLine="0" w:firstLineChars="0"/>
              <w:jc w:val="center"/>
              <w:rPr>
                <w:color w:val="auto"/>
                <w:sz w:val="18"/>
                <w:szCs w:val="18"/>
              </w:rPr>
            </w:pPr>
          </w:p>
        </w:tc>
        <w:tc>
          <w:tcPr>
            <w:tcW w:w="10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34.81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47.00</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40.02</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37.85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51.61</w:t>
            </w:r>
          </w:p>
        </w:tc>
        <w:tc>
          <w:tcPr>
            <w:tcW w:w="129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39.08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028" w:type="dxa"/>
            <w:vMerge w:val="continue"/>
            <w:vAlign w:val="center"/>
          </w:tcPr>
          <w:p>
            <w:pPr>
              <w:pStyle w:val="15"/>
              <w:spacing w:line="360" w:lineRule="auto"/>
              <w:ind w:left="0" w:leftChars="0" w:firstLine="0" w:firstLineChars="0"/>
              <w:jc w:val="center"/>
              <w:rPr>
                <w:color w:val="auto"/>
                <w:sz w:val="18"/>
                <w:szCs w:val="18"/>
              </w:rPr>
            </w:pPr>
          </w:p>
        </w:tc>
        <w:tc>
          <w:tcPr>
            <w:tcW w:w="1069"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34.95</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46.71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40.33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37.81</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50.99</w:t>
            </w:r>
          </w:p>
        </w:tc>
        <w:tc>
          <w:tcPr>
            <w:tcW w:w="129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41.78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7"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平均值</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35.44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46.89</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39.60</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37.13</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50.57</w:t>
            </w:r>
          </w:p>
        </w:tc>
        <w:tc>
          <w:tcPr>
            <w:tcW w:w="129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40.37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097" w:type="dxa"/>
            <w:gridSpan w:val="2"/>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极差</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1.47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0.29</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1.67</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2.34</w:t>
            </w:r>
          </w:p>
        </w:tc>
        <w:tc>
          <w:tcPr>
            <w:tcW w:w="1290"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2.26</w:t>
            </w:r>
          </w:p>
        </w:tc>
        <w:tc>
          <w:tcPr>
            <w:tcW w:w="1297" w:type="dxa"/>
            <w:shd w:val="clear" w:color="auto" w:fill="auto"/>
            <w:noWrap/>
            <w:vAlign w:val="center"/>
          </w:tcPr>
          <w:p>
            <w:pPr>
              <w:pStyle w:val="15"/>
              <w:spacing w:line="360" w:lineRule="auto"/>
              <w:ind w:left="0" w:leftChars="0" w:firstLine="0" w:firstLineChars="0"/>
              <w:jc w:val="center"/>
              <w:rPr>
                <w:color w:val="auto"/>
                <w:sz w:val="18"/>
                <w:szCs w:val="18"/>
              </w:rPr>
            </w:pPr>
            <w:r>
              <w:rPr>
                <w:color w:val="auto"/>
                <w:sz w:val="18"/>
                <w:szCs w:val="18"/>
              </w:rPr>
              <w:t>2.70</w:t>
            </w:r>
          </w:p>
        </w:tc>
      </w:tr>
    </w:tbl>
    <w:p>
      <w:pPr>
        <w:pStyle w:val="3"/>
        <w:spacing w:beforeLines="50" w:afterLines="50" w:line="360" w:lineRule="auto"/>
        <w:jc w:val="center"/>
        <w:rPr>
          <w:rFonts w:ascii="Times New Roman" w:hAnsi="Times New Roman" w:eastAsia="宋体"/>
          <w:b w:val="0"/>
          <w:color w:val="auto"/>
          <w:sz w:val="24"/>
          <w:szCs w:val="24"/>
        </w:rPr>
      </w:pPr>
      <w:bookmarkStart w:id="214" w:name="_Toc10517"/>
      <w:bookmarkStart w:id="215" w:name="_Toc4779"/>
      <w:r>
        <w:rPr>
          <w:rFonts w:ascii="Times New Roman" w:hAnsi="Times New Roman" w:eastAsia="宋体"/>
          <w:b w:val="0"/>
          <w:color w:val="auto"/>
          <w:sz w:val="24"/>
          <w:szCs w:val="24"/>
        </w:rPr>
        <w:t>6.10 SO</w:t>
      </w:r>
      <w:r>
        <w:rPr>
          <w:rFonts w:ascii="Times New Roman" w:hAnsi="Times New Roman" w:eastAsia="宋体"/>
          <w:b w:val="0"/>
          <w:color w:val="auto"/>
          <w:sz w:val="24"/>
          <w:szCs w:val="24"/>
          <w:vertAlign w:val="subscript"/>
        </w:rPr>
        <w:t>2</w:t>
      </w:r>
      <w:r>
        <w:rPr>
          <w:rFonts w:ascii="Times New Roman" w:hAnsi="Times New Roman" w:eastAsia="宋体"/>
          <w:b w:val="0"/>
          <w:color w:val="auto"/>
          <w:sz w:val="24"/>
          <w:szCs w:val="24"/>
        </w:rPr>
        <w:t>吸附值</w:t>
      </w:r>
      <w:bookmarkEnd w:id="214"/>
      <w:bookmarkEnd w:id="215"/>
    </w:p>
    <w:p>
      <w:pPr>
        <w:numPr>
          <w:ilvl w:val="0"/>
          <w:numId w:val="45"/>
        </w:numPr>
        <w:spacing w:line="360" w:lineRule="auto"/>
        <w:rPr>
          <w:color w:val="auto"/>
          <w:szCs w:val="21"/>
        </w:rPr>
      </w:pPr>
      <w:r>
        <w:rPr>
          <w:color w:val="auto"/>
          <w:szCs w:val="21"/>
        </w:rPr>
        <w:t>根据碳基材料干法脱硫过程中涉及到的气速、吸附层厚度、接触时间等因素综合考虑，确定测试用总气量为26 L/ min（标况）。 典型钢铁烧结烟气物质组成中，湿含量约为8%~13%，氧含量约为14%~18%，二氧化硫浓度约为115ppm~3820ppm，为达到快速测试的目的，同时参照烧结烟气实际组成，模拟烟气中湿度确定为10%，氧含量确定为16%，二氧化硫浓度确定为1020ppm。</w:t>
      </w:r>
    </w:p>
    <w:p>
      <w:pPr>
        <w:numPr>
          <w:ilvl w:val="0"/>
          <w:numId w:val="45"/>
        </w:numPr>
        <w:spacing w:line="360" w:lineRule="auto"/>
        <w:rPr>
          <w:color w:val="auto"/>
          <w:szCs w:val="21"/>
        </w:rPr>
      </w:pPr>
      <w:r>
        <w:rPr>
          <w:color w:val="auto"/>
          <w:szCs w:val="21"/>
        </w:rPr>
        <w:t>参照碳基材料实际工程应用床层温度，确定SO</w:t>
      </w:r>
      <w:r>
        <w:rPr>
          <w:color w:val="auto"/>
          <w:szCs w:val="21"/>
          <w:vertAlign w:val="subscript"/>
        </w:rPr>
        <w:t>2</w:t>
      </w:r>
      <w:r>
        <w:rPr>
          <w:color w:val="auto"/>
          <w:szCs w:val="21"/>
        </w:rPr>
        <w:t>吸附值测试温度为120℃。</w:t>
      </w:r>
    </w:p>
    <w:p>
      <w:pPr>
        <w:numPr>
          <w:ilvl w:val="0"/>
          <w:numId w:val="45"/>
        </w:numPr>
        <w:spacing w:line="360" w:lineRule="auto"/>
        <w:rPr>
          <w:color w:val="auto"/>
          <w:szCs w:val="21"/>
        </w:rPr>
      </w:pPr>
      <w:r>
        <w:rPr>
          <w:color w:val="auto"/>
          <w:szCs w:val="21"/>
        </w:rPr>
        <w:t>SO</w:t>
      </w:r>
      <w:r>
        <w:rPr>
          <w:color w:val="auto"/>
          <w:szCs w:val="21"/>
          <w:vertAlign w:val="subscript"/>
        </w:rPr>
        <w:t>2</w:t>
      </w:r>
      <w:r>
        <w:rPr>
          <w:color w:val="auto"/>
          <w:szCs w:val="21"/>
        </w:rPr>
        <w:t>吸附值测试分为试验准备阶段、试验阶段及试验结束阶段：</w:t>
      </w:r>
    </w:p>
    <w:p>
      <w:pPr>
        <w:numPr>
          <w:ilvl w:val="0"/>
          <w:numId w:val="0"/>
        </w:numPr>
        <w:spacing w:line="360" w:lineRule="auto"/>
        <w:ind w:leftChars="200"/>
        <w:rPr>
          <w:color w:val="auto"/>
          <w:szCs w:val="21"/>
        </w:rPr>
      </w:pPr>
      <w:r>
        <w:rPr>
          <w:rFonts w:hint="eastAsia"/>
          <w:color w:val="auto"/>
          <w:szCs w:val="21"/>
          <w:lang w:val="en-US" w:eastAsia="zh-CN"/>
        </w:rPr>
        <w:t>1</w:t>
      </w:r>
      <w:r>
        <w:rPr>
          <w:rFonts w:hint="eastAsia"/>
          <w:color w:val="auto"/>
          <w:szCs w:val="21"/>
          <w:lang w:eastAsia="zh-CN"/>
        </w:rPr>
        <w:t>）</w:t>
      </w:r>
      <w:r>
        <w:rPr>
          <w:color w:val="auto"/>
          <w:szCs w:val="21"/>
        </w:rPr>
        <w:t>碳基材料样品测试前筛除细分防止粉末进入评价装置及分析仪管路损坏设备；</w:t>
      </w:r>
    </w:p>
    <w:p>
      <w:pPr>
        <w:numPr>
          <w:ilvl w:val="0"/>
          <w:numId w:val="0"/>
        </w:numPr>
        <w:spacing w:line="360" w:lineRule="auto"/>
        <w:ind w:leftChars="200"/>
        <w:rPr>
          <w:color w:val="auto"/>
          <w:szCs w:val="21"/>
        </w:rPr>
      </w:pPr>
      <w:r>
        <w:rPr>
          <w:rFonts w:hint="eastAsia"/>
          <w:color w:val="auto"/>
          <w:szCs w:val="21"/>
          <w:lang w:val="en-US" w:eastAsia="zh-CN"/>
        </w:rPr>
        <w:t>2）</w:t>
      </w:r>
      <w:r>
        <w:rPr>
          <w:color w:val="auto"/>
          <w:szCs w:val="21"/>
        </w:rPr>
        <w:t>试验开始前依次完成样品装填、确认气源余量、压力、纯度等是否满足使用需求，确认系统气密</w:t>
      </w:r>
    </w:p>
    <w:p>
      <w:pPr>
        <w:numPr>
          <w:ilvl w:val="0"/>
          <w:numId w:val="0"/>
        </w:numPr>
        <w:spacing w:line="360" w:lineRule="auto"/>
        <w:rPr>
          <w:color w:val="auto"/>
          <w:szCs w:val="21"/>
        </w:rPr>
      </w:pPr>
      <w:r>
        <w:rPr>
          <w:color w:val="auto"/>
          <w:szCs w:val="21"/>
        </w:rPr>
        <w:t>性是否满足使用需求，系统预热，分析仪标零等；</w:t>
      </w:r>
    </w:p>
    <w:p>
      <w:pPr>
        <w:numPr>
          <w:ilvl w:val="0"/>
          <w:numId w:val="0"/>
        </w:numPr>
        <w:spacing w:line="360" w:lineRule="auto"/>
        <w:ind w:leftChars="200"/>
        <w:rPr>
          <w:color w:val="auto"/>
          <w:szCs w:val="21"/>
        </w:rPr>
      </w:pPr>
      <w:r>
        <w:rPr>
          <w:rFonts w:hint="eastAsia"/>
          <w:color w:val="auto"/>
          <w:szCs w:val="21"/>
          <w:lang w:val="en-US" w:eastAsia="zh-CN"/>
        </w:rPr>
        <w:t>3）</w:t>
      </w:r>
      <w:r>
        <w:rPr>
          <w:color w:val="auto"/>
          <w:szCs w:val="21"/>
        </w:rPr>
        <w:t>试验过程分为模拟脱硫烟气配制、脱硫反应两步；</w:t>
      </w:r>
    </w:p>
    <w:p>
      <w:pPr>
        <w:numPr>
          <w:ilvl w:val="0"/>
          <w:numId w:val="0"/>
        </w:numPr>
        <w:spacing w:line="360" w:lineRule="auto"/>
        <w:ind w:leftChars="200"/>
        <w:rPr>
          <w:color w:val="auto"/>
          <w:szCs w:val="21"/>
        </w:rPr>
      </w:pPr>
      <w:r>
        <w:rPr>
          <w:rFonts w:hint="eastAsia"/>
          <w:color w:val="auto"/>
          <w:szCs w:val="21"/>
          <w:lang w:val="en-US" w:eastAsia="zh-CN"/>
        </w:rPr>
        <w:t>4）</w:t>
      </w:r>
      <w:r>
        <w:rPr>
          <w:color w:val="auto"/>
          <w:szCs w:val="21"/>
        </w:rPr>
        <w:t>试验结束阶段，包括设备吹扫、关闭水电气等。</w:t>
      </w:r>
    </w:p>
    <w:p>
      <w:pPr>
        <w:numPr>
          <w:ilvl w:val="0"/>
          <w:numId w:val="0"/>
        </w:numPr>
        <w:spacing w:line="360" w:lineRule="auto"/>
        <w:ind w:leftChars="0"/>
        <w:rPr>
          <w:color w:val="auto"/>
          <w:szCs w:val="21"/>
        </w:rPr>
      </w:pPr>
      <w:r>
        <w:rPr>
          <w:rFonts w:hint="eastAsia"/>
          <w:color w:val="auto"/>
          <w:szCs w:val="21"/>
          <w:lang w:val="en-US" w:eastAsia="zh-CN"/>
        </w:rPr>
        <w:t xml:space="preserve">    </w:t>
      </w:r>
      <w:r>
        <w:rPr>
          <w:color w:val="auto"/>
          <w:szCs w:val="21"/>
        </w:rPr>
        <w:t>根据实际工程投运经验，</w:t>
      </w:r>
      <w:r>
        <w:rPr>
          <w:color w:val="auto"/>
        </w:rPr>
        <w:t>烟气净化碳基材料</w:t>
      </w:r>
      <w:r>
        <w:rPr>
          <w:color w:val="auto"/>
          <w:szCs w:val="21"/>
        </w:rPr>
        <w:t>二氧化硫</w:t>
      </w:r>
      <w:r>
        <w:rPr>
          <w:color w:val="auto"/>
        </w:rPr>
        <w:t>的吸附速率</w:t>
      </w:r>
      <w:r>
        <w:rPr>
          <w:color w:val="auto"/>
          <w:szCs w:val="21"/>
        </w:rPr>
        <w:t>是判定烟气中二氧化硫脱除效果的好坏的重要指标，在本测试条件下，经反复验证确定脱硫反应时间为5h可满足测试目的。</w:t>
      </w:r>
    </w:p>
    <w:p>
      <w:pPr>
        <w:numPr>
          <w:ilvl w:val="0"/>
          <w:numId w:val="45"/>
        </w:numPr>
        <w:spacing w:line="360" w:lineRule="auto"/>
        <w:rPr>
          <w:color w:val="auto"/>
          <w:szCs w:val="21"/>
        </w:rPr>
      </w:pPr>
      <w:r>
        <w:rPr>
          <w:color w:val="auto"/>
          <w:szCs w:val="21"/>
        </w:rPr>
        <w:t>本标准规定以单位质量碳基材料5 h测试过程二氧化硫</w:t>
      </w:r>
      <w:r>
        <w:rPr>
          <w:rFonts w:hint="eastAsia"/>
          <w:color w:val="auto"/>
          <w:szCs w:val="21"/>
        </w:rPr>
        <w:t>吸附值</w:t>
      </w:r>
      <w:r>
        <w:rPr>
          <w:color w:val="auto"/>
          <w:szCs w:val="21"/>
        </w:rPr>
        <w:t>作为产品SO</w:t>
      </w:r>
      <w:r>
        <w:rPr>
          <w:color w:val="auto"/>
          <w:szCs w:val="21"/>
          <w:vertAlign w:val="subscript"/>
        </w:rPr>
        <w:t>2</w:t>
      </w:r>
      <w:r>
        <w:rPr>
          <w:color w:val="auto"/>
          <w:szCs w:val="21"/>
        </w:rPr>
        <w:t>吸附值。为保证测试精度，同时兼顾设备成本，每分钟采集一次净烟气数据作为SO</w:t>
      </w:r>
      <w:r>
        <w:rPr>
          <w:color w:val="auto"/>
          <w:szCs w:val="21"/>
          <w:vertAlign w:val="subscript"/>
        </w:rPr>
        <w:t>2</w:t>
      </w:r>
      <w:r>
        <w:rPr>
          <w:color w:val="auto"/>
          <w:szCs w:val="21"/>
        </w:rPr>
        <w:t>吸附值，再联立原烟气数据，可以得到单位质量碳基材料每分钟内吸附二氧化硫的量。换言之，本标准规定的SO</w:t>
      </w:r>
      <w:r>
        <w:rPr>
          <w:color w:val="auto"/>
          <w:szCs w:val="21"/>
          <w:vertAlign w:val="subscript"/>
        </w:rPr>
        <w:t>2</w:t>
      </w:r>
      <w:r>
        <w:rPr>
          <w:color w:val="auto"/>
          <w:szCs w:val="21"/>
        </w:rPr>
        <w:t>吸附值是指单位质量碳基材料5 h内每分钟吸附二氧化硫量的累积值。</w:t>
      </w:r>
    </w:p>
    <w:p>
      <w:pPr>
        <w:numPr>
          <w:ilvl w:val="0"/>
          <w:numId w:val="45"/>
        </w:numPr>
        <w:tabs>
          <w:tab w:val="left" w:pos="0"/>
        </w:tabs>
        <w:spacing w:line="360" w:lineRule="auto"/>
        <w:rPr>
          <w:color w:val="auto"/>
          <w:szCs w:val="21"/>
        </w:rPr>
      </w:pPr>
      <w:r>
        <w:rPr>
          <w:color w:val="auto"/>
          <w:szCs w:val="21"/>
        </w:rPr>
        <w:t>为消除偶然误差，SO</w:t>
      </w:r>
      <w:r>
        <w:rPr>
          <w:color w:val="auto"/>
          <w:szCs w:val="21"/>
          <w:vertAlign w:val="subscript"/>
        </w:rPr>
        <w:t>2</w:t>
      </w:r>
      <w:r>
        <w:rPr>
          <w:color w:val="auto"/>
          <w:szCs w:val="21"/>
        </w:rPr>
        <w:t>吸附值结果以两次测试</w:t>
      </w:r>
      <w:r>
        <w:rPr>
          <w:rFonts w:hint="eastAsia"/>
          <w:color w:val="auto"/>
          <w:szCs w:val="21"/>
          <w:lang w:eastAsia="zh-CN"/>
        </w:rPr>
        <w:t>算术平均值</w:t>
      </w:r>
      <w:r>
        <w:rPr>
          <w:color w:val="auto"/>
          <w:szCs w:val="21"/>
        </w:rPr>
        <w:t>表示。考虑到测试环境、测试人员、设备状态的差异，测试结果相对偏差</w:t>
      </w:r>
      <w:r>
        <w:rPr>
          <w:rFonts w:hint="eastAsia"/>
          <w:color w:val="auto"/>
          <w:szCs w:val="21"/>
        </w:rPr>
        <w:t>不能大于</w:t>
      </w:r>
      <w:r>
        <w:rPr>
          <w:color w:val="auto"/>
          <w:szCs w:val="21"/>
        </w:rPr>
        <w:t>5 %，否则，重新进行测试。</w:t>
      </w:r>
    </w:p>
    <w:p>
      <w:pPr>
        <w:pStyle w:val="3"/>
        <w:spacing w:beforeLines="50" w:afterLines="50" w:line="360" w:lineRule="auto"/>
        <w:jc w:val="center"/>
        <w:rPr>
          <w:rFonts w:ascii="Times New Roman" w:hAnsi="Times New Roman" w:eastAsia="宋体"/>
          <w:b w:val="0"/>
          <w:color w:val="auto"/>
          <w:sz w:val="24"/>
          <w:szCs w:val="24"/>
        </w:rPr>
      </w:pPr>
      <w:bookmarkStart w:id="216" w:name="_Toc894"/>
      <w:bookmarkStart w:id="217" w:name="_Toc10949"/>
      <w:r>
        <w:rPr>
          <w:rFonts w:ascii="Times New Roman" w:hAnsi="Times New Roman" w:eastAsia="宋体"/>
          <w:b w:val="0"/>
          <w:color w:val="auto"/>
          <w:sz w:val="24"/>
          <w:szCs w:val="24"/>
        </w:rPr>
        <w:t>6.11 SO</w:t>
      </w:r>
      <w:r>
        <w:rPr>
          <w:rFonts w:ascii="Times New Roman" w:hAnsi="Times New Roman" w:eastAsia="宋体"/>
          <w:b w:val="0"/>
          <w:color w:val="auto"/>
          <w:sz w:val="24"/>
          <w:szCs w:val="24"/>
          <w:vertAlign w:val="subscript"/>
        </w:rPr>
        <w:t>2</w:t>
      </w:r>
      <w:r>
        <w:rPr>
          <w:rFonts w:ascii="Times New Roman" w:hAnsi="Times New Roman" w:eastAsia="宋体"/>
          <w:b w:val="0"/>
          <w:color w:val="auto"/>
          <w:sz w:val="24"/>
          <w:szCs w:val="24"/>
        </w:rPr>
        <w:t>循环吸附值</w:t>
      </w:r>
      <w:bookmarkEnd w:id="216"/>
      <w:bookmarkEnd w:id="217"/>
    </w:p>
    <w:p>
      <w:pPr>
        <w:spacing w:line="360" w:lineRule="auto"/>
        <w:rPr>
          <w:color w:val="auto"/>
          <w:szCs w:val="21"/>
        </w:rPr>
      </w:pPr>
      <w:r>
        <w:rPr>
          <w:color w:val="auto"/>
          <w:szCs w:val="21"/>
        </w:rPr>
        <w:t>6.11.3  脱硫循环测试时，碳基材料在一次吸附完成后，需进行热解析，为保证热解析过程材料不被热氧化损失，采用5.0 L/ min高纯氮，既保证解析的惰性环境，又保证解析释放的二氧化硫及时排出系统。根据工程应用实际情况，解析温度设定为430 ℃，且该测试中样品量增加，解析时间设定为2 h，尽可能模拟了碳基材料脱硫和解析过程，较真实反映了碳基材料循环脱硫使用性能。</w:t>
      </w:r>
    </w:p>
    <w:p>
      <w:pPr>
        <w:spacing w:line="360" w:lineRule="auto"/>
        <w:rPr>
          <w:color w:val="auto"/>
          <w:szCs w:val="21"/>
        </w:rPr>
      </w:pPr>
      <w:r>
        <w:rPr>
          <w:color w:val="auto"/>
          <w:szCs w:val="21"/>
        </w:rPr>
        <w:t>6.11.5  SO</w:t>
      </w:r>
      <w:r>
        <w:rPr>
          <w:color w:val="auto"/>
          <w:szCs w:val="21"/>
          <w:vertAlign w:val="subscript"/>
        </w:rPr>
        <w:t>2</w:t>
      </w:r>
      <w:r>
        <w:rPr>
          <w:color w:val="auto"/>
          <w:szCs w:val="21"/>
        </w:rPr>
        <w:t>循环吸附值是指碳基材料循环</w:t>
      </w:r>
      <w:r>
        <w:rPr>
          <w:rFonts w:hint="eastAsia"/>
          <w:color w:val="auto"/>
          <w:szCs w:val="21"/>
        </w:rPr>
        <w:t>10</w:t>
      </w:r>
      <w:r>
        <w:rPr>
          <w:color w:val="auto"/>
          <w:szCs w:val="21"/>
        </w:rPr>
        <w:t>次吸附二氧化硫的能力，以</w:t>
      </w:r>
      <w:r>
        <w:rPr>
          <w:rFonts w:hint="eastAsia"/>
          <w:color w:val="auto"/>
          <w:szCs w:val="21"/>
        </w:rPr>
        <w:t>10</w:t>
      </w:r>
      <w:r>
        <w:rPr>
          <w:color w:val="auto"/>
          <w:szCs w:val="21"/>
        </w:rPr>
        <w:t>次二氧化硫</w:t>
      </w:r>
      <w:r>
        <w:rPr>
          <w:rFonts w:hint="eastAsia"/>
          <w:color w:val="auto"/>
          <w:szCs w:val="21"/>
        </w:rPr>
        <w:t>吸附值</w:t>
      </w:r>
      <w:r>
        <w:rPr>
          <w:color w:val="auto"/>
          <w:szCs w:val="21"/>
        </w:rPr>
        <w:t>依次排列的一组数据表示。</w:t>
      </w:r>
    </w:p>
    <w:p>
      <w:pPr>
        <w:spacing w:line="360" w:lineRule="auto"/>
        <w:rPr>
          <w:color w:val="auto"/>
          <w:szCs w:val="21"/>
        </w:rPr>
      </w:pPr>
      <w:r>
        <w:rPr>
          <w:color w:val="auto"/>
          <w:szCs w:val="21"/>
        </w:rPr>
        <w:t>6.11.6  为消除偶然误差，SO</w:t>
      </w:r>
      <w:r>
        <w:rPr>
          <w:color w:val="auto"/>
          <w:szCs w:val="21"/>
          <w:vertAlign w:val="subscript"/>
        </w:rPr>
        <w:t>2</w:t>
      </w:r>
      <w:r>
        <w:rPr>
          <w:color w:val="auto"/>
          <w:szCs w:val="21"/>
        </w:rPr>
        <w:t>循环吸附值结果以两次测试</w:t>
      </w:r>
      <w:r>
        <w:rPr>
          <w:rFonts w:hint="eastAsia"/>
          <w:color w:val="auto"/>
          <w:szCs w:val="21"/>
          <w:lang w:eastAsia="zh-CN"/>
        </w:rPr>
        <w:t>算术平均值</w:t>
      </w:r>
      <w:r>
        <w:rPr>
          <w:color w:val="auto"/>
          <w:szCs w:val="21"/>
        </w:rPr>
        <w:t>表示。考虑到测试环境、测试人员、设备状态的差异，测试结果相对偏差</w:t>
      </w:r>
      <w:r>
        <w:rPr>
          <w:rFonts w:hint="eastAsia"/>
          <w:color w:val="auto"/>
          <w:szCs w:val="21"/>
        </w:rPr>
        <w:t>不应大于</w:t>
      </w:r>
      <w:r>
        <w:rPr>
          <w:color w:val="auto"/>
          <w:szCs w:val="21"/>
        </w:rPr>
        <w:t>5 %，否则，重新进行测试。</w:t>
      </w:r>
    </w:p>
    <w:p>
      <w:pPr>
        <w:spacing w:line="360" w:lineRule="auto"/>
        <w:rPr>
          <w:color w:val="auto"/>
          <w:szCs w:val="21"/>
          <w:highlight w:val="yellow"/>
        </w:rPr>
      </w:pPr>
    </w:p>
    <w:p>
      <w:pPr>
        <w:pStyle w:val="3"/>
        <w:spacing w:beforeLines="50" w:afterLines="50" w:line="360" w:lineRule="auto"/>
        <w:jc w:val="center"/>
        <w:rPr>
          <w:rFonts w:ascii="Times New Roman" w:hAnsi="Times New Roman" w:eastAsia="宋体"/>
          <w:b w:val="0"/>
          <w:color w:val="auto"/>
          <w:sz w:val="24"/>
          <w:szCs w:val="24"/>
        </w:rPr>
      </w:pPr>
      <w:bookmarkStart w:id="218" w:name="_Toc1375"/>
      <w:bookmarkStart w:id="219" w:name="_Toc30351"/>
      <w:r>
        <w:rPr>
          <w:rFonts w:ascii="Times New Roman" w:hAnsi="Times New Roman" w:eastAsia="宋体"/>
          <w:b w:val="0"/>
          <w:color w:val="auto"/>
          <w:sz w:val="24"/>
          <w:szCs w:val="24"/>
        </w:rPr>
        <w:t>6.12 脱硝率</w:t>
      </w:r>
      <w:bookmarkEnd w:id="218"/>
      <w:bookmarkEnd w:id="219"/>
    </w:p>
    <w:p>
      <w:pPr>
        <w:numPr>
          <w:ilvl w:val="0"/>
          <w:numId w:val="46"/>
        </w:numPr>
        <w:spacing w:line="360" w:lineRule="auto"/>
        <w:rPr>
          <w:color w:val="auto"/>
          <w:szCs w:val="21"/>
        </w:rPr>
      </w:pPr>
      <w:r>
        <w:rPr>
          <w:color w:val="auto"/>
          <w:szCs w:val="21"/>
        </w:rPr>
        <w:t>根据碳基材料脱硝过程中涉及到的气速、吸附层厚度、接触时间等因素综合考虑，确定测试用总气量为4.42 L/ min（标况）。典型钢铁烧结烟气物质组成中，湿含量约为8%~13%，氧含量约为14%~18%，为达到快速测试的目的，同时参照烧结烟气实际组成，模拟烟气中湿度确定为10%，氧含量确定为16%；一氧化氮浓度确定为400ppm，氨氮摩尔比1:1，即氨浓度也为400ppm；由模拟烟气总体积和试样体积，确定空速为265h</w:t>
      </w:r>
      <w:r>
        <w:rPr>
          <w:color w:val="auto"/>
          <w:szCs w:val="21"/>
          <w:vertAlign w:val="superscript"/>
        </w:rPr>
        <w:t>-1</w:t>
      </w:r>
      <w:r>
        <w:rPr>
          <w:color w:val="auto"/>
          <w:szCs w:val="21"/>
        </w:rPr>
        <w:t>。</w:t>
      </w:r>
    </w:p>
    <w:p>
      <w:pPr>
        <w:numPr>
          <w:ilvl w:val="0"/>
          <w:numId w:val="46"/>
        </w:numPr>
        <w:spacing w:line="360" w:lineRule="auto"/>
        <w:rPr>
          <w:color w:val="auto"/>
          <w:szCs w:val="21"/>
        </w:rPr>
      </w:pPr>
      <w:r>
        <w:rPr>
          <w:color w:val="auto"/>
          <w:szCs w:val="21"/>
        </w:rPr>
        <w:t>参照碳基材料实际工程应用床层温度，确定脱硝率测试温度为120℃。</w:t>
      </w:r>
    </w:p>
    <w:p>
      <w:pPr>
        <w:numPr>
          <w:ilvl w:val="0"/>
          <w:numId w:val="46"/>
        </w:numPr>
        <w:spacing w:line="360" w:lineRule="auto"/>
        <w:rPr>
          <w:color w:val="auto"/>
          <w:szCs w:val="21"/>
        </w:rPr>
      </w:pPr>
      <w:r>
        <w:rPr>
          <w:color w:val="auto"/>
          <w:szCs w:val="21"/>
        </w:rPr>
        <w:t>脱硝率测试分为试验准备阶段、试验阶段及试验结束阶段：</w:t>
      </w:r>
    </w:p>
    <w:p>
      <w:pPr>
        <w:numPr>
          <w:ilvl w:val="0"/>
          <w:numId w:val="0"/>
        </w:numPr>
        <w:spacing w:line="360" w:lineRule="auto"/>
        <w:ind w:leftChars="200"/>
        <w:rPr>
          <w:color w:val="auto"/>
          <w:szCs w:val="21"/>
        </w:rPr>
      </w:pPr>
      <w:r>
        <w:rPr>
          <w:rFonts w:hint="eastAsia"/>
          <w:color w:val="auto"/>
          <w:szCs w:val="21"/>
          <w:lang w:val="en-US" w:eastAsia="zh-CN"/>
        </w:rPr>
        <w:t>1）</w:t>
      </w:r>
      <w:r>
        <w:rPr>
          <w:color w:val="auto"/>
          <w:szCs w:val="21"/>
        </w:rPr>
        <w:t>碳基材料样品测试前筛除细分防止粉末进入评价装置及分析仪管路损坏设备；</w:t>
      </w:r>
    </w:p>
    <w:p>
      <w:pPr>
        <w:numPr>
          <w:ilvl w:val="0"/>
          <w:numId w:val="0"/>
        </w:numPr>
        <w:spacing w:line="360" w:lineRule="auto"/>
        <w:ind w:leftChars="200"/>
        <w:rPr>
          <w:color w:val="auto"/>
          <w:szCs w:val="21"/>
        </w:rPr>
      </w:pPr>
      <w:r>
        <w:rPr>
          <w:rFonts w:hint="eastAsia"/>
          <w:color w:val="auto"/>
          <w:szCs w:val="21"/>
          <w:lang w:val="en-US" w:eastAsia="zh-CN"/>
        </w:rPr>
        <w:t>2）</w:t>
      </w:r>
      <w:r>
        <w:rPr>
          <w:color w:val="auto"/>
          <w:szCs w:val="21"/>
        </w:rPr>
        <w:t>试验开始前依次完成样品装填、确认气源余量、压力、纯度等是否满足使用需求，确认系统气密</w:t>
      </w:r>
    </w:p>
    <w:p>
      <w:pPr>
        <w:numPr>
          <w:ilvl w:val="0"/>
          <w:numId w:val="0"/>
        </w:numPr>
        <w:spacing w:line="360" w:lineRule="auto"/>
        <w:rPr>
          <w:color w:val="auto"/>
          <w:szCs w:val="21"/>
        </w:rPr>
      </w:pPr>
      <w:r>
        <w:rPr>
          <w:color w:val="auto"/>
          <w:szCs w:val="21"/>
        </w:rPr>
        <w:t>性是否满足使用需求，系统预热，分析仪标零等；</w:t>
      </w:r>
    </w:p>
    <w:p>
      <w:pPr>
        <w:numPr>
          <w:ilvl w:val="0"/>
          <w:numId w:val="0"/>
        </w:numPr>
        <w:spacing w:line="360" w:lineRule="auto"/>
        <w:ind w:leftChars="200"/>
        <w:rPr>
          <w:color w:val="auto"/>
          <w:szCs w:val="21"/>
        </w:rPr>
      </w:pPr>
      <w:r>
        <w:rPr>
          <w:rFonts w:hint="eastAsia"/>
          <w:color w:val="auto"/>
          <w:szCs w:val="21"/>
          <w:lang w:val="en-US" w:eastAsia="zh-CN"/>
        </w:rPr>
        <w:t>3）</w:t>
      </w:r>
      <w:r>
        <w:rPr>
          <w:color w:val="auto"/>
          <w:szCs w:val="21"/>
        </w:rPr>
        <w:t>试验阶段，分为模拟脱硝烟气配制、脱硝反应两步；</w:t>
      </w:r>
    </w:p>
    <w:p>
      <w:pPr>
        <w:numPr>
          <w:ilvl w:val="0"/>
          <w:numId w:val="0"/>
        </w:numPr>
        <w:spacing w:line="360" w:lineRule="auto"/>
        <w:ind w:leftChars="200"/>
        <w:rPr>
          <w:color w:val="auto"/>
          <w:szCs w:val="21"/>
        </w:rPr>
      </w:pPr>
      <w:r>
        <w:rPr>
          <w:rFonts w:hint="eastAsia"/>
          <w:color w:val="auto"/>
          <w:szCs w:val="21"/>
          <w:lang w:val="en-US" w:eastAsia="zh-CN"/>
        </w:rPr>
        <w:t>4）</w:t>
      </w:r>
      <w:r>
        <w:rPr>
          <w:color w:val="auto"/>
          <w:szCs w:val="21"/>
        </w:rPr>
        <w:t>试验结束阶段，包括设备吹扫、关闭水电气等。</w:t>
      </w:r>
    </w:p>
    <w:p>
      <w:pPr>
        <w:numPr>
          <w:ilvl w:val="0"/>
          <w:numId w:val="0"/>
        </w:numPr>
        <w:spacing w:line="360" w:lineRule="auto"/>
        <w:ind w:leftChars="0" w:firstLine="420" w:firstLineChars="200"/>
        <w:rPr>
          <w:color w:val="auto"/>
          <w:szCs w:val="21"/>
        </w:rPr>
      </w:pPr>
      <w:r>
        <w:rPr>
          <w:color w:val="auto"/>
          <w:szCs w:val="21"/>
        </w:rPr>
        <w:t>根据实际工程投运经验，且在本测试条件下，经反复验证确定脱硝反应时间为20h可满足测试目的。</w:t>
      </w:r>
    </w:p>
    <w:p>
      <w:pPr>
        <w:numPr>
          <w:ilvl w:val="0"/>
          <w:numId w:val="46"/>
        </w:numPr>
        <w:spacing w:line="360" w:lineRule="auto"/>
        <w:rPr>
          <w:color w:val="auto"/>
          <w:szCs w:val="21"/>
        </w:rPr>
      </w:pPr>
      <w:r>
        <w:rPr>
          <w:color w:val="auto"/>
          <w:szCs w:val="21"/>
        </w:rPr>
        <w:t>随机测试的10组样品验证性数据见表21，由表可见：（1）脱硝初期脱硝率高且不稳定；（2）不同的样品，脱硝率稳定需要的时间不同，稳定时长约8~15h；（3）脱硝率20h均值与反应末期5h均值差值并不固定，差值约为1%~4%，且20h均值高不代表5h均值也高，采用20h均值计算脱硝率较真实值存在较大偏差。因此，本标准规定以20h测试过程末期5h脱硝率平均值作为产品脱硝率。</w:t>
      </w:r>
    </w:p>
    <w:p>
      <w:pPr>
        <w:keepNext/>
        <w:keepLines/>
        <w:tabs>
          <w:tab w:val="left" w:pos="397"/>
        </w:tabs>
        <w:spacing w:beforeLines="50" w:afterLines="50" w:line="360" w:lineRule="auto"/>
        <w:jc w:val="center"/>
        <w:rPr>
          <w:color w:val="auto"/>
          <w:sz w:val="18"/>
          <w:szCs w:val="18"/>
        </w:rPr>
      </w:pPr>
      <w:r>
        <w:rPr>
          <w:color w:val="auto"/>
          <w:sz w:val="18"/>
          <w:szCs w:val="18"/>
        </w:rPr>
        <w:t>表21  脱硝率验证性试验结果</w:t>
      </w:r>
    </w:p>
    <w:tbl>
      <w:tblPr>
        <w:tblStyle w:val="25"/>
        <w:tblW w:w="966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515"/>
        <w:gridCol w:w="814"/>
        <w:gridCol w:w="814"/>
        <w:gridCol w:w="814"/>
        <w:gridCol w:w="814"/>
        <w:gridCol w:w="814"/>
        <w:gridCol w:w="814"/>
        <w:gridCol w:w="814"/>
        <w:gridCol w:w="814"/>
        <w:gridCol w:w="814"/>
        <w:gridCol w:w="8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vMerge w:val="restart"/>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脱硝率求算方法</w:t>
            </w:r>
          </w:p>
        </w:tc>
        <w:tc>
          <w:tcPr>
            <w:tcW w:w="8149" w:type="dxa"/>
            <w:gridSpan w:val="10"/>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样品编号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vMerge w:val="continue"/>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1#样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2#样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3#样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8#样</w:t>
            </w:r>
          </w:p>
        </w:tc>
        <w:tc>
          <w:tcPr>
            <w:tcW w:w="814"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9#样</w:t>
            </w:r>
          </w:p>
        </w:tc>
        <w:tc>
          <w:tcPr>
            <w:tcW w:w="823" w:type="dxa"/>
            <w:tcBorders>
              <w:bottom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10#样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第1h平均值/%</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81.81</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76.21</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73.74</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72.14</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75.45</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75.87</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80.69</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74.05</w:t>
            </w:r>
          </w:p>
        </w:tc>
        <w:tc>
          <w:tcPr>
            <w:tcW w:w="814"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60.97</w:t>
            </w:r>
          </w:p>
        </w:tc>
        <w:tc>
          <w:tcPr>
            <w:tcW w:w="823" w:type="dxa"/>
            <w:tcBorders>
              <w:top w:val="single" w:color="auto" w:sz="8" w:space="0"/>
            </w:tcBorders>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73.99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第2h平均值/%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74.99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72.26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69.43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66.59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74.03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66.09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70.92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62.43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58.65</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71.17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第3h平均值/%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71.58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66.40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63.33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73.57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60.97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65.96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57.74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58.03</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第4h平均值/%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69.39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68.30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64.41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60.89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72.64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57.66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62.91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55.17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57.26</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第5h平均值/%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68.56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67.48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63.13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59.23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71.76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55.21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53.35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56.86</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第6h平均值/%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67.38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66.85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61.98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57.72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71.18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53.32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59.05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52.11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56.60</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第7h平均值/%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66.40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66.32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61.05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70.37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52.00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57.77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50.93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55.94</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67.54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第8h平均值/%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65.53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65.74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60.30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55.84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69.54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50.71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56.78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50.08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56.04</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第9h平均值/%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65.36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59.59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55.31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49.47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56.00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49.52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55.95</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66.77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第10h平均值/%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65.06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59.91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54.92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68.59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48.92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55.35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49.35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55.79</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65.95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第11h平均值/%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63.45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64.88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60.26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54.48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68.37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48.09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54.77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48.52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55.69</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第12h平均值/%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63.37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64.87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60.75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54.19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68.10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47.95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54.39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48.10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55.80</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第13h平均值/%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62.96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60.49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67.99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47.82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53.95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47.64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55.44</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第14h平均值/%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63.12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64.66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60.02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53.68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67.68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47.94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53.77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47.45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55.62</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第15h平均值/%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63.24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59.71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53.64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67.27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48.45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53.96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47.27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55.28</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64.99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第16h平均值/%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63.21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64.80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59.73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67.11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48.69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47.37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55.13</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第17h平均值/%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63.04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59.81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53.74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67.35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48.75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54.28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47.92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55.16</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第18h平均值/%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59.72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67.94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48.86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54.16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47.93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54.99</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第19h平均值/%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62.60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59.80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67.98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48.94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54.24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47.91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55.11</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64.46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第20h平均值/%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62.50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59.95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67.96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49.78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54.14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47.77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55.07</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20h平均值/%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66.22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66.56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62.01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57.09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69.69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52.77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58.39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51.63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56.27</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66.81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后15h平均值/%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63.87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65.13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60.20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54.64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68.42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49.31</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55.10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48.66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55.57</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65.56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后10h平均值/%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63.02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64.76</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60.02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53.90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67.78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48.53</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54.15</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47.79</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55.33</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jc w:val="center"/>
        </w:trPr>
        <w:tc>
          <w:tcPr>
            <w:tcW w:w="1515"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后5h平均值/%</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62.82</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64.74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59.80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53.84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67.67</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49.00</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54.14</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47.78</w:t>
            </w:r>
          </w:p>
        </w:tc>
        <w:tc>
          <w:tcPr>
            <w:tcW w:w="814"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55.09</w:t>
            </w:r>
          </w:p>
        </w:tc>
        <w:tc>
          <w:tcPr>
            <w:tcW w:w="823" w:type="dxa"/>
            <w:shd w:val="clear" w:color="auto" w:fill="auto"/>
            <w:noWrap/>
            <w:tcMar>
              <w:top w:w="15" w:type="dxa"/>
              <w:left w:w="15" w:type="dxa"/>
              <w:right w:w="15" w:type="dxa"/>
            </w:tcMar>
            <w:vAlign w:val="center"/>
          </w:tcPr>
          <w:p>
            <w:pPr>
              <w:pStyle w:val="15"/>
              <w:spacing w:line="360" w:lineRule="auto"/>
              <w:ind w:left="0" w:leftChars="0" w:firstLine="0" w:firstLineChars="0"/>
              <w:jc w:val="center"/>
              <w:rPr>
                <w:color w:val="auto"/>
                <w:sz w:val="18"/>
                <w:szCs w:val="18"/>
              </w:rPr>
            </w:pPr>
            <w:r>
              <w:rPr>
                <w:color w:val="auto"/>
                <w:sz w:val="18"/>
                <w:szCs w:val="18"/>
              </w:rPr>
              <w:t>64.54</w:t>
            </w:r>
          </w:p>
        </w:tc>
      </w:tr>
    </w:tbl>
    <w:p>
      <w:pPr>
        <w:numPr>
          <w:ilvl w:val="0"/>
          <w:numId w:val="46"/>
        </w:numPr>
        <w:spacing w:line="360" w:lineRule="auto"/>
        <w:rPr>
          <w:color w:val="auto"/>
          <w:szCs w:val="21"/>
        </w:rPr>
      </w:pPr>
      <w:r>
        <w:rPr>
          <w:rFonts w:hint="eastAsia"/>
          <w:color w:val="auto"/>
          <w:szCs w:val="21"/>
        </w:rPr>
        <w:t>为</w:t>
      </w:r>
      <w:r>
        <w:rPr>
          <w:color w:val="auto"/>
          <w:szCs w:val="21"/>
        </w:rPr>
        <w:t>消除偶然误差，脱硝率结果以两次测试</w:t>
      </w:r>
      <w:r>
        <w:rPr>
          <w:rFonts w:hint="eastAsia"/>
          <w:color w:val="auto"/>
          <w:szCs w:val="21"/>
          <w:lang w:eastAsia="zh-CN"/>
        </w:rPr>
        <w:t>算术平均值</w:t>
      </w:r>
      <w:r>
        <w:rPr>
          <w:color w:val="auto"/>
          <w:szCs w:val="21"/>
        </w:rPr>
        <w:t>表示。考虑到测试环境、测试人员、设备状态的差异，测试结果相对偏差</w:t>
      </w:r>
      <w:r>
        <w:rPr>
          <w:rFonts w:hint="eastAsia"/>
          <w:color w:val="auto"/>
          <w:szCs w:val="21"/>
        </w:rPr>
        <w:t>不能大于</w:t>
      </w:r>
      <w:r>
        <w:rPr>
          <w:color w:val="auto"/>
          <w:szCs w:val="21"/>
        </w:rPr>
        <w:t>5 %，否则，重新进行测试。</w:t>
      </w:r>
    </w:p>
    <w:p>
      <w:pPr>
        <w:pStyle w:val="3"/>
        <w:spacing w:beforeLines="50" w:afterLines="50" w:line="360" w:lineRule="auto"/>
        <w:jc w:val="center"/>
        <w:rPr>
          <w:rFonts w:ascii="Times New Roman" w:hAnsi="Times New Roman" w:eastAsia="宋体"/>
          <w:b w:val="0"/>
          <w:color w:val="auto"/>
          <w:sz w:val="24"/>
          <w:szCs w:val="24"/>
        </w:rPr>
      </w:pPr>
      <w:bookmarkStart w:id="220" w:name="_Toc25842"/>
      <w:bookmarkStart w:id="221" w:name="_Toc7680"/>
      <w:r>
        <w:rPr>
          <w:rFonts w:ascii="Times New Roman" w:hAnsi="Times New Roman" w:eastAsia="宋体"/>
          <w:b w:val="0"/>
          <w:color w:val="auto"/>
          <w:sz w:val="24"/>
          <w:szCs w:val="24"/>
        </w:rPr>
        <w:t>6.13 循环脱硫脱硝性能</w:t>
      </w:r>
      <w:bookmarkEnd w:id="220"/>
      <w:bookmarkEnd w:id="221"/>
    </w:p>
    <w:p>
      <w:pPr>
        <w:spacing w:line="360" w:lineRule="auto"/>
        <w:rPr>
          <w:color w:val="auto"/>
          <w:szCs w:val="21"/>
        </w:rPr>
      </w:pPr>
      <w:r>
        <w:rPr>
          <w:color w:val="auto"/>
          <w:szCs w:val="21"/>
        </w:rPr>
        <w:t>6.13.</w:t>
      </w:r>
      <w:r>
        <w:rPr>
          <w:rFonts w:hint="eastAsia"/>
          <w:color w:val="auto"/>
          <w:szCs w:val="21"/>
          <w:lang w:val="en-US" w:eastAsia="zh-CN"/>
        </w:rPr>
        <w:t>2</w:t>
      </w:r>
      <w:r>
        <w:rPr>
          <w:color w:val="auto"/>
          <w:szCs w:val="21"/>
        </w:rPr>
        <w:t xml:space="preserve">  循环脱硫脱硝测试中，优先满足脱硝率性能评价，同时尽可能兼顾脱硫性能的测试。由于脱硝测试中碳基材料取样量为1 L，而碳基材料堆积密度平均约为620 g/L左右，二氧化硫吸附性能测试中碳基材料取样量为260 g，配气量为26.0 L/min，因此1 L物料需配入62 L/min模拟烟气，而为了兼顾测试设备同时满足各种测试条件，达到快速、经济、简便、横向对比的测试目的，此处配气量按减半处理，即31.0 L/min</w:t>
      </w:r>
      <w:r>
        <w:rPr>
          <w:rFonts w:hint="eastAsia"/>
          <w:color w:val="auto"/>
          <w:szCs w:val="21"/>
          <w:lang w:eastAsia="zh-CN"/>
        </w:rPr>
        <w:t>。</w:t>
      </w:r>
      <w:r>
        <w:rPr>
          <w:color w:val="auto"/>
          <w:szCs w:val="21"/>
        </w:rPr>
        <w:t>脱硫循环测试时，碳基材料在一次吸附完成后，需进行热解析，为保证热解析过程材料不被热氧化损失，采用5.0 L/ min高纯氮，既保证解析的惰性环境，又保证解析释放的二氧化硫及时排出系统。</w:t>
      </w:r>
    </w:p>
    <w:p>
      <w:pPr>
        <w:spacing w:line="360" w:lineRule="auto"/>
        <w:ind w:firstLine="420" w:firstLineChars="200"/>
        <w:rPr>
          <w:color w:val="auto"/>
          <w:szCs w:val="21"/>
        </w:rPr>
      </w:pPr>
      <w:r>
        <w:rPr>
          <w:color w:val="auto"/>
          <w:szCs w:val="21"/>
        </w:rPr>
        <w:t>根据工程应用实际情况，解析温度设定为430 ℃，且该测试中样品量增加，解析时间设定为3 h，尽可能模拟了碳基材料脱硫和解析过程，较真实模拟了碳基材料循环脱硫使用性能。</w:t>
      </w:r>
    </w:p>
    <w:p>
      <w:pPr>
        <w:spacing w:line="360" w:lineRule="auto"/>
        <w:rPr>
          <w:color w:val="auto"/>
          <w:szCs w:val="21"/>
        </w:rPr>
      </w:pPr>
      <w:r>
        <w:rPr>
          <w:color w:val="auto"/>
          <w:szCs w:val="21"/>
        </w:rPr>
        <w:t>6.13.</w:t>
      </w:r>
      <w:r>
        <w:rPr>
          <w:rFonts w:hint="eastAsia"/>
          <w:color w:val="auto"/>
          <w:szCs w:val="21"/>
          <w:lang w:val="en-US" w:eastAsia="zh-CN"/>
        </w:rPr>
        <w:t>3</w:t>
      </w:r>
      <w:r>
        <w:rPr>
          <w:color w:val="auto"/>
          <w:szCs w:val="21"/>
        </w:rPr>
        <w:t xml:space="preserve">  循环脱硫脱硝性能测试过程分为模拟脱硝烟气配制、脱硝、氮气吹扫、模拟脱硫烟气配制、脱硫、解析反应六步，且完成</w:t>
      </w:r>
      <w:r>
        <w:rPr>
          <w:rFonts w:hint="eastAsia"/>
          <w:color w:val="auto"/>
          <w:szCs w:val="21"/>
        </w:rPr>
        <w:t>10</w:t>
      </w:r>
      <w:r>
        <w:rPr>
          <w:color w:val="auto"/>
          <w:szCs w:val="21"/>
        </w:rPr>
        <w:t>次循环测试。</w:t>
      </w:r>
    </w:p>
    <w:p>
      <w:pPr>
        <w:spacing w:line="360" w:lineRule="auto"/>
        <w:rPr>
          <w:color w:val="auto"/>
          <w:szCs w:val="21"/>
        </w:rPr>
      </w:pPr>
      <w:r>
        <w:rPr>
          <w:color w:val="auto"/>
          <w:szCs w:val="21"/>
        </w:rPr>
        <w:t>6.13.</w:t>
      </w:r>
      <w:r>
        <w:rPr>
          <w:rFonts w:hint="eastAsia"/>
          <w:color w:val="auto"/>
          <w:szCs w:val="21"/>
          <w:lang w:val="en-US" w:eastAsia="zh-CN"/>
        </w:rPr>
        <w:t>7</w:t>
      </w:r>
      <w:r>
        <w:rPr>
          <w:color w:val="auto"/>
          <w:szCs w:val="21"/>
        </w:rPr>
        <w:t xml:space="preserve">  为消除偶然误差，单次脱硝率、SO2吸附值分别以两份样品两次检测测试结果平均值表示。考虑到测试环境、测试人员、设备状态的差异，测试结果相对偏差</w:t>
      </w:r>
      <w:r>
        <w:rPr>
          <w:rFonts w:hint="eastAsia"/>
          <w:color w:val="auto"/>
          <w:szCs w:val="21"/>
        </w:rPr>
        <w:t>不能大于</w:t>
      </w:r>
      <w:r>
        <w:rPr>
          <w:color w:val="auto"/>
          <w:szCs w:val="21"/>
        </w:rPr>
        <w:t>5 %，否则，重新进行测试</w:t>
      </w:r>
      <w:r>
        <w:rPr>
          <w:rFonts w:hint="eastAsia"/>
          <w:color w:val="auto"/>
          <w:szCs w:val="21"/>
        </w:rPr>
        <w:t>。</w:t>
      </w:r>
    </w:p>
    <w:p>
      <w:pPr>
        <w:spacing w:line="360" w:lineRule="auto"/>
        <w:rPr>
          <w:color w:val="auto"/>
          <w:szCs w:val="21"/>
        </w:rPr>
      </w:pPr>
    </w:p>
    <w:sectPr>
      <w:footerReference r:id="rId20" w:type="default"/>
      <w:pgSz w:w="11906" w:h="16838"/>
      <w:pgMar w:top="1134" w:right="1134" w:bottom="1134" w:left="1134"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both"/>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2" o:spid="_x0000_s2055" o:spt="202" type="#_x0000_t202" style="position:absolute;left:0pt;margin-top:0pt;height:11.65pt;width:22.55pt;mso-position-horizontal:outside;mso-position-horizontal-relative:margin;mso-wrap-style:none;z-index:251667456;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AG0Gc6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4</w:t>
                </w:r>
                <w:r>
                  <w:fldChar w:fldCharType="end"/>
                </w:r>
                <w:r>
                  <w:rPr>
                    <w:rFonts w:hint="eastAsia"/>
                  </w:rPr>
                  <w:t>·</w:t>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54" o:spid="_x0000_s2054" o:spt="202" type="#_x0000_t202" style="position:absolute;left:0pt;margin-top:0pt;height:11.65pt;width:22.55pt;mso-position-horizontal:outside;mso-position-horizontal-relative:margin;mso-wrap-style:none;z-index:251675648;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D4zosg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13</w:t>
                </w:r>
                <w:r>
                  <w:fldChar w:fldCharType="end"/>
                </w:r>
                <w:r>
                  <w:rPr>
                    <w:rFonts w:hint="eastAsia"/>
                  </w:rPr>
                  <w:t>·</w:t>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53" o:spid="_x0000_s2053" o:spt="202" type="#_x0000_t202" style="position:absolute;left:0pt;margin-top:0pt;height:11.65pt;width:27.05pt;mso-position-horizontal:outside;mso-position-horizontal-relative:margin;mso-wrap-style:none;z-index:251676672;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Hr34lH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24</w:t>
                </w:r>
                <w:r>
                  <w:fldChar w:fldCharType="end"/>
                </w:r>
                <w:r>
                  <w:rPr>
                    <w:rFonts w:hint="eastAsia"/>
                  </w:rPr>
                  <w:t>·</w:t>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21" o:spid="_x0000_s2052" o:spt="202" type="#_x0000_t202" style="position:absolute;left:0pt;margin-top:0pt;height:11.65pt;width:27.05pt;mso-position-horizontal:outside;mso-position-horizontal-relative:margin;mso-wrap-style:none;z-index:25166950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A4jIWH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25</w:t>
                </w:r>
                <w:r>
                  <w:fldChar w:fldCharType="end"/>
                </w:r>
                <w:r>
                  <w:rPr>
                    <w:rFonts w:hint="eastAsia"/>
                  </w:rPr>
                  <w:t>·</w:t>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1" o:spid="_x0000_s2051" o:spt="202" type="#_x0000_t202" style="position:absolute;left:0pt;margin-top:0pt;height:11.65pt;width:27.05pt;mso-position-horizontal:outside;mso-position-horizontal-relative:margin;mso-wrap-style:none;z-index:251673600;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DuLMdH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26</w:t>
                </w:r>
                <w:r>
                  <w:fldChar w:fldCharType="end"/>
                </w:r>
                <w:r>
                  <w:rPr>
                    <w:rFonts w:hint="eastAsia"/>
                  </w:rPr>
                  <w:t>·</w:t>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50" o:spid="_x0000_s2050" o:spt="202" type="#_x0000_t202" style="position:absolute;left:0pt;margin-top:0pt;height:11.65pt;width:27.05pt;mso-position-horizontal:outside;mso-position-horizontal-relative:margin;mso-wrap-style:none;z-index:25167462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DJM5ZT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33</w:t>
                </w:r>
                <w:r>
                  <w:fldChar w:fldCharType="end"/>
                </w:r>
                <w:r>
                  <w:rPr>
                    <w:rFonts w:hint="eastAsia"/>
                  </w:rPr>
                  <w:t>·</w:t>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49" o:spid="_x0000_s2049" o:spt="202" type="#_x0000_t202" style="position:absolute;left:0pt;margin-top:0pt;height:11.65pt;width:27.05pt;mso-position-horizontal:outside;mso-position-horizontal-relative:margin;mso-wrap-style:none;z-index:251671552;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GcC0l3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49</w:t>
                </w:r>
                <w:r>
                  <w:fldChar w:fldCharType="end"/>
                </w:r>
                <w:r>
                  <w:rPr>
                    <w:rFonts w:hint="eastAsia"/>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right" w:pos="9150"/>
        <w:tab w:val="clear" w:pos="4153"/>
      </w:tabs>
    </w:pPr>
    <w:r>
      <w:pict>
        <v:shape id="文本框 18" o:spid="_x0000_s2061" o:spt="202" type="#_x0000_t202" style="position:absolute;left:0pt;margin-top:0pt;height:15.55pt;width:27.45pt;mso-position-horizontal:outside;mso-position-horizontal-relative:margin;z-index:251663360;mso-width-relative:page;mso-height-relative:page;" filled="f" stroked="f" coordsize="21600,21600" o:gfxdata="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Q5/fzTAAAAAwEAAA8AAAAAAAAAAQAgAAAAIgAAAGRycy9kb3ducmV2LnhtbFBLAQIU&#10;ABQAAAAIAIdO4kAmRup0+AEAAMYDAAAOAAAAAAAAAAEAIAAAACIBAABkcnMvZTJvRG9jLnhtbFBL&#10;BQYAAAAABgAGAFkBAACMBQAAAAA=&#10;">
          <v:path/>
          <v:fill on="f" focussize="0,0"/>
          <v:stroke on="f" joinstyle="miter"/>
          <v:imagedata o:title=""/>
          <o:lock v:ext="edit"/>
          <v:textbox inset="0mm,0mm,0mm,0mm" style="mso-fit-shape-to-text:t;">
            <w:txbxContent>
              <w:p>
                <w:pPr>
                  <w:pStyle w:val="11"/>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I</w:t>
                </w:r>
                <w:r>
                  <w:rPr>
                    <w:sz w:val="24"/>
                    <w:szCs w:val="24"/>
                  </w:rPr>
                  <w:fldChar w:fldCharType="end"/>
                </w:r>
                <w:r>
                  <w:rPr>
                    <w:rFonts w:hint="eastAsia"/>
                    <w:sz w:val="24"/>
                    <w:szCs w:val="24"/>
                  </w:rPr>
                  <w:t>·</w:t>
                </w:r>
              </w:p>
            </w:txbxContent>
          </v:textbox>
        </v:shape>
      </w:pict>
    </w:r>
    <w:r>
      <w:rPr>
        <w:rFonts w:hint="eastAsia"/>
      </w:rPr>
      <w:tab/>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9" o:spid="_x0000_s2060"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6pebnP&#10;AAAABQEAAA8AAAAAAAAAAQAgAAAAIgAAAGRycy9kb3ducmV2LnhtbFBLAQIUABQAAAAIAIdO4kDO&#10;u19J8AEAAMYDAAAOAAAAAAAAAAEAIAAAAB4BAABkcnMvZTJvRG9jLnhtbFBLBQYAAAAABgAGAFkB&#10;AACABQAAAAA=&#10;">
          <v:path/>
          <v:fill on="f" focussize="0,0"/>
          <v:stroke on="f" joinstyle="miter"/>
          <v:imagedata o:title=""/>
          <o:lock v:ext="edit"/>
          <v:textbox inset="0mm,0mm,0mm,0mm" style="mso-fit-shape-to-text:t;">
            <w:txbxContent>
              <w:p>
                <w:r>
                  <w:fldChar w:fldCharType="begin"/>
                </w:r>
                <w:r>
                  <w:instrText xml:space="preserve"> PAGE  \* MERGEFORMAT </w:instrText>
                </w:r>
                <w:r>
                  <w:fldChar w:fldCharType="separate"/>
                </w:r>
                <w:r>
                  <w:t>23</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r>
      <w:pict>
        <v:shape id="文本框 16" o:spid="_x0000_s2059" o:spt="202" type="#_x0000_t202" style="position:absolute;left:0pt;margin-top:0pt;height:11.65pt;width:22.55pt;mso-position-horizontal:outside;mso-position-horizontal-relative:margin;mso-wrap-style:none;z-index:25166131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BFIvAK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III</w:t>
                </w:r>
                <w:r>
                  <w:fldChar w:fldCharType="end"/>
                </w:r>
                <w:r>
                  <w:rPr>
                    <w:rFonts w:hint="eastAsia"/>
                  </w:rPr>
                  <w:t>·</w:t>
                </w:r>
              </w:p>
            </w:txbxContent>
          </v:textbox>
        </v:shape>
      </w:pict>
    </w:r>
  </w:p>
  <w:p>
    <w:pPr>
      <w:pStyle w:val="11"/>
      <w:tabs>
        <w:tab w:val="left" w:pos="312"/>
      </w:tabs>
      <w:rPr>
        <w:rFonts w:ascii="宋体" w:hAnsi="宋体"/>
      </w:rPr>
    </w:pPr>
    <w:r>
      <w:rPr>
        <w:rFonts w:hint="eastAsia" w:ascii="宋体" w:hAnsi="宋体"/>
      </w:rPr>
      <w:tab/>
    </w:r>
    <w:r>
      <w:rPr>
        <w:rFonts w:hint="eastAsia" w:ascii="宋体" w:hAnsi="宋体"/>
      </w:rPr>
      <w:tab/>
    </w:r>
    <w:r>
      <w:rPr>
        <w:rFonts w:hint="eastAsia" w:ascii="宋体" w:hAnsi="宋体"/>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7" o:spid="_x0000_s2058" o:spt="202" type="#_x0000_t202" style="position:absolute;left:0pt;margin-top:0pt;height:11.65pt;width:22.55pt;mso-position-horizontal:outside;mso-position-horizontal-relative:margin;mso-wrap-style:none;z-index:251665408;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BXmVUn9gEAAMQDAAAOAAAAAAAAAAEAIAAAACEBAABkcnMvZTJvRG9jLnhtbFBLBQYA&#10;AAAABgAGAFkBAACJBQAAAAA=&#10;">
          <v:path/>
          <v:fill on="f" focussize="0,0"/>
          <v:stroke on="f" joinstyle="miter"/>
          <v:imagedata o:title=""/>
          <o:lock v:ext="edit"/>
          <v:textbox inset="0mm,0mm,0mm,0mm" style="mso-fit-shape-to-text:t;">
            <w:txbxContent>
              <w:p>
                <w:r>
                  <w:rPr>
                    <w:rFonts w:hint="eastAsia"/>
                  </w:rPr>
                  <w:t>·</w:t>
                </w:r>
                <w:r>
                  <w:fldChar w:fldCharType="begin"/>
                </w:r>
                <w:r>
                  <w:instrText xml:space="preserve"> PAGE  \* MERGEFORMAT </w:instrText>
                </w:r>
                <w:r>
                  <w:fldChar w:fldCharType="separate"/>
                </w:r>
                <w:r>
                  <w:t>XIII</w:t>
                </w:r>
                <w:r>
                  <w:fldChar w:fldCharType="end"/>
                </w:r>
                <w:r>
                  <w:rPr>
                    <w:rFonts w:hint="eastAsia"/>
                  </w:rPr>
                  <w:t>·</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4" o:spid="_x0000_s2057" o:spt="202" type="#_x0000_t202" style="position:absolute;left:0pt;margin-top:0pt;height:11.65pt;width:22.55pt;mso-position-horizontal:outside;mso-position-horizontal-relative:margin;mso-wrap-style:none;z-index:251659264;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AtefDD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1</w:t>
                </w:r>
                <w:r>
                  <w:fldChar w:fldCharType="end"/>
                </w:r>
                <w:r>
                  <w:rPr>
                    <w:rFonts w:hint="eastAsia"/>
                  </w:rPr>
                  <w:t>·</w:t>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5" o:spid="_x0000_s205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6pebnP&#10;AAAABQEAAA8AAAAAAAAAAQAgAAAAIgAAAGRycy9kb3ducmV2LnhtbFBLAQIUABQAAAAIAIdO4kBj&#10;KnIL8AEAAMYDAAAOAAAAAAAAAAEAIAAAAB4BAABkcnMvZTJvRG9jLnhtbFBLBQYAAAAABgAGAFkB&#10;AACABQAAAAA=&#10;">
          <v:path/>
          <v:fill on="f" focussize="0,0"/>
          <v:stroke on="f" joinstyle="miter"/>
          <v:imagedata o:title=""/>
          <o:lock v:ext="edit"/>
          <v:textbox inset="0mm,0mm,0mm,0mm" style="mso-fit-shape-to-text:t;">
            <w:txbxContent>
              <w:p>
                <w:pPr>
                  <w:ind w:firstLine="10920" w:firstLineChars="5200"/>
                </w:pPr>
                <w:r>
                  <w:fldChar w:fldCharType="begin"/>
                </w:r>
                <w:r>
                  <w:instrText xml:space="preserve"> PAGE  \* MERGEFORMAT </w:instrText>
                </w:r>
                <w:r>
                  <w:fldChar w:fldCharType="separate"/>
                </w:r>
                <w:r>
                  <w:t>13</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76D0D6"/>
    <w:multiLevelType w:val="singleLevel"/>
    <w:tmpl w:val="8676D0D6"/>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
    <w:nsid w:val="8F738661"/>
    <w:multiLevelType w:val="singleLevel"/>
    <w:tmpl w:val="8F738661"/>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
    <w:nsid w:val="93C0237F"/>
    <w:multiLevelType w:val="singleLevel"/>
    <w:tmpl w:val="93C0237F"/>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3">
    <w:nsid w:val="9691E4C3"/>
    <w:multiLevelType w:val="singleLevel"/>
    <w:tmpl w:val="9691E4C3"/>
    <w:lvl w:ilvl="0" w:tentative="0">
      <w:start w:val="1"/>
      <w:numFmt w:val="decimal"/>
      <w:suff w:val="nothing"/>
      <w:lvlText w:val="4.0.%1  "/>
      <w:lvlJc w:val="left"/>
      <w:pPr>
        <w:tabs>
          <w:tab w:val="left" w:pos="0"/>
        </w:tabs>
        <w:ind w:left="0" w:firstLine="0"/>
      </w:pPr>
      <w:rPr>
        <w:rFonts w:hint="default" w:ascii="Times New Roman" w:hAnsi="Times New Roman" w:eastAsia="宋体" w:cs="Times New Roman"/>
        <w:color w:val="FF0000"/>
      </w:rPr>
    </w:lvl>
  </w:abstractNum>
  <w:abstractNum w:abstractNumId="4">
    <w:nsid w:val="A1972169"/>
    <w:multiLevelType w:val="singleLevel"/>
    <w:tmpl w:val="A1972169"/>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5">
    <w:nsid w:val="A34317FC"/>
    <w:multiLevelType w:val="singleLevel"/>
    <w:tmpl w:val="A34317FC"/>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6">
    <w:nsid w:val="A571CDFF"/>
    <w:multiLevelType w:val="singleLevel"/>
    <w:tmpl w:val="A571CDFF"/>
    <w:lvl w:ilvl="0" w:tentative="0">
      <w:start w:val="1"/>
      <w:numFmt w:val="decimal"/>
      <w:lvlText w:val="%1)"/>
      <w:lvlJc w:val="left"/>
      <w:pPr>
        <w:tabs>
          <w:tab w:val="left" w:pos="397"/>
        </w:tabs>
        <w:ind w:left="454" w:hanging="454"/>
      </w:pPr>
      <w:rPr>
        <w:rFonts w:hint="default" w:ascii="Times New Roman" w:hAnsi="Times New Roman"/>
      </w:rPr>
    </w:lvl>
  </w:abstractNum>
  <w:abstractNum w:abstractNumId="7">
    <w:nsid w:val="A7B47F70"/>
    <w:multiLevelType w:val="singleLevel"/>
    <w:tmpl w:val="A7B47F70"/>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8">
    <w:nsid w:val="AAC0C2E2"/>
    <w:multiLevelType w:val="singleLevel"/>
    <w:tmpl w:val="AAC0C2E2"/>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9">
    <w:nsid w:val="AF1573D9"/>
    <w:multiLevelType w:val="singleLevel"/>
    <w:tmpl w:val="AF1573D9"/>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0">
    <w:nsid w:val="B9B23610"/>
    <w:multiLevelType w:val="singleLevel"/>
    <w:tmpl w:val="B9B23610"/>
    <w:lvl w:ilvl="0" w:tentative="0">
      <w:start w:val="1"/>
      <w:numFmt w:val="decimal"/>
      <w:suff w:val="nothing"/>
      <w:lvlText w:val="3.0.%1  "/>
      <w:lvlJc w:val="left"/>
      <w:pPr>
        <w:tabs>
          <w:tab w:val="left" w:pos="0"/>
        </w:tabs>
        <w:ind w:left="0" w:firstLine="0"/>
      </w:pPr>
      <w:rPr>
        <w:rFonts w:hint="default" w:ascii="Times New Roman" w:hAnsi="Times New Roman" w:eastAsia="宋体" w:cs="Times New Roman"/>
      </w:rPr>
    </w:lvl>
  </w:abstractNum>
  <w:abstractNum w:abstractNumId="11">
    <w:nsid w:val="CFC64BB4"/>
    <w:multiLevelType w:val="singleLevel"/>
    <w:tmpl w:val="CFC64BB4"/>
    <w:lvl w:ilvl="0" w:tentative="0">
      <w:start w:val="1"/>
      <w:numFmt w:val="decimal"/>
      <w:suff w:val="nothing"/>
      <w:lvlText w:val="6.12.%1  "/>
      <w:lvlJc w:val="left"/>
      <w:pPr>
        <w:ind w:left="0" w:firstLine="0"/>
      </w:pPr>
      <w:rPr>
        <w:rFonts w:hint="default" w:ascii="Times New Roman" w:hAnsi="Times New Roman" w:eastAsia="宋体" w:cs="宋体"/>
      </w:rPr>
    </w:lvl>
  </w:abstractNum>
  <w:abstractNum w:abstractNumId="12">
    <w:nsid w:val="F067BAD6"/>
    <w:multiLevelType w:val="singleLevel"/>
    <w:tmpl w:val="F067BAD6"/>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3">
    <w:nsid w:val="F664C2B0"/>
    <w:multiLevelType w:val="singleLevel"/>
    <w:tmpl w:val="F664C2B0"/>
    <w:lvl w:ilvl="0" w:tentative="0">
      <w:start w:val="1"/>
      <w:numFmt w:val="decimal"/>
      <w:suff w:val="nothing"/>
      <w:lvlText w:val="2.0.%1  "/>
      <w:lvlJc w:val="left"/>
      <w:pPr>
        <w:tabs>
          <w:tab w:val="left" w:pos="0"/>
        </w:tabs>
        <w:ind w:left="0" w:firstLine="0"/>
      </w:pPr>
      <w:rPr>
        <w:rFonts w:hint="default" w:ascii="Times New Roman" w:hAnsi="Times New Roman" w:eastAsia="宋体" w:cs="Times New Roman"/>
      </w:rPr>
    </w:lvl>
  </w:abstractNum>
  <w:abstractNum w:abstractNumId="14">
    <w:nsid w:val="F6818AFF"/>
    <w:multiLevelType w:val="singleLevel"/>
    <w:tmpl w:val="F6818AFF"/>
    <w:lvl w:ilvl="0" w:tentative="0">
      <w:start w:val="1"/>
      <w:numFmt w:val="decimal"/>
      <w:suff w:val="nothing"/>
      <w:lvlText w:val="1.0.%1  "/>
      <w:lvlJc w:val="left"/>
      <w:pPr>
        <w:tabs>
          <w:tab w:val="left" w:pos="0"/>
        </w:tabs>
        <w:ind w:left="0" w:firstLine="0"/>
      </w:pPr>
      <w:rPr>
        <w:rFonts w:hint="default" w:ascii="Times New Roman" w:hAnsi="Times New Roman" w:eastAsia="宋体" w:cs="Times New Roman"/>
      </w:rPr>
    </w:lvl>
  </w:abstractNum>
  <w:abstractNum w:abstractNumId="15">
    <w:nsid w:val="01A960F6"/>
    <w:multiLevelType w:val="singleLevel"/>
    <w:tmpl w:val="01A960F6"/>
    <w:lvl w:ilvl="0" w:tentative="0">
      <w:start w:val="1"/>
      <w:numFmt w:val="decimal"/>
      <w:suff w:val="nothing"/>
      <w:lvlText w:val="6.4.%1  "/>
      <w:lvlJc w:val="left"/>
      <w:pPr>
        <w:ind w:left="0" w:firstLine="0"/>
      </w:pPr>
      <w:rPr>
        <w:rFonts w:hint="default" w:ascii="Times New Roman" w:hAnsi="Times New Roman" w:eastAsia="宋体" w:cs="宋体"/>
        <w:color w:val="FF0000"/>
      </w:rPr>
    </w:lvl>
  </w:abstractNum>
  <w:abstractNum w:abstractNumId="16">
    <w:nsid w:val="026BAE73"/>
    <w:multiLevelType w:val="singleLevel"/>
    <w:tmpl w:val="026BAE73"/>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7">
    <w:nsid w:val="03336BC4"/>
    <w:multiLevelType w:val="singleLevel"/>
    <w:tmpl w:val="03336BC4"/>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18">
    <w:nsid w:val="04A31A35"/>
    <w:multiLevelType w:val="singleLevel"/>
    <w:tmpl w:val="04A31A35"/>
    <w:lvl w:ilvl="0" w:tentative="0">
      <w:start w:val="1"/>
      <w:numFmt w:val="decimal"/>
      <w:suff w:val="nothing"/>
      <w:lvlText w:val="6.5.%1  "/>
      <w:lvlJc w:val="left"/>
      <w:pPr>
        <w:ind w:left="0" w:firstLine="0"/>
      </w:pPr>
      <w:rPr>
        <w:rFonts w:hint="default" w:ascii="Times New Roman" w:hAnsi="Times New Roman" w:eastAsia="宋体" w:cs="宋体"/>
      </w:rPr>
    </w:lvl>
  </w:abstractNum>
  <w:abstractNum w:abstractNumId="19">
    <w:nsid w:val="059F594E"/>
    <w:multiLevelType w:val="singleLevel"/>
    <w:tmpl w:val="059F594E"/>
    <w:lvl w:ilvl="0" w:tentative="0">
      <w:start w:val="1"/>
      <w:numFmt w:val="decimal"/>
      <w:suff w:val="nothing"/>
      <w:lvlText w:val="6.8.%1  "/>
      <w:lvlJc w:val="left"/>
      <w:pPr>
        <w:ind w:left="0" w:firstLine="0"/>
      </w:pPr>
      <w:rPr>
        <w:rFonts w:hint="default" w:ascii="Times New Roman" w:hAnsi="Times New Roman" w:eastAsia="宋体" w:cs="宋体"/>
      </w:rPr>
    </w:lvl>
  </w:abstractNum>
  <w:abstractNum w:abstractNumId="20">
    <w:nsid w:val="16CD93FA"/>
    <w:multiLevelType w:val="singleLevel"/>
    <w:tmpl w:val="16CD93FA"/>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1">
    <w:nsid w:val="17485F22"/>
    <w:multiLevelType w:val="singleLevel"/>
    <w:tmpl w:val="17485F22"/>
    <w:lvl w:ilvl="0" w:tentative="0">
      <w:start w:val="1"/>
      <w:numFmt w:val="decimal"/>
      <w:suff w:val="nothing"/>
      <w:lvlText w:val="6.10.%1  "/>
      <w:lvlJc w:val="left"/>
      <w:pPr>
        <w:ind w:left="0" w:firstLine="0"/>
      </w:pPr>
      <w:rPr>
        <w:rFonts w:hint="default" w:ascii="Times New Roman" w:hAnsi="Times New Roman" w:eastAsia="宋体" w:cs="宋体"/>
      </w:rPr>
    </w:lvl>
  </w:abstractNum>
  <w:abstractNum w:abstractNumId="22">
    <w:nsid w:val="18A801A5"/>
    <w:multiLevelType w:val="singleLevel"/>
    <w:tmpl w:val="18A801A5"/>
    <w:lvl w:ilvl="0" w:tentative="0">
      <w:start w:val="1"/>
      <w:numFmt w:val="decimal"/>
      <w:suff w:val="nothing"/>
      <w:lvlText w:val="5.0.%1  "/>
      <w:lvlJc w:val="left"/>
      <w:pPr>
        <w:tabs>
          <w:tab w:val="left" w:pos="0"/>
        </w:tabs>
        <w:ind w:left="0" w:firstLine="0"/>
      </w:pPr>
      <w:rPr>
        <w:rFonts w:hint="default" w:ascii="Times New Roman" w:hAnsi="Times New Roman" w:eastAsia="宋体" w:cs="Times New Roman"/>
        <w:color w:val="FF0000"/>
      </w:rPr>
    </w:lvl>
  </w:abstractNum>
  <w:abstractNum w:abstractNumId="23">
    <w:nsid w:val="1A3D3867"/>
    <w:multiLevelType w:val="singleLevel"/>
    <w:tmpl w:val="1A3D3867"/>
    <w:lvl w:ilvl="0" w:tentative="0">
      <w:start w:val="1"/>
      <w:numFmt w:val="decimal"/>
      <w:suff w:val="nothing"/>
      <w:lvlText w:val="1.0.%1  "/>
      <w:lvlJc w:val="left"/>
      <w:pPr>
        <w:tabs>
          <w:tab w:val="left" w:pos="0"/>
        </w:tabs>
        <w:ind w:left="0" w:firstLine="0"/>
      </w:pPr>
      <w:rPr>
        <w:rFonts w:hint="default" w:ascii="Times New Roman" w:hAnsi="Times New Roman" w:eastAsia="宋体" w:cs="Times New Roman"/>
      </w:rPr>
    </w:lvl>
  </w:abstractNum>
  <w:abstractNum w:abstractNumId="24">
    <w:nsid w:val="1C93732A"/>
    <w:multiLevelType w:val="singleLevel"/>
    <w:tmpl w:val="1C93732A"/>
    <w:lvl w:ilvl="0" w:tentative="0">
      <w:start w:val="1"/>
      <w:numFmt w:val="decimal"/>
      <w:suff w:val="nothing"/>
      <w:lvlText w:val="6.1.%1  "/>
      <w:lvlJc w:val="left"/>
      <w:pPr>
        <w:tabs>
          <w:tab w:val="left" w:pos="0"/>
        </w:tabs>
        <w:ind w:left="0" w:firstLine="0"/>
      </w:pPr>
      <w:rPr>
        <w:rFonts w:hint="default" w:ascii="Times New Roman" w:hAnsi="Times New Roman" w:eastAsia="宋体" w:cs="Times New Roman"/>
      </w:rPr>
    </w:lvl>
  </w:abstractNum>
  <w:abstractNum w:abstractNumId="25">
    <w:nsid w:val="1DAE2138"/>
    <w:multiLevelType w:val="singleLevel"/>
    <w:tmpl w:val="1DAE2138"/>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6">
    <w:nsid w:val="306B8CA2"/>
    <w:multiLevelType w:val="singleLevel"/>
    <w:tmpl w:val="306B8CA2"/>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7">
    <w:nsid w:val="34352ED3"/>
    <w:multiLevelType w:val="singleLevel"/>
    <w:tmpl w:val="34352ED3"/>
    <w:lvl w:ilvl="0" w:tentative="0">
      <w:start w:val="1"/>
      <w:numFmt w:val="decimal"/>
      <w:suff w:val="nothing"/>
      <w:lvlText w:val="3.0.%1  "/>
      <w:lvlJc w:val="left"/>
      <w:pPr>
        <w:tabs>
          <w:tab w:val="left" w:pos="0"/>
        </w:tabs>
        <w:ind w:left="0" w:firstLine="0"/>
      </w:pPr>
      <w:rPr>
        <w:rFonts w:hint="default" w:ascii="Times New Roman" w:hAnsi="Times New Roman" w:eastAsia="宋体" w:cs="Times New Roman"/>
      </w:rPr>
    </w:lvl>
  </w:abstractNum>
  <w:abstractNum w:abstractNumId="28">
    <w:nsid w:val="38E0FD80"/>
    <w:multiLevelType w:val="singleLevel"/>
    <w:tmpl w:val="38E0FD80"/>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9">
    <w:nsid w:val="3A4F3A56"/>
    <w:multiLevelType w:val="singleLevel"/>
    <w:tmpl w:val="3A4F3A56"/>
    <w:lvl w:ilvl="0" w:tentative="0">
      <w:start w:val="1"/>
      <w:numFmt w:val="decimal"/>
      <w:suff w:val="nothing"/>
      <w:lvlText w:val="6.7.%1  "/>
      <w:lvlJc w:val="left"/>
      <w:pPr>
        <w:ind w:left="0" w:firstLine="0"/>
      </w:pPr>
      <w:rPr>
        <w:rFonts w:hint="default" w:ascii="Times New Roman" w:hAnsi="Times New Roman" w:eastAsia="宋体" w:cs="宋体"/>
      </w:rPr>
    </w:lvl>
  </w:abstractNum>
  <w:abstractNum w:abstractNumId="30">
    <w:nsid w:val="417C824C"/>
    <w:multiLevelType w:val="singleLevel"/>
    <w:tmpl w:val="417C824C"/>
    <w:lvl w:ilvl="0" w:tentative="0">
      <w:start w:val="1"/>
      <w:numFmt w:val="decimal"/>
      <w:suff w:val="nothing"/>
      <w:lvlText w:val="1.0.%1  "/>
      <w:lvlJc w:val="left"/>
      <w:pPr>
        <w:tabs>
          <w:tab w:val="left" w:pos="0"/>
        </w:tabs>
        <w:ind w:left="0" w:firstLine="0"/>
      </w:pPr>
      <w:rPr>
        <w:rFonts w:hint="default" w:ascii="宋体" w:hAnsi="宋体" w:eastAsia="宋体" w:cs="宋体"/>
      </w:rPr>
    </w:lvl>
  </w:abstractNum>
  <w:abstractNum w:abstractNumId="31">
    <w:nsid w:val="42DA5838"/>
    <w:multiLevelType w:val="singleLevel"/>
    <w:tmpl w:val="42DA5838"/>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32">
    <w:nsid w:val="449B4372"/>
    <w:multiLevelType w:val="singleLevel"/>
    <w:tmpl w:val="449B4372"/>
    <w:lvl w:ilvl="0" w:tentative="0">
      <w:start w:val="1"/>
      <w:numFmt w:val="decimal"/>
      <w:suff w:val="nothing"/>
      <w:lvlText w:val="6.12.%1  "/>
      <w:lvlJc w:val="left"/>
      <w:pPr>
        <w:ind w:left="0" w:firstLine="0"/>
      </w:pPr>
      <w:rPr>
        <w:rFonts w:hint="default" w:ascii="Times New Roman" w:hAnsi="Times New Roman" w:eastAsia="宋体" w:cs="宋体"/>
      </w:rPr>
    </w:lvl>
  </w:abstractNum>
  <w:abstractNum w:abstractNumId="33">
    <w:nsid w:val="485EA885"/>
    <w:multiLevelType w:val="singleLevel"/>
    <w:tmpl w:val="485EA885"/>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34">
    <w:nsid w:val="4B6CD36A"/>
    <w:multiLevelType w:val="singleLevel"/>
    <w:tmpl w:val="4B6CD36A"/>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35">
    <w:nsid w:val="4C2C72FF"/>
    <w:multiLevelType w:val="singleLevel"/>
    <w:tmpl w:val="4C2C72FF"/>
    <w:lvl w:ilvl="0" w:tentative="0">
      <w:start w:val="1"/>
      <w:numFmt w:val="decimal"/>
      <w:suff w:val="nothing"/>
      <w:lvlText w:val="6.9.%1  "/>
      <w:lvlJc w:val="left"/>
      <w:pPr>
        <w:ind w:left="0" w:firstLine="0"/>
      </w:pPr>
      <w:rPr>
        <w:rFonts w:hint="default" w:ascii="Times New Roman" w:hAnsi="Times New Roman" w:eastAsia="宋体" w:cs="宋体"/>
      </w:rPr>
    </w:lvl>
  </w:abstractNum>
  <w:abstractNum w:abstractNumId="36">
    <w:nsid w:val="4C9545D2"/>
    <w:multiLevelType w:val="singleLevel"/>
    <w:tmpl w:val="4C9545D2"/>
    <w:lvl w:ilvl="0" w:tentative="0">
      <w:start w:val="1"/>
      <w:numFmt w:val="decimal"/>
      <w:suff w:val="nothing"/>
      <w:lvlText w:val="6.13.%1  "/>
      <w:lvlJc w:val="left"/>
      <w:pPr>
        <w:ind w:left="0" w:firstLine="0"/>
      </w:pPr>
      <w:rPr>
        <w:rFonts w:hint="default" w:ascii="Times New Roman" w:hAnsi="Times New Roman" w:eastAsia="宋体" w:cs="宋体"/>
      </w:rPr>
    </w:lvl>
  </w:abstractNum>
  <w:abstractNum w:abstractNumId="37">
    <w:nsid w:val="5AC80647"/>
    <w:multiLevelType w:val="singleLevel"/>
    <w:tmpl w:val="5AC80647"/>
    <w:lvl w:ilvl="0" w:tentative="0">
      <w:start w:val="1"/>
      <w:numFmt w:val="decimal"/>
      <w:suff w:val="nothing"/>
      <w:lvlText w:val="6.6.%1  "/>
      <w:lvlJc w:val="left"/>
      <w:pPr>
        <w:ind w:left="0" w:firstLine="0"/>
      </w:pPr>
      <w:rPr>
        <w:rFonts w:hint="default" w:ascii="Times New Roman" w:hAnsi="Times New Roman" w:eastAsia="宋体" w:cs="宋体"/>
      </w:rPr>
    </w:lvl>
  </w:abstractNum>
  <w:abstractNum w:abstractNumId="38">
    <w:nsid w:val="5C644EB0"/>
    <w:multiLevelType w:val="singleLevel"/>
    <w:tmpl w:val="5C644EB0"/>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39">
    <w:nsid w:val="5F253923"/>
    <w:multiLevelType w:val="singleLevel"/>
    <w:tmpl w:val="5F253923"/>
    <w:lvl w:ilvl="0" w:tentative="0">
      <w:start w:val="1"/>
      <w:numFmt w:val="decimal"/>
      <w:suff w:val="nothing"/>
      <w:lvlText w:val="6.2.%1  "/>
      <w:lvlJc w:val="left"/>
      <w:pPr>
        <w:ind w:left="0" w:firstLine="0"/>
      </w:pPr>
      <w:rPr>
        <w:rFonts w:hint="default" w:ascii="Times New Roman" w:hAnsi="Times New Roman" w:eastAsia="宋体" w:cs="宋体"/>
      </w:rPr>
    </w:lvl>
  </w:abstractNum>
  <w:abstractNum w:abstractNumId="40">
    <w:nsid w:val="63843053"/>
    <w:multiLevelType w:val="singleLevel"/>
    <w:tmpl w:val="63843053"/>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41">
    <w:nsid w:val="6B626076"/>
    <w:multiLevelType w:val="singleLevel"/>
    <w:tmpl w:val="6B626076"/>
    <w:lvl w:ilvl="0" w:tentative="0">
      <w:start w:val="1"/>
      <w:numFmt w:val="decimal"/>
      <w:suff w:val="nothing"/>
      <w:lvlText w:val="6.11.%1  "/>
      <w:lvlJc w:val="left"/>
      <w:pPr>
        <w:ind w:left="0" w:firstLine="0"/>
      </w:pPr>
      <w:rPr>
        <w:rFonts w:hint="default" w:ascii="Times New Roman" w:hAnsi="Times New Roman" w:eastAsia="宋体" w:cs="宋体"/>
      </w:rPr>
    </w:lvl>
  </w:abstractNum>
  <w:abstractNum w:abstractNumId="42">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42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3">
    <w:nsid w:val="6FCB492A"/>
    <w:multiLevelType w:val="singleLevel"/>
    <w:tmpl w:val="6FCB492A"/>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44">
    <w:nsid w:val="77042740"/>
    <w:multiLevelType w:val="singleLevel"/>
    <w:tmpl w:val="77042740"/>
    <w:lvl w:ilvl="0" w:tentative="0">
      <w:start w:val="1"/>
      <w:numFmt w:val="decimal"/>
      <w:suff w:val="nothing"/>
      <w:lvlText w:val="6.3.%1  "/>
      <w:lvlJc w:val="left"/>
      <w:pPr>
        <w:ind w:left="0" w:firstLine="0"/>
      </w:pPr>
      <w:rPr>
        <w:rFonts w:hint="default" w:ascii="Times New Roman" w:hAnsi="Times New Roman" w:eastAsia="宋体" w:cs="宋体"/>
      </w:rPr>
    </w:lvl>
  </w:abstractNum>
  <w:abstractNum w:abstractNumId="45">
    <w:nsid w:val="7E8C626B"/>
    <w:multiLevelType w:val="singleLevel"/>
    <w:tmpl w:val="7E8C626B"/>
    <w:lvl w:ilvl="0" w:tentative="0">
      <w:start w:val="1"/>
      <w:numFmt w:val="decimal"/>
      <w:suff w:val="nothing"/>
      <w:lvlText w:val="6.10.%1  "/>
      <w:lvlJc w:val="left"/>
      <w:pPr>
        <w:ind w:left="0" w:firstLine="0"/>
      </w:pPr>
      <w:rPr>
        <w:rFonts w:hint="default" w:ascii="Times New Roman" w:hAnsi="Times New Roman" w:eastAsia="宋体" w:cs="宋体"/>
      </w:rPr>
    </w:lvl>
  </w:abstractNum>
  <w:num w:numId="1">
    <w:abstractNumId w:val="42"/>
  </w:num>
  <w:num w:numId="2">
    <w:abstractNumId w:val="23"/>
  </w:num>
  <w:num w:numId="3">
    <w:abstractNumId w:val="13"/>
  </w:num>
  <w:num w:numId="4">
    <w:abstractNumId w:val="10"/>
  </w:num>
  <w:num w:numId="5">
    <w:abstractNumId w:val="3"/>
  </w:num>
  <w:num w:numId="6">
    <w:abstractNumId w:val="34"/>
  </w:num>
  <w:num w:numId="7">
    <w:abstractNumId w:val="38"/>
  </w:num>
  <w:num w:numId="8">
    <w:abstractNumId w:val="7"/>
  </w:num>
  <w:num w:numId="9">
    <w:abstractNumId w:val="33"/>
  </w:num>
  <w:num w:numId="10">
    <w:abstractNumId w:val="17"/>
  </w:num>
  <w:num w:numId="11">
    <w:abstractNumId w:val="6"/>
  </w:num>
  <w:num w:numId="12">
    <w:abstractNumId w:val="28"/>
  </w:num>
  <w:num w:numId="13">
    <w:abstractNumId w:val="22"/>
  </w:num>
  <w:num w:numId="14">
    <w:abstractNumId w:val="24"/>
  </w:num>
  <w:num w:numId="15">
    <w:abstractNumId w:val="40"/>
  </w:num>
  <w:num w:numId="16">
    <w:abstractNumId w:val="39"/>
  </w:num>
  <w:num w:numId="17">
    <w:abstractNumId w:val="4"/>
  </w:num>
  <w:num w:numId="18">
    <w:abstractNumId w:val="44"/>
  </w:num>
  <w:num w:numId="19">
    <w:abstractNumId w:val="5"/>
  </w:num>
  <w:num w:numId="20">
    <w:abstractNumId w:val="15"/>
  </w:num>
  <w:num w:numId="21">
    <w:abstractNumId w:val="12"/>
  </w:num>
  <w:num w:numId="22">
    <w:abstractNumId w:val="18"/>
  </w:num>
  <w:num w:numId="23">
    <w:abstractNumId w:val="26"/>
  </w:num>
  <w:num w:numId="24">
    <w:abstractNumId w:val="37"/>
  </w:num>
  <w:num w:numId="25">
    <w:abstractNumId w:val="31"/>
  </w:num>
  <w:num w:numId="26">
    <w:abstractNumId w:val="29"/>
  </w:num>
  <w:num w:numId="27">
    <w:abstractNumId w:val="2"/>
  </w:num>
  <w:num w:numId="28">
    <w:abstractNumId w:val="19"/>
  </w:num>
  <w:num w:numId="29">
    <w:abstractNumId w:val="8"/>
  </w:num>
  <w:num w:numId="30">
    <w:abstractNumId w:val="35"/>
  </w:num>
  <w:num w:numId="31">
    <w:abstractNumId w:val="16"/>
  </w:num>
  <w:num w:numId="32">
    <w:abstractNumId w:val="21"/>
  </w:num>
  <w:num w:numId="33">
    <w:abstractNumId w:val="20"/>
  </w:num>
  <w:num w:numId="34">
    <w:abstractNumId w:val="0"/>
  </w:num>
  <w:num w:numId="35">
    <w:abstractNumId w:val="41"/>
  </w:num>
  <w:num w:numId="36">
    <w:abstractNumId w:val="25"/>
  </w:num>
  <w:num w:numId="37">
    <w:abstractNumId w:val="32"/>
  </w:num>
  <w:num w:numId="38">
    <w:abstractNumId w:val="43"/>
  </w:num>
  <w:num w:numId="39">
    <w:abstractNumId w:val="9"/>
  </w:num>
  <w:num w:numId="40">
    <w:abstractNumId w:val="36"/>
  </w:num>
  <w:num w:numId="41">
    <w:abstractNumId w:val="1"/>
  </w:num>
  <w:num w:numId="42">
    <w:abstractNumId w:val="14"/>
  </w:num>
  <w:num w:numId="43">
    <w:abstractNumId w:val="30"/>
  </w:num>
  <w:num w:numId="44">
    <w:abstractNumId w:val="27"/>
  </w:num>
  <w:num w:numId="45">
    <w:abstractNumId w:val="45"/>
  </w:num>
  <w:num w:numId="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NE.Ref{FE9223B6-BFB9-4C31-801E-5349CEA8916B}" w:val=" ADDIN NE.Ref.{FE9223B6-BFB9-4C31-801E-5349CEA8916B}&lt;Citation&gt;&lt;Group&gt;&lt;References&gt;&lt;Item&gt;&lt;ID&gt;441&lt;/ID&gt;&lt;UID&gt;{373691E0-D48D-40D8-9846-F438A61461CB}&lt;/UID&gt;&lt;Title&gt;浅谈磷酸铁锂电池及其在电动船舶行业应用与发展&lt;/Title&gt;&lt;Template&gt;Journal Article&lt;/Template&gt;&lt;Star&gt;0&lt;/Star&gt;&lt;Tag&gt;0&lt;/Tag&gt;&lt;Author&gt;刘艳良&lt;/Author&gt;&lt;Year&gt;2020&lt;/Year&gt;&lt;Details&gt;&lt;_issue&gt;015&lt;/_issue&gt;&lt;_journal&gt;科学技术创新&lt;/_journal&gt;&lt;_pages&gt;43-44&lt;/_pages&gt;&lt;_volume&gt;000&lt;/_volume&gt;&lt;_created&gt;63728133&lt;/_created&gt;&lt;_modified&gt;63728133&lt;/_modified&gt;&lt;_translated_author&gt;Liu, Yanliang&lt;/_translated_author&gt;&lt;/Details&gt;&lt;Extra&gt;&lt;DBUID&gt;{F96A950B-833F-4880-A151-76DA2D6A2879}&lt;/DBUID&gt;&lt;/Extra&gt;&lt;/Item&gt;&lt;/References&gt;&lt;/Group&gt;&lt;/Citation&gt;_x000a_"/>
    <w:docVar w:name="ne_docsoft" w:val="MSWord"/>
    <w:docVar w:name="ne_docversion" w:val="NoteExpress 2.0"/>
    <w:docVar w:name="ne_stylename" w:val="Academic Psychiatry"/>
  </w:docVars>
  <w:rsids>
    <w:rsidRoot w:val="00172A27"/>
    <w:rsid w:val="0000137E"/>
    <w:rsid w:val="00003462"/>
    <w:rsid w:val="00003757"/>
    <w:rsid w:val="00003CA1"/>
    <w:rsid w:val="00005B63"/>
    <w:rsid w:val="00010529"/>
    <w:rsid w:val="0001117D"/>
    <w:rsid w:val="000120C6"/>
    <w:rsid w:val="0001396C"/>
    <w:rsid w:val="00020A8B"/>
    <w:rsid w:val="00022588"/>
    <w:rsid w:val="00024D68"/>
    <w:rsid w:val="00027C34"/>
    <w:rsid w:val="000321B4"/>
    <w:rsid w:val="00034030"/>
    <w:rsid w:val="00034733"/>
    <w:rsid w:val="00043F0A"/>
    <w:rsid w:val="0004525E"/>
    <w:rsid w:val="00045642"/>
    <w:rsid w:val="00050C44"/>
    <w:rsid w:val="000530CD"/>
    <w:rsid w:val="000538A5"/>
    <w:rsid w:val="00056021"/>
    <w:rsid w:val="00060366"/>
    <w:rsid w:val="0006058E"/>
    <w:rsid w:val="00062423"/>
    <w:rsid w:val="00062C8A"/>
    <w:rsid w:val="00063E2C"/>
    <w:rsid w:val="00064F4C"/>
    <w:rsid w:val="00066216"/>
    <w:rsid w:val="00070AC0"/>
    <w:rsid w:val="00070F53"/>
    <w:rsid w:val="0007178E"/>
    <w:rsid w:val="00071E13"/>
    <w:rsid w:val="0007376E"/>
    <w:rsid w:val="00077F38"/>
    <w:rsid w:val="00080468"/>
    <w:rsid w:val="00080BF1"/>
    <w:rsid w:val="00080E24"/>
    <w:rsid w:val="000819BC"/>
    <w:rsid w:val="0008293B"/>
    <w:rsid w:val="000853A4"/>
    <w:rsid w:val="00087C27"/>
    <w:rsid w:val="000917A6"/>
    <w:rsid w:val="0009462B"/>
    <w:rsid w:val="000946C8"/>
    <w:rsid w:val="00095FFD"/>
    <w:rsid w:val="00096D68"/>
    <w:rsid w:val="00096EA8"/>
    <w:rsid w:val="00096F58"/>
    <w:rsid w:val="000A1802"/>
    <w:rsid w:val="000A3790"/>
    <w:rsid w:val="000A3990"/>
    <w:rsid w:val="000A3BFC"/>
    <w:rsid w:val="000A6F5E"/>
    <w:rsid w:val="000B3E8C"/>
    <w:rsid w:val="000B515D"/>
    <w:rsid w:val="000B5208"/>
    <w:rsid w:val="000B56CE"/>
    <w:rsid w:val="000B5B1C"/>
    <w:rsid w:val="000B5BC8"/>
    <w:rsid w:val="000B6727"/>
    <w:rsid w:val="000B7D70"/>
    <w:rsid w:val="000C0395"/>
    <w:rsid w:val="000C2615"/>
    <w:rsid w:val="000C50AE"/>
    <w:rsid w:val="000C51D8"/>
    <w:rsid w:val="000C5EFB"/>
    <w:rsid w:val="000C6A0A"/>
    <w:rsid w:val="000D1140"/>
    <w:rsid w:val="000D21B5"/>
    <w:rsid w:val="000D2960"/>
    <w:rsid w:val="000D3A2B"/>
    <w:rsid w:val="000D448A"/>
    <w:rsid w:val="000D4530"/>
    <w:rsid w:val="000D6F55"/>
    <w:rsid w:val="000D7A9C"/>
    <w:rsid w:val="000E0017"/>
    <w:rsid w:val="000E1351"/>
    <w:rsid w:val="000E1FA6"/>
    <w:rsid w:val="000E3268"/>
    <w:rsid w:val="000E445F"/>
    <w:rsid w:val="000E4505"/>
    <w:rsid w:val="000E5B42"/>
    <w:rsid w:val="000E64FB"/>
    <w:rsid w:val="000E65B4"/>
    <w:rsid w:val="000F126E"/>
    <w:rsid w:val="000F185F"/>
    <w:rsid w:val="000F2835"/>
    <w:rsid w:val="000F4358"/>
    <w:rsid w:val="000F5D38"/>
    <w:rsid w:val="000F633B"/>
    <w:rsid w:val="000F6950"/>
    <w:rsid w:val="000F6D2C"/>
    <w:rsid w:val="000F7311"/>
    <w:rsid w:val="00100C5C"/>
    <w:rsid w:val="00101446"/>
    <w:rsid w:val="0010312C"/>
    <w:rsid w:val="0010497D"/>
    <w:rsid w:val="00104BD4"/>
    <w:rsid w:val="00105514"/>
    <w:rsid w:val="00105937"/>
    <w:rsid w:val="00105B92"/>
    <w:rsid w:val="001064BD"/>
    <w:rsid w:val="00106577"/>
    <w:rsid w:val="00106E8B"/>
    <w:rsid w:val="001100D0"/>
    <w:rsid w:val="001105F2"/>
    <w:rsid w:val="00110842"/>
    <w:rsid w:val="00111801"/>
    <w:rsid w:val="00111837"/>
    <w:rsid w:val="00111B1A"/>
    <w:rsid w:val="001227D7"/>
    <w:rsid w:val="00122B21"/>
    <w:rsid w:val="00122BFF"/>
    <w:rsid w:val="00122C18"/>
    <w:rsid w:val="00123777"/>
    <w:rsid w:val="00123F64"/>
    <w:rsid w:val="00124956"/>
    <w:rsid w:val="00130645"/>
    <w:rsid w:val="00131114"/>
    <w:rsid w:val="0013157A"/>
    <w:rsid w:val="00133D11"/>
    <w:rsid w:val="00135E2D"/>
    <w:rsid w:val="00135EE7"/>
    <w:rsid w:val="001372AB"/>
    <w:rsid w:val="0013775F"/>
    <w:rsid w:val="0014102F"/>
    <w:rsid w:val="00141249"/>
    <w:rsid w:val="0014193B"/>
    <w:rsid w:val="001422CC"/>
    <w:rsid w:val="00142A87"/>
    <w:rsid w:val="00145A42"/>
    <w:rsid w:val="001465FA"/>
    <w:rsid w:val="00147033"/>
    <w:rsid w:val="001477A0"/>
    <w:rsid w:val="00150952"/>
    <w:rsid w:val="00151700"/>
    <w:rsid w:val="00152AD9"/>
    <w:rsid w:val="001558E7"/>
    <w:rsid w:val="00157A3E"/>
    <w:rsid w:val="001616F3"/>
    <w:rsid w:val="00164055"/>
    <w:rsid w:val="00164470"/>
    <w:rsid w:val="00164D6F"/>
    <w:rsid w:val="00167845"/>
    <w:rsid w:val="0017290D"/>
    <w:rsid w:val="00172A27"/>
    <w:rsid w:val="0017453F"/>
    <w:rsid w:val="00174D9E"/>
    <w:rsid w:val="00176337"/>
    <w:rsid w:val="00177426"/>
    <w:rsid w:val="00177D54"/>
    <w:rsid w:val="00181A3D"/>
    <w:rsid w:val="00182486"/>
    <w:rsid w:val="00185486"/>
    <w:rsid w:val="001865E6"/>
    <w:rsid w:val="00187A4C"/>
    <w:rsid w:val="00190041"/>
    <w:rsid w:val="001904F3"/>
    <w:rsid w:val="00191869"/>
    <w:rsid w:val="00193164"/>
    <w:rsid w:val="001935AC"/>
    <w:rsid w:val="00193615"/>
    <w:rsid w:val="00193775"/>
    <w:rsid w:val="00193F2C"/>
    <w:rsid w:val="00194182"/>
    <w:rsid w:val="001947E2"/>
    <w:rsid w:val="00194DC5"/>
    <w:rsid w:val="00195AD4"/>
    <w:rsid w:val="00196C5A"/>
    <w:rsid w:val="001A5694"/>
    <w:rsid w:val="001A7D91"/>
    <w:rsid w:val="001B0A26"/>
    <w:rsid w:val="001B0E42"/>
    <w:rsid w:val="001B135B"/>
    <w:rsid w:val="001B2BED"/>
    <w:rsid w:val="001B3AE0"/>
    <w:rsid w:val="001B4285"/>
    <w:rsid w:val="001B4642"/>
    <w:rsid w:val="001B51E8"/>
    <w:rsid w:val="001B704A"/>
    <w:rsid w:val="001B782A"/>
    <w:rsid w:val="001C5CE1"/>
    <w:rsid w:val="001C7510"/>
    <w:rsid w:val="001D05FD"/>
    <w:rsid w:val="001D4406"/>
    <w:rsid w:val="001D49C9"/>
    <w:rsid w:val="001D4F05"/>
    <w:rsid w:val="001D7534"/>
    <w:rsid w:val="001E2655"/>
    <w:rsid w:val="001E2E4C"/>
    <w:rsid w:val="001E3E49"/>
    <w:rsid w:val="001E4AAE"/>
    <w:rsid w:val="001E7C7F"/>
    <w:rsid w:val="001F005C"/>
    <w:rsid w:val="001F0C07"/>
    <w:rsid w:val="001F15E8"/>
    <w:rsid w:val="001F1AD7"/>
    <w:rsid w:val="001F25F9"/>
    <w:rsid w:val="001F341A"/>
    <w:rsid w:val="001F4774"/>
    <w:rsid w:val="001F4E4A"/>
    <w:rsid w:val="001F5268"/>
    <w:rsid w:val="0020069D"/>
    <w:rsid w:val="002038CD"/>
    <w:rsid w:val="00205584"/>
    <w:rsid w:val="00205D00"/>
    <w:rsid w:val="0020746A"/>
    <w:rsid w:val="0021113C"/>
    <w:rsid w:val="00213D2C"/>
    <w:rsid w:val="00215718"/>
    <w:rsid w:val="002161E5"/>
    <w:rsid w:val="002162D4"/>
    <w:rsid w:val="00217988"/>
    <w:rsid w:val="00222BE1"/>
    <w:rsid w:val="00222E0B"/>
    <w:rsid w:val="00222FD8"/>
    <w:rsid w:val="002249CD"/>
    <w:rsid w:val="00224CF9"/>
    <w:rsid w:val="002278BB"/>
    <w:rsid w:val="002307A9"/>
    <w:rsid w:val="00230C3F"/>
    <w:rsid w:val="002337F8"/>
    <w:rsid w:val="0023590E"/>
    <w:rsid w:val="00236A44"/>
    <w:rsid w:val="00237278"/>
    <w:rsid w:val="00240218"/>
    <w:rsid w:val="002413C5"/>
    <w:rsid w:val="002433CE"/>
    <w:rsid w:val="0024464B"/>
    <w:rsid w:val="00245C9C"/>
    <w:rsid w:val="002461C9"/>
    <w:rsid w:val="00246251"/>
    <w:rsid w:val="0024695F"/>
    <w:rsid w:val="002470A4"/>
    <w:rsid w:val="002479B0"/>
    <w:rsid w:val="00250563"/>
    <w:rsid w:val="00250BFC"/>
    <w:rsid w:val="002519E7"/>
    <w:rsid w:val="00251DF6"/>
    <w:rsid w:val="00251F3E"/>
    <w:rsid w:val="00252D69"/>
    <w:rsid w:val="0025336B"/>
    <w:rsid w:val="002543B3"/>
    <w:rsid w:val="002550F7"/>
    <w:rsid w:val="00255867"/>
    <w:rsid w:val="00255DD4"/>
    <w:rsid w:val="00255FA0"/>
    <w:rsid w:val="002573EF"/>
    <w:rsid w:val="002577FA"/>
    <w:rsid w:val="00260F12"/>
    <w:rsid w:val="00261EBB"/>
    <w:rsid w:val="002623A8"/>
    <w:rsid w:val="00262E29"/>
    <w:rsid w:val="00263EEB"/>
    <w:rsid w:val="00264443"/>
    <w:rsid w:val="0026649C"/>
    <w:rsid w:val="002668B1"/>
    <w:rsid w:val="00271041"/>
    <w:rsid w:val="00272052"/>
    <w:rsid w:val="002733A3"/>
    <w:rsid w:val="0027426E"/>
    <w:rsid w:val="00275A85"/>
    <w:rsid w:val="00281513"/>
    <w:rsid w:val="00282E7C"/>
    <w:rsid w:val="00283B18"/>
    <w:rsid w:val="002849F6"/>
    <w:rsid w:val="00287F60"/>
    <w:rsid w:val="00287FE3"/>
    <w:rsid w:val="00290B71"/>
    <w:rsid w:val="002927A1"/>
    <w:rsid w:val="00296072"/>
    <w:rsid w:val="00297D05"/>
    <w:rsid w:val="002A01B7"/>
    <w:rsid w:val="002A02C1"/>
    <w:rsid w:val="002A11FF"/>
    <w:rsid w:val="002A1FC5"/>
    <w:rsid w:val="002A2EF5"/>
    <w:rsid w:val="002A3CF5"/>
    <w:rsid w:val="002A5D16"/>
    <w:rsid w:val="002A6A13"/>
    <w:rsid w:val="002B14EE"/>
    <w:rsid w:val="002B16A0"/>
    <w:rsid w:val="002B1CB0"/>
    <w:rsid w:val="002B5774"/>
    <w:rsid w:val="002B6DE6"/>
    <w:rsid w:val="002B7B40"/>
    <w:rsid w:val="002C2178"/>
    <w:rsid w:val="002C41BD"/>
    <w:rsid w:val="002C48CA"/>
    <w:rsid w:val="002C4B42"/>
    <w:rsid w:val="002C6AE4"/>
    <w:rsid w:val="002C7252"/>
    <w:rsid w:val="002D3194"/>
    <w:rsid w:val="002D6E2C"/>
    <w:rsid w:val="002D70CB"/>
    <w:rsid w:val="002D720F"/>
    <w:rsid w:val="002D7C2E"/>
    <w:rsid w:val="002E1B34"/>
    <w:rsid w:val="002E1E2A"/>
    <w:rsid w:val="002E32D6"/>
    <w:rsid w:val="002E5F95"/>
    <w:rsid w:val="002E6D14"/>
    <w:rsid w:val="002E7E6F"/>
    <w:rsid w:val="002F17E7"/>
    <w:rsid w:val="002F6670"/>
    <w:rsid w:val="00300880"/>
    <w:rsid w:val="00300F77"/>
    <w:rsid w:val="003012CF"/>
    <w:rsid w:val="00301DC9"/>
    <w:rsid w:val="003022E7"/>
    <w:rsid w:val="0030769B"/>
    <w:rsid w:val="0031247D"/>
    <w:rsid w:val="00312621"/>
    <w:rsid w:val="00313016"/>
    <w:rsid w:val="0031310A"/>
    <w:rsid w:val="003149B8"/>
    <w:rsid w:val="0031570F"/>
    <w:rsid w:val="00316CDE"/>
    <w:rsid w:val="00316EDB"/>
    <w:rsid w:val="00316F10"/>
    <w:rsid w:val="00317044"/>
    <w:rsid w:val="003171AE"/>
    <w:rsid w:val="0032031A"/>
    <w:rsid w:val="0032172C"/>
    <w:rsid w:val="00321CCD"/>
    <w:rsid w:val="00323696"/>
    <w:rsid w:val="00324204"/>
    <w:rsid w:val="00324A98"/>
    <w:rsid w:val="00327BA5"/>
    <w:rsid w:val="00330B27"/>
    <w:rsid w:val="00331528"/>
    <w:rsid w:val="00332404"/>
    <w:rsid w:val="003327BD"/>
    <w:rsid w:val="003330FF"/>
    <w:rsid w:val="00335C54"/>
    <w:rsid w:val="00335CC9"/>
    <w:rsid w:val="00336C9D"/>
    <w:rsid w:val="003376D3"/>
    <w:rsid w:val="003406D1"/>
    <w:rsid w:val="00340C5F"/>
    <w:rsid w:val="00342B1C"/>
    <w:rsid w:val="00342F44"/>
    <w:rsid w:val="003448F5"/>
    <w:rsid w:val="00347935"/>
    <w:rsid w:val="0035219B"/>
    <w:rsid w:val="003521B2"/>
    <w:rsid w:val="00352B7B"/>
    <w:rsid w:val="0035429C"/>
    <w:rsid w:val="003548B5"/>
    <w:rsid w:val="00356CE0"/>
    <w:rsid w:val="00357FF4"/>
    <w:rsid w:val="003600F2"/>
    <w:rsid w:val="003614DB"/>
    <w:rsid w:val="003618A2"/>
    <w:rsid w:val="00361CD8"/>
    <w:rsid w:val="00365F84"/>
    <w:rsid w:val="003669B2"/>
    <w:rsid w:val="0036730C"/>
    <w:rsid w:val="003677D2"/>
    <w:rsid w:val="00372B48"/>
    <w:rsid w:val="0037301C"/>
    <w:rsid w:val="00373BDA"/>
    <w:rsid w:val="00374279"/>
    <w:rsid w:val="003751F5"/>
    <w:rsid w:val="00377D94"/>
    <w:rsid w:val="00383BB2"/>
    <w:rsid w:val="00383EA0"/>
    <w:rsid w:val="003859BA"/>
    <w:rsid w:val="00386C83"/>
    <w:rsid w:val="003905C3"/>
    <w:rsid w:val="00390701"/>
    <w:rsid w:val="00391978"/>
    <w:rsid w:val="003932FE"/>
    <w:rsid w:val="00394580"/>
    <w:rsid w:val="00397951"/>
    <w:rsid w:val="003A0942"/>
    <w:rsid w:val="003A2539"/>
    <w:rsid w:val="003A255E"/>
    <w:rsid w:val="003A3F5B"/>
    <w:rsid w:val="003A41DA"/>
    <w:rsid w:val="003A6851"/>
    <w:rsid w:val="003A6ED1"/>
    <w:rsid w:val="003B01CC"/>
    <w:rsid w:val="003B14BF"/>
    <w:rsid w:val="003B3C9C"/>
    <w:rsid w:val="003B428F"/>
    <w:rsid w:val="003B5112"/>
    <w:rsid w:val="003B57EE"/>
    <w:rsid w:val="003B6EAD"/>
    <w:rsid w:val="003C00E5"/>
    <w:rsid w:val="003C05A6"/>
    <w:rsid w:val="003C1D5B"/>
    <w:rsid w:val="003C23E5"/>
    <w:rsid w:val="003C34AD"/>
    <w:rsid w:val="003C34B0"/>
    <w:rsid w:val="003C4EC4"/>
    <w:rsid w:val="003C5A68"/>
    <w:rsid w:val="003C631F"/>
    <w:rsid w:val="003D0897"/>
    <w:rsid w:val="003D189B"/>
    <w:rsid w:val="003D1B40"/>
    <w:rsid w:val="003D3948"/>
    <w:rsid w:val="003D3B42"/>
    <w:rsid w:val="003D4248"/>
    <w:rsid w:val="003D4355"/>
    <w:rsid w:val="003D4767"/>
    <w:rsid w:val="003D5FCF"/>
    <w:rsid w:val="003D6425"/>
    <w:rsid w:val="003D65FD"/>
    <w:rsid w:val="003D6B97"/>
    <w:rsid w:val="003D73A1"/>
    <w:rsid w:val="003E0714"/>
    <w:rsid w:val="003E2CCB"/>
    <w:rsid w:val="003E5279"/>
    <w:rsid w:val="003E5669"/>
    <w:rsid w:val="003E66B9"/>
    <w:rsid w:val="003E683F"/>
    <w:rsid w:val="003E6EAB"/>
    <w:rsid w:val="003F06B0"/>
    <w:rsid w:val="003F0A75"/>
    <w:rsid w:val="003F1161"/>
    <w:rsid w:val="003F3B74"/>
    <w:rsid w:val="003F3EEE"/>
    <w:rsid w:val="003F4886"/>
    <w:rsid w:val="003F55A5"/>
    <w:rsid w:val="003F6CB8"/>
    <w:rsid w:val="003F73E6"/>
    <w:rsid w:val="003F7AE9"/>
    <w:rsid w:val="00404A15"/>
    <w:rsid w:val="00404E83"/>
    <w:rsid w:val="00405268"/>
    <w:rsid w:val="00406370"/>
    <w:rsid w:val="0041022C"/>
    <w:rsid w:val="00411277"/>
    <w:rsid w:val="00411546"/>
    <w:rsid w:val="004133A9"/>
    <w:rsid w:val="004134F6"/>
    <w:rsid w:val="00414988"/>
    <w:rsid w:val="0042023F"/>
    <w:rsid w:val="004213E8"/>
    <w:rsid w:val="004229FD"/>
    <w:rsid w:val="00424470"/>
    <w:rsid w:val="00427258"/>
    <w:rsid w:val="00427412"/>
    <w:rsid w:val="0042781C"/>
    <w:rsid w:val="004309B5"/>
    <w:rsid w:val="00431CEF"/>
    <w:rsid w:val="00432975"/>
    <w:rsid w:val="0043611D"/>
    <w:rsid w:val="004363A9"/>
    <w:rsid w:val="00436DB4"/>
    <w:rsid w:val="0044011C"/>
    <w:rsid w:val="0044149D"/>
    <w:rsid w:val="00443C35"/>
    <w:rsid w:val="00444A76"/>
    <w:rsid w:val="00444AC7"/>
    <w:rsid w:val="00444C8E"/>
    <w:rsid w:val="004458C5"/>
    <w:rsid w:val="0044617A"/>
    <w:rsid w:val="00446768"/>
    <w:rsid w:val="00446C24"/>
    <w:rsid w:val="00447E52"/>
    <w:rsid w:val="0045054D"/>
    <w:rsid w:val="0045415E"/>
    <w:rsid w:val="00463CBB"/>
    <w:rsid w:val="00464C49"/>
    <w:rsid w:val="0046507E"/>
    <w:rsid w:val="004655EB"/>
    <w:rsid w:val="00465BD0"/>
    <w:rsid w:val="00466DB6"/>
    <w:rsid w:val="00467BCE"/>
    <w:rsid w:val="00470B29"/>
    <w:rsid w:val="00471494"/>
    <w:rsid w:val="00471606"/>
    <w:rsid w:val="004721F2"/>
    <w:rsid w:val="00472DD5"/>
    <w:rsid w:val="00474F93"/>
    <w:rsid w:val="00476615"/>
    <w:rsid w:val="00476F79"/>
    <w:rsid w:val="004823B4"/>
    <w:rsid w:val="00487006"/>
    <w:rsid w:val="004874A4"/>
    <w:rsid w:val="00487B96"/>
    <w:rsid w:val="00490956"/>
    <w:rsid w:val="00491B80"/>
    <w:rsid w:val="00491CD0"/>
    <w:rsid w:val="004925D1"/>
    <w:rsid w:val="00495078"/>
    <w:rsid w:val="00496801"/>
    <w:rsid w:val="004969E4"/>
    <w:rsid w:val="0049766B"/>
    <w:rsid w:val="00497E54"/>
    <w:rsid w:val="004A0001"/>
    <w:rsid w:val="004A08F2"/>
    <w:rsid w:val="004A4303"/>
    <w:rsid w:val="004A6088"/>
    <w:rsid w:val="004A6342"/>
    <w:rsid w:val="004A6CB7"/>
    <w:rsid w:val="004A7D76"/>
    <w:rsid w:val="004A7E8F"/>
    <w:rsid w:val="004A7EFC"/>
    <w:rsid w:val="004B0ADF"/>
    <w:rsid w:val="004B20BD"/>
    <w:rsid w:val="004B242D"/>
    <w:rsid w:val="004B2763"/>
    <w:rsid w:val="004B39A6"/>
    <w:rsid w:val="004B3D22"/>
    <w:rsid w:val="004B6323"/>
    <w:rsid w:val="004B63C4"/>
    <w:rsid w:val="004B6CEF"/>
    <w:rsid w:val="004B7488"/>
    <w:rsid w:val="004C3679"/>
    <w:rsid w:val="004C3A7A"/>
    <w:rsid w:val="004C7D5D"/>
    <w:rsid w:val="004C7D70"/>
    <w:rsid w:val="004D10D3"/>
    <w:rsid w:val="004D35EE"/>
    <w:rsid w:val="004D41A2"/>
    <w:rsid w:val="004D47DB"/>
    <w:rsid w:val="004D7378"/>
    <w:rsid w:val="004D78EB"/>
    <w:rsid w:val="004D7D04"/>
    <w:rsid w:val="004E17CF"/>
    <w:rsid w:val="004E3A46"/>
    <w:rsid w:val="004E4201"/>
    <w:rsid w:val="004E5D01"/>
    <w:rsid w:val="004E7118"/>
    <w:rsid w:val="004E7124"/>
    <w:rsid w:val="004E7CA7"/>
    <w:rsid w:val="004F2C20"/>
    <w:rsid w:val="004F4D97"/>
    <w:rsid w:val="004F4D9B"/>
    <w:rsid w:val="004F57D1"/>
    <w:rsid w:val="004F5AB3"/>
    <w:rsid w:val="004F5DA3"/>
    <w:rsid w:val="004F7171"/>
    <w:rsid w:val="00503A4A"/>
    <w:rsid w:val="00506CCF"/>
    <w:rsid w:val="0051389D"/>
    <w:rsid w:val="005143D8"/>
    <w:rsid w:val="00514796"/>
    <w:rsid w:val="00515F42"/>
    <w:rsid w:val="005174BE"/>
    <w:rsid w:val="00520B48"/>
    <w:rsid w:val="0052151F"/>
    <w:rsid w:val="00525C1B"/>
    <w:rsid w:val="005262C3"/>
    <w:rsid w:val="0052647D"/>
    <w:rsid w:val="005268FB"/>
    <w:rsid w:val="005306C3"/>
    <w:rsid w:val="00530E4B"/>
    <w:rsid w:val="00531C24"/>
    <w:rsid w:val="00532143"/>
    <w:rsid w:val="00532AAF"/>
    <w:rsid w:val="00532C76"/>
    <w:rsid w:val="00532CB2"/>
    <w:rsid w:val="00532DF3"/>
    <w:rsid w:val="005347C1"/>
    <w:rsid w:val="00536B33"/>
    <w:rsid w:val="00537689"/>
    <w:rsid w:val="00540B76"/>
    <w:rsid w:val="005414A2"/>
    <w:rsid w:val="00541720"/>
    <w:rsid w:val="00541C36"/>
    <w:rsid w:val="005437EF"/>
    <w:rsid w:val="0054421C"/>
    <w:rsid w:val="0054436B"/>
    <w:rsid w:val="00551315"/>
    <w:rsid w:val="005560A9"/>
    <w:rsid w:val="00561BF0"/>
    <w:rsid w:val="00561D84"/>
    <w:rsid w:val="00563F40"/>
    <w:rsid w:val="00564BB3"/>
    <w:rsid w:val="00566BA4"/>
    <w:rsid w:val="005675E8"/>
    <w:rsid w:val="00570320"/>
    <w:rsid w:val="00570695"/>
    <w:rsid w:val="00570F8D"/>
    <w:rsid w:val="00572046"/>
    <w:rsid w:val="00574C89"/>
    <w:rsid w:val="0057658F"/>
    <w:rsid w:val="00577516"/>
    <w:rsid w:val="00581C23"/>
    <w:rsid w:val="0059095C"/>
    <w:rsid w:val="00590E53"/>
    <w:rsid w:val="005920C7"/>
    <w:rsid w:val="00592859"/>
    <w:rsid w:val="005A01FF"/>
    <w:rsid w:val="005A0650"/>
    <w:rsid w:val="005A2540"/>
    <w:rsid w:val="005A2F0E"/>
    <w:rsid w:val="005A3A03"/>
    <w:rsid w:val="005A4544"/>
    <w:rsid w:val="005A606F"/>
    <w:rsid w:val="005A7260"/>
    <w:rsid w:val="005B1340"/>
    <w:rsid w:val="005B1608"/>
    <w:rsid w:val="005B22FA"/>
    <w:rsid w:val="005B2F73"/>
    <w:rsid w:val="005B383A"/>
    <w:rsid w:val="005B54CF"/>
    <w:rsid w:val="005B6054"/>
    <w:rsid w:val="005B6EEC"/>
    <w:rsid w:val="005C0182"/>
    <w:rsid w:val="005C0876"/>
    <w:rsid w:val="005C0ACA"/>
    <w:rsid w:val="005C1F51"/>
    <w:rsid w:val="005C23B4"/>
    <w:rsid w:val="005C3208"/>
    <w:rsid w:val="005C38E8"/>
    <w:rsid w:val="005C4153"/>
    <w:rsid w:val="005C45F2"/>
    <w:rsid w:val="005C6698"/>
    <w:rsid w:val="005C79EC"/>
    <w:rsid w:val="005C7E98"/>
    <w:rsid w:val="005D329B"/>
    <w:rsid w:val="005D368D"/>
    <w:rsid w:val="005D4AAF"/>
    <w:rsid w:val="005D4B57"/>
    <w:rsid w:val="005D753D"/>
    <w:rsid w:val="005E15BA"/>
    <w:rsid w:val="005E1B44"/>
    <w:rsid w:val="005E35EA"/>
    <w:rsid w:val="005E419A"/>
    <w:rsid w:val="005E4C4C"/>
    <w:rsid w:val="005E6D2E"/>
    <w:rsid w:val="005E702F"/>
    <w:rsid w:val="005F33DC"/>
    <w:rsid w:val="005F4661"/>
    <w:rsid w:val="005F60A5"/>
    <w:rsid w:val="006002E8"/>
    <w:rsid w:val="006014E6"/>
    <w:rsid w:val="00601ACA"/>
    <w:rsid w:val="006046F2"/>
    <w:rsid w:val="006053FB"/>
    <w:rsid w:val="00606E7F"/>
    <w:rsid w:val="00612770"/>
    <w:rsid w:val="00615B4F"/>
    <w:rsid w:val="00616329"/>
    <w:rsid w:val="00616A6B"/>
    <w:rsid w:val="006178F5"/>
    <w:rsid w:val="00617E40"/>
    <w:rsid w:val="00620A92"/>
    <w:rsid w:val="006222B6"/>
    <w:rsid w:val="00622DB4"/>
    <w:rsid w:val="00624A60"/>
    <w:rsid w:val="00624BC0"/>
    <w:rsid w:val="00626715"/>
    <w:rsid w:val="00626AC3"/>
    <w:rsid w:val="006308D6"/>
    <w:rsid w:val="00630A5A"/>
    <w:rsid w:val="00633024"/>
    <w:rsid w:val="00635D7D"/>
    <w:rsid w:val="0063612F"/>
    <w:rsid w:val="0063616E"/>
    <w:rsid w:val="00636985"/>
    <w:rsid w:val="006373FC"/>
    <w:rsid w:val="00641594"/>
    <w:rsid w:val="00642F7D"/>
    <w:rsid w:val="0064493B"/>
    <w:rsid w:val="0064699C"/>
    <w:rsid w:val="006510B0"/>
    <w:rsid w:val="00653FCC"/>
    <w:rsid w:val="006541A3"/>
    <w:rsid w:val="00654AF8"/>
    <w:rsid w:val="00654FC3"/>
    <w:rsid w:val="006569AE"/>
    <w:rsid w:val="00657B5F"/>
    <w:rsid w:val="00660789"/>
    <w:rsid w:val="00660997"/>
    <w:rsid w:val="006611C8"/>
    <w:rsid w:val="00662692"/>
    <w:rsid w:val="006627DC"/>
    <w:rsid w:val="0066297A"/>
    <w:rsid w:val="00663973"/>
    <w:rsid w:val="00663B0C"/>
    <w:rsid w:val="00664E5E"/>
    <w:rsid w:val="00664FA2"/>
    <w:rsid w:val="00665384"/>
    <w:rsid w:val="00665B18"/>
    <w:rsid w:val="00666CF1"/>
    <w:rsid w:val="00670120"/>
    <w:rsid w:val="0067064B"/>
    <w:rsid w:val="00670B21"/>
    <w:rsid w:val="0067441D"/>
    <w:rsid w:val="00675F2E"/>
    <w:rsid w:val="00676070"/>
    <w:rsid w:val="00676460"/>
    <w:rsid w:val="00676A77"/>
    <w:rsid w:val="00677CD0"/>
    <w:rsid w:val="00680C1F"/>
    <w:rsid w:val="00680CCE"/>
    <w:rsid w:val="00681378"/>
    <w:rsid w:val="00681603"/>
    <w:rsid w:val="006837A3"/>
    <w:rsid w:val="0068663C"/>
    <w:rsid w:val="00687DA8"/>
    <w:rsid w:val="00690666"/>
    <w:rsid w:val="00691014"/>
    <w:rsid w:val="006916DA"/>
    <w:rsid w:val="0069258C"/>
    <w:rsid w:val="00693D85"/>
    <w:rsid w:val="006977C2"/>
    <w:rsid w:val="006A0284"/>
    <w:rsid w:val="006A06FD"/>
    <w:rsid w:val="006A1438"/>
    <w:rsid w:val="006A2F41"/>
    <w:rsid w:val="006A69BB"/>
    <w:rsid w:val="006A7843"/>
    <w:rsid w:val="006A7EBC"/>
    <w:rsid w:val="006B0292"/>
    <w:rsid w:val="006B03B0"/>
    <w:rsid w:val="006B1205"/>
    <w:rsid w:val="006B156D"/>
    <w:rsid w:val="006B2BB5"/>
    <w:rsid w:val="006B4322"/>
    <w:rsid w:val="006B546D"/>
    <w:rsid w:val="006B6CAE"/>
    <w:rsid w:val="006B75CD"/>
    <w:rsid w:val="006C26BD"/>
    <w:rsid w:val="006C38E0"/>
    <w:rsid w:val="006C5300"/>
    <w:rsid w:val="006C5316"/>
    <w:rsid w:val="006C6A76"/>
    <w:rsid w:val="006C6CE6"/>
    <w:rsid w:val="006C751B"/>
    <w:rsid w:val="006D075D"/>
    <w:rsid w:val="006D22F7"/>
    <w:rsid w:val="006D379B"/>
    <w:rsid w:val="006D3FFB"/>
    <w:rsid w:val="006D48C4"/>
    <w:rsid w:val="006D5387"/>
    <w:rsid w:val="006D63A1"/>
    <w:rsid w:val="006D7CD9"/>
    <w:rsid w:val="006E0281"/>
    <w:rsid w:val="006E557D"/>
    <w:rsid w:val="006E591A"/>
    <w:rsid w:val="006E5E17"/>
    <w:rsid w:val="006F1E95"/>
    <w:rsid w:val="006F258D"/>
    <w:rsid w:val="006F3A04"/>
    <w:rsid w:val="006F61C3"/>
    <w:rsid w:val="006F6C8C"/>
    <w:rsid w:val="00700327"/>
    <w:rsid w:val="0070057C"/>
    <w:rsid w:val="00700D43"/>
    <w:rsid w:val="007022A1"/>
    <w:rsid w:val="00702891"/>
    <w:rsid w:val="007054A2"/>
    <w:rsid w:val="007070C0"/>
    <w:rsid w:val="00707785"/>
    <w:rsid w:val="0070782B"/>
    <w:rsid w:val="0071099B"/>
    <w:rsid w:val="00710C89"/>
    <w:rsid w:val="00711A02"/>
    <w:rsid w:val="00713EF2"/>
    <w:rsid w:val="00713FD5"/>
    <w:rsid w:val="00715FA7"/>
    <w:rsid w:val="0072281A"/>
    <w:rsid w:val="007230BC"/>
    <w:rsid w:val="00723EFB"/>
    <w:rsid w:val="007259CC"/>
    <w:rsid w:val="00725F0C"/>
    <w:rsid w:val="00726635"/>
    <w:rsid w:val="00727715"/>
    <w:rsid w:val="00730BE6"/>
    <w:rsid w:val="007310DE"/>
    <w:rsid w:val="007340B3"/>
    <w:rsid w:val="007340C4"/>
    <w:rsid w:val="0073532F"/>
    <w:rsid w:val="00736F62"/>
    <w:rsid w:val="007376F5"/>
    <w:rsid w:val="00740E9B"/>
    <w:rsid w:val="007446C1"/>
    <w:rsid w:val="00744E29"/>
    <w:rsid w:val="00750C33"/>
    <w:rsid w:val="0075232B"/>
    <w:rsid w:val="0075289B"/>
    <w:rsid w:val="00752CD4"/>
    <w:rsid w:val="007540DA"/>
    <w:rsid w:val="007559AD"/>
    <w:rsid w:val="007610E7"/>
    <w:rsid w:val="007636D9"/>
    <w:rsid w:val="0076662C"/>
    <w:rsid w:val="007703F0"/>
    <w:rsid w:val="007717EC"/>
    <w:rsid w:val="00771EC0"/>
    <w:rsid w:val="00773351"/>
    <w:rsid w:val="00775131"/>
    <w:rsid w:val="0077519C"/>
    <w:rsid w:val="0078061F"/>
    <w:rsid w:val="007829CD"/>
    <w:rsid w:val="0078442D"/>
    <w:rsid w:val="00784629"/>
    <w:rsid w:val="00785167"/>
    <w:rsid w:val="0078594D"/>
    <w:rsid w:val="0078671B"/>
    <w:rsid w:val="00786896"/>
    <w:rsid w:val="00786CC7"/>
    <w:rsid w:val="007872B3"/>
    <w:rsid w:val="0079156E"/>
    <w:rsid w:val="007937E1"/>
    <w:rsid w:val="007952DE"/>
    <w:rsid w:val="0079740E"/>
    <w:rsid w:val="00797948"/>
    <w:rsid w:val="007A1CF4"/>
    <w:rsid w:val="007A263E"/>
    <w:rsid w:val="007A40E1"/>
    <w:rsid w:val="007A5D77"/>
    <w:rsid w:val="007A5E0A"/>
    <w:rsid w:val="007A73F9"/>
    <w:rsid w:val="007A7656"/>
    <w:rsid w:val="007A7BEE"/>
    <w:rsid w:val="007A7F60"/>
    <w:rsid w:val="007B0036"/>
    <w:rsid w:val="007B07A6"/>
    <w:rsid w:val="007B1756"/>
    <w:rsid w:val="007B19C9"/>
    <w:rsid w:val="007B6D1D"/>
    <w:rsid w:val="007C0295"/>
    <w:rsid w:val="007C1B5B"/>
    <w:rsid w:val="007C1DFD"/>
    <w:rsid w:val="007C240D"/>
    <w:rsid w:val="007C2F95"/>
    <w:rsid w:val="007C402F"/>
    <w:rsid w:val="007C4984"/>
    <w:rsid w:val="007C58AB"/>
    <w:rsid w:val="007C7E55"/>
    <w:rsid w:val="007D4167"/>
    <w:rsid w:val="007D7754"/>
    <w:rsid w:val="007E1C4B"/>
    <w:rsid w:val="007E1CDA"/>
    <w:rsid w:val="007E2C99"/>
    <w:rsid w:val="007E3535"/>
    <w:rsid w:val="007E39EF"/>
    <w:rsid w:val="007E4613"/>
    <w:rsid w:val="007E4830"/>
    <w:rsid w:val="007E4AD0"/>
    <w:rsid w:val="007E536B"/>
    <w:rsid w:val="007E58D0"/>
    <w:rsid w:val="007E5CCA"/>
    <w:rsid w:val="007E61F1"/>
    <w:rsid w:val="007E66B9"/>
    <w:rsid w:val="007E717D"/>
    <w:rsid w:val="00801EB2"/>
    <w:rsid w:val="00802A3E"/>
    <w:rsid w:val="00804251"/>
    <w:rsid w:val="00804A7F"/>
    <w:rsid w:val="008053F3"/>
    <w:rsid w:val="00807583"/>
    <w:rsid w:val="00807D3D"/>
    <w:rsid w:val="0081045F"/>
    <w:rsid w:val="00810B54"/>
    <w:rsid w:val="008122FC"/>
    <w:rsid w:val="00813936"/>
    <w:rsid w:val="008142EE"/>
    <w:rsid w:val="0081471F"/>
    <w:rsid w:val="00815029"/>
    <w:rsid w:val="00815E3B"/>
    <w:rsid w:val="0081710A"/>
    <w:rsid w:val="00820319"/>
    <w:rsid w:val="0082039D"/>
    <w:rsid w:val="00820656"/>
    <w:rsid w:val="00821A49"/>
    <w:rsid w:val="00821F6D"/>
    <w:rsid w:val="008235B9"/>
    <w:rsid w:val="008265FC"/>
    <w:rsid w:val="00830DAE"/>
    <w:rsid w:val="00831612"/>
    <w:rsid w:val="0083326B"/>
    <w:rsid w:val="00834A5D"/>
    <w:rsid w:val="00834A6D"/>
    <w:rsid w:val="00834A9C"/>
    <w:rsid w:val="00835F6D"/>
    <w:rsid w:val="00837451"/>
    <w:rsid w:val="008406DB"/>
    <w:rsid w:val="00840D00"/>
    <w:rsid w:val="008416B2"/>
    <w:rsid w:val="00841B28"/>
    <w:rsid w:val="00841C41"/>
    <w:rsid w:val="008420B7"/>
    <w:rsid w:val="008425FC"/>
    <w:rsid w:val="00843FF5"/>
    <w:rsid w:val="00844B74"/>
    <w:rsid w:val="00846DC6"/>
    <w:rsid w:val="00846E6F"/>
    <w:rsid w:val="00847671"/>
    <w:rsid w:val="00850DF3"/>
    <w:rsid w:val="00851138"/>
    <w:rsid w:val="0085119B"/>
    <w:rsid w:val="008521C4"/>
    <w:rsid w:val="00854E73"/>
    <w:rsid w:val="0085774E"/>
    <w:rsid w:val="00863048"/>
    <w:rsid w:val="008630B2"/>
    <w:rsid w:val="00867524"/>
    <w:rsid w:val="0087059F"/>
    <w:rsid w:val="00871473"/>
    <w:rsid w:val="00872622"/>
    <w:rsid w:val="0087310B"/>
    <w:rsid w:val="00873C2A"/>
    <w:rsid w:val="008740BD"/>
    <w:rsid w:val="0087468E"/>
    <w:rsid w:val="00874D06"/>
    <w:rsid w:val="00874EAE"/>
    <w:rsid w:val="00876109"/>
    <w:rsid w:val="00877B39"/>
    <w:rsid w:val="00881F10"/>
    <w:rsid w:val="00884174"/>
    <w:rsid w:val="00884458"/>
    <w:rsid w:val="00885202"/>
    <w:rsid w:val="008854C0"/>
    <w:rsid w:val="00886224"/>
    <w:rsid w:val="0088675F"/>
    <w:rsid w:val="008907F1"/>
    <w:rsid w:val="00891DC5"/>
    <w:rsid w:val="00893605"/>
    <w:rsid w:val="00893DB1"/>
    <w:rsid w:val="008956B7"/>
    <w:rsid w:val="008A1198"/>
    <w:rsid w:val="008A3E45"/>
    <w:rsid w:val="008A3EF8"/>
    <w:rsid w:val="008A61BC"/>
    <w:rsid w:val="008B0791"/>
    <w:rsid w:val="008B1923"/>
    <w:rsid w:val="008B25D1"/>
    <w:rsid w:val="008B25ED"/>
    <w:rsid w:val="008B3D62"/>
    <w:rsid w:val="008B5619"/>
    <w:rsid w:val="008B595F"/>
    <w:rsid w:val="008B6485"/>
    <w:rsid w:val="008C4FC5"/>
    <w:rsid w:val="008C78A9"/>
    <w:rsid w:val="008D1D82"/>
    <w:rsid w:val="008D2870"/>
    <w:rsid w:val="008D376E"/>
    <w:rsid w:val="008D4A49"/>
    <w:rsid w:val="008D4EB3"/>
    <w:rsid w:val="008D5260"/>
    <w:rsid w:val="008D5485"/>
    <w:rsid w:val="008D626C"/>
    <w:rsid w:val="008E1883"/>
    <w:rsid w:val="008E1E43"/>
    <w:rsid w:val="008E514D"/>
    <w:rsid w:val="008E529E"/>
    <w:rsid w:val="008E5CDC"/>
    <w:rsid w:val="008E787C"/>
    <w:rsid w:val="008F065A"/>
    <w:rsid w:val="008F0AC6"/>
    <w:rsid w:val="008F18B0"/>
    <w:rsid w:val="008F4E92"/>
    <w:rsid w:val="008F616F"/>
    <w:rsid w:val="008F654C"/>
    <w:rsid w:val="008F6AC3"/>
    <w:rsid w:val="008F759F"/>
    <w:rsid w:val="009000F6"/>
    <w:rsid w:val="00900FEB"/>
    <w:rsid w:val="00901936"/>
    <w:rsid w:val="00901959"/>
    <w:rsid w:val="009036A8"/>
    <w:rsid w:val="00903874"/>
    <w:rsid w:val="00903E5D"/>
    <w:rsid w:val="00904C98"/>
    <w:rsid w:val="00904FA0"/>
    <w:rsid w:val="00905109"/>
    <w:rsid w:val="00905A0B"/>
    <w:rsid w:val="00905A83"/>
    <w:rsid w:val="009074EF"/>
    <w:rsid w:val="0090787C"/>
    <w:rsid w:val="00907BE2"/>
    <w:rsid w:val="00907D6F"/>
    <w:rsid w:val="009134E3"/>
    <w:rsid w:val="00914623"/>
    <w:rsid w:val="009149AC"/>
    <w:rsid w:val="00914F2D"/>
    <w:rsid w:val="00920117"/>
    <w:rsid w:val="0092084F"/>
    <w:rsid w:val="0092134A"/>
    <w:rsid w:val="00922147"/>
    <w:rsid w:val="00922E08"/>
    <w:rsid w:val="00923C77"/>
    <w:rsid w:val="00924740"/>
    <w:rsid w:val="00926EC2"/>
    <w:rsid w:val="00931604"/>
    <w:rsid w:val="00931E1A"/>
    <w:rsid w:val="00932010"/>
    <w:rsid w:val="00933D53"/>
    <w:rsid w:val="00934191"/>
    <w:rsid w:val="00935F93"/>
    <w:rsid w:val="0093660D"/>
    <w:rsid w:val="00941263"/>
    <w:rsid w:val="009422A4"/>
    <w:rsid w:val="00942A1A"/>
    <w:rsid w:val="00943527"/>
    <w:rsid w:val="00943850"/>
    <w:rsid w:val="00943AE8"/>
    <w:rsid w:val="00953AA6"/>
    <w:rsid w:val="00953FDD"/>
    <w:rsid w:val="009553A2"/>
    <w:rsid w:val="009561AB"/>
    <w:rsid w:val="00956D99"/>
    <w:rsid w:val="00957713"/>
    <w:rsid w:val="00961736"/>
    <w:rsid w:val="009639C7"/>
    <w:rsid w:val="00964E9A"/>
    <w:rsid w:val="009651EC"/>
    <w:rsid w:val="00966EFF"/>
    <w:rsid w:val="00970928"/>
    <w:rsid w:val="009710E4"/>
    <w:rsid w:val="00971DBA"/>
    <w:rsid w:val="00972007"/>
    <w:rsid w:val="00972087"/>
    <w:rsid w:val="00972103"/>
    <w:rsid w:val="00973245"/>
    <w:rsid w:val="0097509D"/>
    <w:rsid w:val="009763A6"/>
    <w:rsid w:val="00976816"/>
    <w:rsid w:val="00976A40"/>
    <w:rsid w:val="00977A4A"/>
    <w:rsid w:val="0098056B"/>
    <w:rsid w:val="00980FCA"/>
    <w:rsid w:val="009810BE"/>
    <w:rsid w:val="00984779"/>
    <w:rsid w:val="009871C7"/>
    <w:rsid w:val="009900D7"/>
    <w:rsid w:val="009906EE"/>
    <w:rsid w:val="0099263A"/>
    <w:rsid w:val="009944DC"/>
    <w:rsid w:val="009A0B1A"/>
    <w:rsid w:val="009A568A"/>
    <w:rsid w:val="009B1C31"/>
    <w:rsid w:val="009B4724"/>
    <w:rsid w:val="009B5556"/>
    <w:rsid w:val="009B60A5"/>
    <w:rsid w:val="009B65ED"/>
    <w:rsid w:val="009B710C"/>
    <w:rsid w:val="009B72F5"/>
    <w:rsid w:val="009C07F3"/>
    <w:rsid w:val="009C0B44"/>
    <w:rsid w:val="009C38B4"/>
    <w:rsid w:val="009C439D"/>
    <w:rsid w:val="009C46E5"/>
    <w:rsid w:val="009C7C08"/>
    <w:rsid w:val="009D04CD"/>
    <w:rsid w:val="009D0B9F"/>
    <w:rsid w:val="009D1CAA"/>
    <w:rsid w:val="009D22B8"/>
    <w:rsid w:val="009D38C9"/>
    <w:rsid w:val="009D4D15"/>
    <w:rsid w:val="009D7261"/>
    <w:rsid w:val="009E0EE4"/>
    <w:rsid w:val="009E15E4"/>
    <w:rsid w:val="009E3697"/>
    <w:rsid w:val="009E54E8"/>
    <w:rsid w:val="009E5ABF"/>
    <w:rsid w:val="009E67B8"/>
    <w:rsid w:val="009E7310"/>
    <w:rsid w:val="009E754D"/>
    <w:rsid w:val="009F154A"/>
    <w:rsid w:val="009F16CC"/>
    <w:rsid w:val="009F2F5F"/>
    <w:rsid w:val="009F58CA"/>
    <w:rsid w:val="009F622C"/>
    <w:rsid w:val="009F71EA"/>
    <w:rsid w:val="00A01157"/>
    <w:rsid w:val="00A01D4B"/>
    <w:rsid w:val="00A02403"/>
    <w:rsid w:val="00A028DC"/>
    <w:rsid w:val="00A03326"/>
    <w:rsid w:val="00A041B0"/>
    <w:rsid w:val="00A0452A"/>
    <w:rsid w:val="00A04AF6"/>
    <w:rsid w:val="00A05DFC"/>
    <w:rsid w:val="00A06172"/>
    <w:rsid w:val="00A06876"/>
    <w:rsid w:val="00A06DD5"/>
    <w:rsid w:val="00A10624"/>
    <w:rsid w:val="00A10DCE"/>
    <w:rsid w:val="00A11268"/>
    <w:rsid w:val="00A11FF2"/>
    <w:rsid w:val="00A13E72"/>
    <w:rsid w:val="00A149FC"/>
    <w:rsid w:val="00A162F0"/>
    <w:rsid w:val="00A1664B"/>
    <w:rsid w:val="00A1694C"/>
    <w:rsid w:val="00A16AA5"/>
    <w:rsid w:val="00A21182"/>
    <w:rsid w:val="00A22CA9"/>
    <w:rsid w:val="00A23A80"/>
    <w:rsid w:val="00A24075"/>
    <w:rsid w:val="00A240C1"/>
    <w:rsid w:val="00A25380"/>
    <w:rsid w:val="00A25E79"/>
    <w:rsid w:val="00A3008B"/>
    <w:rsid w:val="00A32EB5"/>
    <w:rsid w:val="00A3384A"/>
    <w:rsid w:val="00A341D4"/>
    <w:rsid w:val="00A34651"/>
    <w:rsid w:val="00A35FAF"/>
    <w:rsid w:val="00A366DC"/>
    <w:rsid w:val="00A36780"/>
    <w:rsid w:val="00A368BF"/>
    <w:rsid w:val="00A410CD"/>
    <w:rsid w:val="00A45957"/>
    <w:rsid w:val="00A46CAF"/>
    <w:rsid w:val="00A472B6"/>
    <w:rsid w:val="00A47617"/>
    <w:rsid w:val="00A500AA"/>
    <w:rsid w:val="00A50A00"/>
    <w:rsid w:val="00A51096"/>
    <w:rsid w:val="00A535F6"/>
    <w:rsid w:val="00A54011"/>
    <w:rsid w:val="00A54A76"/>
    <w:rsid w:val="00A54D54"/>
    <w:rsid w:val="00A56540"/>
    <w:rsid w:val="00A57023"/>
    <w:rsid w:val="00A60796"/>
    <w:rsid w:val="00A6085E"/>
    <w:rsid w:val="00A633AD"/>
    <w:rsid w:val="00A63A89"/>
    <w:rsid w:val="00A65030"/>
    <w:rsid w:val="00A655FE"/>
    <w:rsid w:val="00A6657F"/>
    <w:rsid w:val="00A733E7"/>
    <w:rsid w:val="00A7483B"/>
    <w:rsid w:val="00A76D3A"/>
    <w:rsid w:val="00A800CC"/>
    <w:rsid w:val="00A808C3"/>
    <w:rsid w:val="00A80FA9"/>
    <w:rsid w:val="00A81B97"/>
    <w:rsid w:val="00A82B37"/>
    <w:rsid w:val="00A82CDF"/>
    <w:rsid w:val="00A83A93"/>
    <w:rsid w:val="00A83E5F"/>
    <w:rsid w:val="00A907CD"/>
    <w:rsid w:val="00A90CA0"/>
    <w:rsid w:val="00A91282"/>
    <w:rsid w:val="00A91DCD"/>
    <w:rsid w:val="00A92F84"/>
    <w:rsid w:val="00A93A80"/>
    <w:rsid w:val="00A93C00"/>
    <w:rsid w:val="00AA0464"/>
    <w:rsid w:val="00AA137E"/>
    <w:rsid w:val="00AA2CCC"/>
    <w:rsid w:val="00AA316A"/>
    <w:rsid w:val="00AA4286"/>
    <w:rsid w:val="00AA5B4B"/>
    <w:rsid w:val="00AA74C3"/>
    <w:rsid w:val="00AB0F8D"/>
    <w:rsid w:val="00AB5D9F"/>
    <w:rsid w:val="00AB70CC"/>
    <w:rsid w:val="00AC192B"/>
    <w:rsid w:val="00AC203C"/>
    <w:rsid w:val="00AC4161"/>
    <w:rsid w:val="00AC46E7"/>
    <w:rsid w:val="00AC5062"/>
    <w:rsid w:val="00AC5E74"/>
    <w:rsid w:val="00AC7E43"/>
    <w:rsid w:val="00AD12A4"/>
    <w:rsid w:val="00AD2202"/>
    <w:rsid w:val="00AD4401"/>
    <w:rsid w:val="00AD4D4C"/>
    <w:rsid w:val="00AD538E"/>
    <w:rsid w:val="00AD5447"/>
    <w:rsid w:val="00AE4B14"/>
    <w:rsid w:val="00AF2DC1"/>
    <w:rsid w:val="00AF477B"/>
    <w:rsid w:val="00AF5403"/>
    <w:rsid w:val="00AF54CC"/>
    <w:rsid w:val="00AF5678"/>
    <w:rsid w:val="00B01904"/>
    <w:rsid w:val="00B0294E"/>
    <w:rsid w:val="00B0344D"/>
    <w:rsid w:val="00B05683"/>
    <w:rsid w:val="00B07352"/>
    <w:rsid w:val="00B10D26"/>
    <w:rsid w:val="00B10F97"/>
    <w:rsid w:val="00B115F8"/>
    <w:rsid w:val="00B11A59"/>
    <w:rsid w:val="00B141CF"/>
    <w:rsid w:val="00B14623"/>
    <w:rsid w:val="00B16086"/>
    <w:rsid w:val="00B2213B"/>
    <w:rsid w:val="00B22734"/>
    <w:rsid w:val="00B2299C"/>
    <w:rsid w:val="00B22B77"/>
    <w:rsid w:val="00B234B4"/>
    <w:rsid w:val="00B24CA0"/>
    <w:rsid w:val="00B265AB"/>
    <w:rsid w:val="00B27FAB"/>
    <w:rsid w:val="00B3143B"/>
    <w:rsid w:val="00B324BD"/>
    <w:rsid w:val="00B32FFC"/>
    <w:rsid w:val="00B33A85"/>
    <w:rsid w:val="00B343EA"/>
    <w:rsid w:val="00B34C29"/>
    <w:rsid w:val="00B350FA"/>
    <w:rsid w:val="00B360B2"/>
    <w:rsid w:val="00B368BD"/>
    <w:rsid w:val="00B41D2A"/>
    <w:rsid w:val="00B41DC9"/>
    <w:rsid w:val="00B41F5F"/>
    <w:rsid w:val="00B42E5A"/>
    <w:rsid w:val="00B42E6E"/>
    <w:rsid w:val="00B45191"/>
    <w:rsid w:val="00B45E36"/>
    <w:rsid w:val="00B4665F"/>
    <w:rsid w:val="00B50AEF"/>
    <w:rsid w:val="00B53332"/>
    <w:rsid w:val="00B54072"/>
    <w:rsid w:val="00B54172"/>
    <w:rsid w:val="00B5467C"/>
    <w:rsid w:val="00B55ED8"/>
    <w:rsid w:val="00B55EF3"/>
    <w:rsid w:val="00B6127E"/>
    <w:rsid w:val="00B617DF"/>
    <w:rsid w:val="00B6191B"/>
    <w:rsid w:val="00B624AC"/>
    <w:rsid w:val="00B6277F"/>
    <w:rsid w:val="00B62805"/>
    <w:rsid w:val="00B63129"/>
    <w:rsid w:val="00B63E9D"/>
    <w:rsid w:val="00B641D3"/>
    <w:rsid w:val="00B67B7C"/>
    <w:rsid w:val="00B70257"/>
    <w:rsid w:val="00B72F66"/>
    <w:rsid w:val="00B749A8"/>
    <w:rsid w:val="00B7608A"/>
    <w:rsid w:val="00B7659F"/>
    <w:rsid w:val="00B80ACB"/>
    <w:rsid w:val="00B826D7"/>
    <w:rsid w:val="00B82C3A"/>
    <w:rsid w:val="00B83DAB"/>
    <w:rsid w:val="00B862E3"/>
    <w:rsid w:val="00B93DF6"/>
    <w:rsid w:val="00B94272"/>
    <w:rsid w:val="00B94631"/>
    <w:rsid w:val="00B95636"/>
    <w:rsid w:val="00B96A90"/>
    <w:rsid w:val="00B97076"/>
    <w:rsid w:val="00BA061C"/>
    <w:rsid w:val="00BA2BA9"/>
    <w:rsid w:val="00BA30AB"/>
    <w:rsid w:val="00BA3467"/>
    <w:rsid w:val="00BA45A2"/>
    <w:rsid w:val="00BA4AB3"/>
    <w:rsid w:val="00BA5074"/>
    <w:rsid w:val="00BA6060"/>
    <w:rsid w:val="00BA668F"/>
    <w:rsid w:val="00BB160D"/>
    <w:rsid w:val="00BB1F20"/>
    <w:rsid w:val="00BB235C"/>
    <w:rsid w:val="00BB2DD8"/>
    <w:rsid w:val="00BB3B37"/>
    <w:rsid w:val="00BB43FA"/>
    <w:rsid w:val="00BB68E6"/>
    <w:rsid w:val="00BB6A1D"/>
    <w:rsid w:val="00BB6CEF"/>
    <w:rsid w:val="00BB6E24"/>
    <w:rsid w:val="00BC0438"/>
    <w:rsid w:val="00BC40F6"/>
    <w:rsid w:val="00BC487B"/>
    <w:rsid w:val="00BC7293"/>
    <w:rsid w:val="00BD0036"/>
    <w:rsid w:val="00BD1499"/>
    <w:rsid w:val="00BD1E5C"/>
    <w:rsid w:val="00BD2092"/>
    <w:rsid w:val="00BD2BC4"/>
    <w:rsid w:val="00BD394A"/>
    <w:rsid w:val="00BD4825"/>
    <w:rsid w:val="00BD4A56"/>
    <w:rsid w:val="00BD4CD3"/>
    <w:rsid w:val="00BD5515"/>
    <w:rsid w:val="00BD69FD"/>
    <w:rsid w:val="00BD750C"/>
    <w:rsid w:val="00BE0104"/>
    <w:rsid w:val="00BE0D2A"/>
    <w:rsid w:val="00BE18D9"/>
    <w:rsid w:val="00BE2696"/>
    <w:rsid w:val="00BE2DA4"/>
    <w:rsid w:val="00BE5B05"/>
    <w:rsid w:val="00BE75C3"/>
    <w:rsid w:val="00BE7B0C"/>
    <w:rsid w:val="00BF118F"/>
    <w:rsid w:val="00BF54B5"/>
    <w:rsid w:val="00BF55B1"/>
    <w:rsid w:val="00BF5942"/>
    <w:rsid w:val="00BF7A11"/>
    <w:rsid w:val="00BF7CC7"/>
    <w:rsid w:val="00C01363"/>
    <w:rsid w:val="00C01888"/>
    <w:rsid w:val="00C0584C"/>
    <w:rsid w:val="00C06E46"/>
    <w:rsid w:val="00C07EC6"/>
    <w:rsid w:val="00C105CF"/>
    <w:rsid w:val="00C12486"/>
    <w:rsid w:val="00C125B4"/>
    <w:rsid w:val="00C13B49"/>
    <w:rsid w:val="00C14D67"/>
    <w:rsid w:val="00C14D87"/>
    <w:rsid w:val="00C163CB"/>
    <w:rsid w:val="00C16507"/>
    <w:rsid w:val="00C20082"/>
    <w:rsid w:val="00C203EC"/>
    <w:rsid w:val="00C210B5"/>
    <w:rsid w:val="00C21FCC"/>
    <w:rsid w:val="00C223EF"/>
    <w:rsid w:val="00C226A4"/>
    <w:rsid w:val="00C22C7D"/>
    <w:rsid w:val="00C22F98"/>
    <w:rsid w:val="00C2347F"/>
    <w:rsid w:val="00C245A3"/>
    <w:rsid w:val="00C2469E"/>
    <w:rsid w:val="00C249DE"/>
    <w:rsid w:val="00C26342"/>
    <w:rsid w:val="00C2791F"/>
    <w:rsid w:val="00C30103"/>
    <w:rsid w:val="00C31424"/>
    <w:rsid w:val="00C32FE2"/>
    <w:rsid w:val="00C3379D"/>
    <w:rsid w:val="00C3438E"/>
    <w:rsid w:val="00C35B50"/>
    <w:rsid w:val="00C364BE"/>
    <w:rsid w:val="00C404C9"/>
    <w:rsid w:val="00C414A4"/>
    <w:rsid w:val="00C4486E"/>
    <w:rsid w:val="00C45B08"/>
    <w:rsid w:val="00C46141"/>
    <w:rsid w:val="00C5051D"/>
    <w:rsid w:val="00C5266C"/>
    <w:rsid w:val="00C52DFD"/>
    <w:rsid w:val="00C53B7F"/>
    <w:rsid w:val="00C549B7"/>
    <w:rsid w:val="00C550DC"/>
    <w:rsid w:val="00C55926"/>
    <w:rsid w:val="00C561D1"/>
    <w:rsid w:val="00C567FF"/>
    <w:rsid w:val="00C56F2C"/>
    <w:rsid w:val="00C57B85"/>
    <w:rsid w:val="00C6221B"/>
    <w:rsid w:val="00C627A1"/>
    <w:rsid w:val="00C637F8"/>
    <w:rsid w:val="00C6385B"/>
    <w:rsid w:val="00C639D0"/>
    <w:rsid w:val="00C63B13"/>
    <w:rsid w:val="00C64182"/>
    <w:rsid w:val="00C64A51"/>
    <w:rsid w:val="00C650CF"/>
    <w:rsid w:val="00C658CE"/>
    <w:rsid w:val="00C7038A"/>
    <w:rsid w:val="00C72250"/>
    <w:rsid w:val="00C73DC7"/>
    <w:rsid w:val="00C7425A"/>
    <w:rsid w:val="00C7469E"/>
    <w:rsid w:val="00C748AD"/>
    <w:rsid w:val="00C77D68"/>
    <w:rsid w:val="00C8278D"/>
    <w:rsid w:val="00C8307C"/>
    <w:rsid w:val="00C832BB"/>
    <w:rsid w:val="00C834F2"/>
    <w:rsid w:val="00C84C90"/>
    <w:rsid w:val="00C852D0"/>
    <w:rsid w:val="00C86DC6"/>
    <w:rsid w:val="00C8762A"/>
    <w:rsid w:val="00C87F81"/>
    <w:rsid w:val="00C91D93"/>
    <w:rsid w:val="00C921AE"/>
    <w:rsid w:val="00C92E62"/>
    <w:rsid w:val="00C9307A"/>
    <w:rsid w:val="00C93263"/>
    <w:rsid w:val="00C94150"/>
    <w:rsid w:val="00C94234"/>
    <w:rsid w:val="00C978F6"/>
    <w:rsid w:val="00CA3FEC"/>
    <w:rsid w:val="00CA439C"/>
    <w:rsid w:val="00CA509A"/>
    <w:rsid w:val="00CA7492"/>
    <w:rsid w:val="00CA7A4A"/>
    <w:rsid w:val="00CB1321"/>
    <w:rsid w:val="00CB35A9"/>
    <w:rsid w:val="00CB522E"/>
    <w:rsid w:val="00CC2C26"/>
    <w:rsid w:val="00CC2CB5"/>
    <w:rsid w:val="00CC30CE"/>
    <w:rsid w:val="00CC4CA3"/>
    <w:rsid w:val="00CC63D9"/>
    <w:rsid w:val="00CC7298"/>
    <w:rsid w:val="00CD0E68"/>
    <w:rsid w:val="00CD1395"/>
    <w:rsid w:val="00CD16F7"/>
    <w:rsid w:val="00CD1A37"/>
    <w:rsid w:val="00CD2546"/>
    <w:rsid w:val="00CD3105"/>
    <w:rsid w:val="00CD4898"/>
    <w:rsid w:val="00CD5C86"/>
    <w:rsid w:val="00CD6358"/>
    <w:rsid w:val="00CE1410"/>
    <w:rsid w:val="00CE357A"/>
    <w:rsid w:val="00CE5CF0"/>
    <w:rsid w:val="00CE6205"/>
    <w:rsid w:val="00CE78FD"/>
    <w:rsid w:val="00CE7EF2"/>
    <w:rsid w:val="00CF22F0"/>
    <w:rsid w:val="00CF2318"/>
    <w:rsid w:val="00CF331F"/>
    <w:rsid w:val="00CF3FD5"/>
    <w:rsid w:val="00CF7911"/>
    <w:rsid w:val="00CF7EF3"/>
    <w:rsid w:val="00D0072D"/>
    <w:rsid w:val="00D01833"/>
    <w:rsid w:val="00D03E05"/>
    <w:rsid w:val="00D04311"/>
    <w:rsid w:val="00D04981"/>
    <w:rsid w:val="00D051A6"/>
    <w:rsid w:val="00D072C3"/>
    <w:rsid w:val="00D07902"/>
    <w:rsid w:val="00D10587"/>
    <w:rsid w:val="00D11300"/>
    <w:rsid w:val="00D132A9"/>
    <w:rsid w:val="00D139D5"/>
    <w:rsid w:val="00D1519F"/>
    <w:rsid w:val="00D16363"/>
    <w:rsid w:val="00D175C7"/>
    <w:rsid w:val="00D22AF2"/>
    <w:rsid w:val="00D241C1"/>
    <w:rsid w:val="00D24EC2"/>
    <w:rsid w:val="00D25686"/>
    <w:rsid w:val="00D25F0D"/>
    <w:rsid w:val="00D267E0"/>
    <w:rsid w:val="00D2687B"/>
    <w:rsid w:val="00D268C3"/>
    <w:rsid w:val="00D30845"/>
    <w:rsid w:val="00D31059"/>
    <w:rsid w:val="00D32943"/>
    <w:rsid w:val="00D34543"/>
    <w:rsid w:val="00D35665"/>
    <w:rsid w:val="00D35D80"/>
    <w:rsid w:val="00D40D35"/>
    <w:rsid w:val="00D4230C"/>
    <w:rsid w:val="00D43A3B"/>
    <w:rsid w:val="00D43CA7"/>
    <w:rsid w:val="00D475C8"/>
    <w:rsid w:val="00D50339"/>
    <w:rsid w:val="00D535BF"/>
    <w:rsid w:val="00D54320"/>
    <w:rsid w:val="00D54400"/>
    <w:rsid w:val="00D54618"/>
    <w:rsid w:val="00D57BF4"/>
    <w:rsid w:val="00D57CC1"/>
    <w:rsid w:val="00D61889"/>
    <w:rsid w:val="00D61BFB"/>
    <w:rsid w:val="00D64C09"/>
    <w:rsid w:val="00D66BA8"/>
    <w:rsid w:val="00D702AF"/>
    <w:rsid w:val="00D7125F"/>
    <w:rsid w:val="00D7136B"/>
    <w:rsid w:val="00D72AA2"/>
    <w:rsid w:val="00D764ED"/>
    <w:rsid w:val="00D76805"/>
    <w:rsid w:val="00D76B5D"/>
    <w:rsid w:val="00D803F9"/>
    <w:rsid w:val="00D80D37"/>
    <w:rsid w:val="00D8279C"/>
    <w:rsid w:val="00D83133"/>
    <w:rsid w:val="00D83890"/>
    <w:rsid w:val="00D8391F"/>
    <w:rsid w:val="00D84EE9"/>
    <w:rsid w:val="00D87F3A"/>
    <w:rsid w:val="00D912F0"/>
    <w:rsid w:val="00D97E17"/>
    <w:rsid w:val="00DA42E3"/>
    <w:rsid w:val="00DA4CD0"/>
    <w:rsid w:val="00DA5745"/>
    <w:rsid w:val="00DA622C"/>
    <w:rsid w:val="00DA66A9"/>
    <w:rsid w:val="00DA6B1F"/>
    <w:rsid w:val="00DB1188"/>
    <w:rsid w:val="00DB193F"/>
    <w:rsid w:val="00DB2FF3"/>
    <w:rsid w:val="00DB450E"/>
    <w:rsid w:val="00DB54AD"/>
    <w:rsid w:val="00DB6982"/>
    <w:rsid w:val="00DC0726"/>
    <w:rsid w:val="00DC10A2"/>
    <w:rsid w:val="00DC14DC"/>
    <w:rsid w:val="00DC21A7"/>
    <w:rsid w:val="00DC2526"/>
    <w:rsid w:val="00DC5B3C"/>
    <w:rsid w:val="00DC7F14"/>
    <w:rsid w:val="00DD194B"/>
    <w:rsid w:val="00DD38EB"/>
    <w:rsid w:val="00DD5480"/>
    <w:rsid w:val="00DD6675"/>
    <w:rsid w:val="00DD6A1D"/>
    <w:rsid w:val="00DD77CF"/>
    <w:rsid w:val="00DD7A95"/>
    <w:rsid w:val="00DE0A1E"/>
    <w:rsid w:val="00DE0C90"/>
    <w:rsid w:val="00DE3E6A"/>
    <w:rsid w:val="00DE474C"/>
    <w:rsid w:val="00DE48C9"/>
    <w:rsid w:val="00DE4BA1"/>
    <w:rsid w:val="00DE5063"/>
    <w:rsid w:val="00DE7223"/>
    <w:rsid w:val="00DE7E85"/>
    <w:rsid w:val="00DF0C61"/>
    <w:rsid w:val="00DF1217"/>
    <w:rsid w:val="00DF2472"/>
    <w:rsid w:val="00DF40B3"/>
    <w:rsid w:val="00DF4B17"/>
    <w:rsid w:val="00DF688B"/>
    <w:rsid w:val="00DF6F11"/>
    <w:rsid w:val="00E001C3"/>
    <w:rsid w:val="00E00E56"/>
    <w:rsid w:val="00E019CF"/>
    <w:rsid w:val="00E02913"/>
    <w:rsid w:val="00E0359C"/>
    <w:rsid w:val="00E03858"/>
    <w:rsid w:val="00E038E5"/>
    <w:rsid w:val="00E0390A"/>
    <w:rsid w:val="00E03EFD"/>
    <w:rsid w:val="00E04D9B"/>
    <w:rsid w:val="00E05ACE"/>
    <w:rsid w:val="00E067AE"/>
    <w:rsid w:val="00E06C5D"/>
    <w:rsid w:val="00E0745C"/>
    <w:rsid w:val="00E10542"/>
    <w:rsid w:val="00E11A2B"/>
    <w:rsid w:val="00E11E7A"/>
    <w:rsid w:val="00E15425"/>
    <w:rsid w:val="00E22D8E"/>
    <w:rsid w:val="00E23772"/>
    <w:rsid w:val="00E246EB"/>
    <w:rsid w:val="00E251D0"/>
    <w:rsid w:val="00E258D2"/>
    <w:rsid w:val="00E26A1E"/>
    <w:rsid w:val="00E26C72"/>
    <w:rsid w:val="00E27263"/>
    <w:rsid w:val="00E2791E"/>
    <w:rsid w:val="00E31CF6"/>
    <w:rsid w:val="00E327F5"/>
    <w:rsid w:val="00E33079"/>
    <w:rsid w:val="00E33308"/>
    <w:rsid w:val="00E348FC"/>
    <w:rsid w:val="00E35588"/>
    <w:rsid w:val="00E407F6"/>
    <w:rsid w:val="00E41C2D"/>
    <w:rsid w:val="00E42B02"/>
    <w:rsid w:val="00E42F19"/>
    <w:rsid w:val="00E43485"/>
    <w:rsid w:val="00E4398F"/>
    <w:rsid w:val="00E441A4"/>
    <w:rsid w:val="00E444BF"/>
    <w:rsid w:val="00E451DE"/>
    <w:rsid w:val="00E45679"/>
    <w:rsid w:val="00E47866"/>
    <w:rsid w:val="00E53ED2"/>
    <w:rsid w:val="00E5680A"/>
    <w:rsid w:val="00E60311"/>
    <w:rsid w:val="00E60793"/>
    <w:rsid w:val="00E63D93"/>
    <w:rsid w:val="00E64522"/>
    <w:rsid w:val="00E6487C"/>
    <w:rsid w:val="00E64AFA"/>
    <w:rsid w:val="00E67C97"/>
    <w:rsid w:val="00E7001A"/>
    <w:rsid w:val="00E70284"/>
    <w:rsid w:val="00E70B04"/>
    <w:rsid w:val="00E713B1"/>
    <w:rsid w:val="00E71A5F"/>
    <w:rsid w:val="00E744C3"/>
    <w:rsid w:val="00E75198"/>
    <w:rsid w:val="00E7621A"/>
    <w:rsid w:val="00E771F0"/>
    <w:rsid w:val="00E80C1A"/>
    <w:rsid w:val="00E81553"/>
    <w:rsid w:val="00E82906"/>
    <w:rsid w:val="00E83C25"/>
    <w:rsid w:val="00E84541"/>
    <w:rsid w:val="00E85A4F"/>
    <w:rsid w:val="00E860A1"/>
    <w:rsid w:val="00E870C8"/>
    <w:rsid w:val="00E900B7"/>
    <w:rsid w:val="00E90B17"/>
    <w:rsid w:val="00E910D0"/>
    <w:rsid w:val="00E91838"/>
    <w:rsid w:val="00E92DAF"/>
    <w:rsid w:val="00E92E73"/>
    <w:rsid w:val="00E94543"/>
    <w:rsid w:val="00E95458"/>
    <w:rsid w:val="00E95C3E"/>
    <w:rsid w:val="00E968FC"/>
    <w:rsid w:val="00EA0F2B"/>
    <w:rsid w:val="00EA1580"/>
    <w:rsid w:val="00EA26A0"/>
    <w:rsid w:val="00EA3183"/>
    <w:rsid w:val="00EA393E"/>
    <w:rsid w:val="00EA430C"/>
    <w:rsid w:val="00EA4B64"/>
    <w:rsid w:val="00EA4CBB"/>
    <w:rsid w:val="00EA545B"/>
    <w:rsid w:val="00EA5640"/>
    <w:rsid w:val="00EA68AF"/>
    <w:rsid w:val="00EA7615"/>
    <w:rsid w:val="00EB0BBC"/>
    <w:rsid w:val="00EB0FE0"/>
    <w:rsid w:val="00EB1307"/>
    <w:rsid w:val="00EB1522"/>
    <w:rsid w:val="00EB19C6"/>
    <w:rsid w:val="00EB2E9A"/>
    <w:rsid w:val="00EB2F84"/>
    <w:rsid w:val="00EB4C68"/>
    <w:rsid w:val="00EB5A0C"/>
    <w:rsid w:val="00EB67A3"/>
    <w:rsid w:val="00EB6A0A"/>
    <w:rsid w:val="00EC1B80"/>
    <w:rsid w:val="00EC1F35"/>
    <w:rsid w:val="00EC2554"/>
    <w:rsid w:val="00EC2A1F"/>
    <w:rsid w:val="00EC4194"/>
    <w:rsid w:val="00EC41FA"/>
    <w:rsid w:val="00EC4D82"/>
    <w:rsid w:val="00EC70A4"/>
    <w:rsid w:val="00ED02F0"/>
    <w:rsid w:val="00ED1EB0"/>
    <w:rsid w:val="00ED1F44"/>
    <w:rsid w:val="00ED22A6"/>
    <w:rsid w:val="00ED253E"/>
    <w:rsid w:val="00ED3C47"/>
    <w:rsid w:val="00ED6194"/>
    <w:rsid w:val="00ED62B3"/>
    <w:rsid w:val="00ED72A7"/>
    <w:rsid w:val="00ED7FBE"/>
    <w:rsid w:val="00EE0D6D"/>
    <w:rsid w:val="00EE0D75"/>
    <w:rsid w:val="00EE10C8"/>
    <w:rsid w:val="00EE24BE"/>
    <w:rsid w:val="00EE3C83"/>
    <w:rsid w:val="00EE512F"/>
    <w:rsid w:val="00EE5F22"/>
    <w:rsid w:val="00EE7024"/>
    <w:rsid w:val="00EE7B45"/>
    <w:rsid w:val="00EF0124"/>
    <w:rsid w:val="00EF15F0"/>
    <w:rsid w:val="00EF1A2D"/>
    <w:rsid w:val="00EF2F8D"/>
    <w:rsid w:val="00EF3F9C"/>
    <w:rsid w:val="00EF5FDE"/>
    <w:rsid w:val="00EF6055"/>
    <w:rsid w:val="00EF71E5"/>
    <w:rsid w:val="00EF7932"/>
    <w:rsid w:val="00EF7F9C"/>
    <w:rsid w:val="00F003DA"/>
    <w:rsid w:val="00F0127A"/>
    <w:rsid w:val="00F017FF"/>
    <w:rsid w:val="00F0488F"/>
    <w:rsid w:val="00F0631A"/>
    <w:rsid w:val="00F0709E"/>
    <w:rsid w:val="00F10309"/>
    <w:rsid w:val="00F13A64"/>
    <w:rsid w:val="00F1427B"/>
    <w:rsid w:val="00F14735"/>
    <w:rsid w:val="00F1473A"/>
    <w:rsid w:val="00F14967"/>
    <w:rsid w:val="00F151F9"/>
    <w:rsid w:val="00F16AC3"/>
    <w:rsid w:val="00F16EDF"/>
    <w:rsid w:val="00F20563"/>
    <w:rsid w:val="00F205E4"/>
    <w:rsid w:val="00F209C1"/>
    <w:rsid w:val="00F220E6"/>
    <w:rsid w:val="00F22951"/>
    <w:rsid w:val="00F268EF"/>
    <w:rsid w:val="00F30E04"/>
    <w:rsid w:val="00F31359"/>
    <w:rsid w:val="00F31849"/>
    <w:rsid w:val="00F31D5C"/>
    <w:rsid w:val="00F323C9"/>
    <w:rsid w:val="00F3530F"/>
    <w:rsid w:val="00F37765"/>
    <w:rsid w:val="00F42612"/>
    <w:rsid w:val="00F451B9"/>
    <w:rsid w:val="00F502A4"/>
    <w:rsid w:val="00F50DBC"/>
    <w:rsid w:val="00F51045"/>
    <w:rsid w:val="00F536AB"/>
    <w:rsid w:val="00F536DB"/>
    <w:rsid w:val="00F53BAF"/>
    <w:rsid w:val="00F540D3"/>
    <w:rsid w:val="00F544D6"/>
    <w:rsid w:val="00F54AF5"/>
    <w:rsid w:val="00F559E0"/>
    <w:rsid w:val="00F55AE4"/>
    <w:rsid w:val="00F5725C"/>
    <w:rsid w:val="00F573A1"/>
    <w:rsid w:val="00F577C5"/>
    <w:rsid w:val="00F579B8"/>
    <w:rsid w:val="00F60E0F"/>
    <w:rsid w:val="00F62201"/>
    <w:rsid w:val="00F62DC7"/>
    <w:rsid w:val="00F67014"/>
    <w:rsid w:val="00F67DB1"/>
    <w:rsid w:val="00F70EB8"/>
    <w:rsid w:val="00F7133A"/>
    <w:rsid w:val="00F7204B"/>
    <w:rsid w:val="00F72B35"/>
    <w:rsid w:val="00F74195"/>
    <w:rsid w:val="00F779F5"/>
    <w:rsid w:val="00F8079D"/>
    <w:rsid w:val="00F815B8"/>
    <w:rsid w:val="00F82E9B"/>
    <w:rsid w:val="00F82FD8"/>
    <w:rsid w:val="00F83326"/>
    <w:rsid w:val="00F83AF9"/>
    <w:rsid w:val="00F84F08"/>
    <w:rsid w:val="00F93AF1"/>
    <w:rsid w:val="00F95B0A"/>
    <w:rsid w:val="00FA00C3"/>
    <w:rsid w:val="00FA0E3C"/>
    <w:rsid w:val="00FA2700"/>
    <w:rsid w:val="00FA2BE0"/>
    <w:rsid w:val="00FA5E0A"/>
    <w:rsid w:val="00FA7DA5"/>
    <w:rsid w:val="00FB1808"/>
    <w:rsid w:val="00FB19E1"/>
    <w:rsid w:val="00FB236C"/>
    <w:rsid w:val="00FB5118"/>
    <w:rsid w:val="00FB5151"/>
    <w:rsid w:val="00FB5963"/>
    <w:rsid w:val="00FB5E89"/>
    <w:rsid w:val="00FB6C1B"/>
    <w:rsid w:val="00FC0C53"/>
    <w:rsid w:val="00FC54FE"/>
    <w:rsid w:val="00FC7AA9"/>
    <w:rsid w:val="00FD0545"/>
    <w:rsid w:val="00FD2D60"/>
    <w:rsid w:val="00FD3770"/>
    <w:rsid w:val="00FD4386"/>
    <w:rsid w:val="00FD4695"/>
    <w:rsid w:val="00FD4FFD"/>
    <w:rsid w:val="00FD5E58"/>
    <w:rsid w:val="00FD749B"/>
    <w:rsid w:val="00FD7BAA"/>
    <w:rsid w:val="00FE1B7C"/>
    <w:rsid w:val="00FE2B2C"/>
    <w:rsid w:val="00FE3209"/>
    <w:rsid w:val="00FE604B"/>
    <w:rsid w:val="00FE6C08"/>
    <w:rsid w:val="00FF143F"/>
    <w:rsid w:val="00FF1904"/>
    <w:rsid w:val="00FF24B7"/>
    <w:rsid w:val="00FF2738"/>
    <w:rsid w:val="00FF2880"/>
    <w:rsid w:val="00FF2CAF"/>
    <w:rsid w:val="00FF342A"/>
    <w:rsid w:val="00FF3B10"/>
    <w:rsid w:val="00FF6978"/>
    <w:rsid w:val="00FF73A1"/>
    <w:rsid w:val="00FF76E0"/>
    <w:rsid w:val="00FF784B"/>
    <w:rsid w:val="01075E6D"/>
    <w:rsid w:val="01127687"/>
    <w:rsid w:val="01232F20"/>
    <w:rsid w:val="01456BB0"/>
    <w:rsid w:val="014A5BC6"/>
    <w:rsid w:val="017405A5"/>
    <w:rsid w:val="01743367"/>
    <w:rsid w:val="017F639E"/>
    <w:rsid w:val="01852048"/>
    <w:rsid w:val="0191528C"/>
    <w:rsid w:val="019B5029"/>
    <w:rsid w:val="019F324A"/>
    <w:rsid w:val="01A14191"/>
    <w:rsid w:val="01AD61B7"/>
    <w:rsid w:val="01B53867"/>
    <w:rsid w:val="01C55C4F"/>
    <w:rsid w:val="01E4433B"/>
    <w:rsid w:val="01F45032"/>
    <w:rsid w:val="01FB330F"/>
    <w:rsid w:val="021450AE"/>
    <w:rsid w:val="0222365C"/>
    <w:rsid w:val="02245568"/>
    <w:rsid w:val="022B5BF6"/>
    <w:rsid w:val="02397D05"/>
    <w:rsid w:val="024D7DBB"/>
    <w:rsid w:val="02562834"/>
    <w:rsid w:val="027D44C0"/>
    <w:rsid w:val="027E0F65"/>
    <w:rsid w:val="028712B3"/>
    <w:rsid w:val="02A44CD7"/>
    <w:rsid w:val="02A519D1"/>
    <w:rsid w:val="02AC530F"/>
    <w:rsid w:val="02B6767D"/>
    <w:rsid w:val="02C1603A"/>
    <w:rsid w:val="02C65989"/>
    <w:rsid w:val="02CB1812"/>
    <w:rsid w:val="02D1243D"/>
    <w:rsid w:val="02E5012F"/>
    <w:rsid w:val="02EE439B"/>
    <w:rsid w:val="030A729F"/>
    <w:rsid w:val="03136F16"/>
    <w:rsid w:val="03347CC6"/>
    <w:rsid w:val="03356D76"/>
    <w:rsid w:val="033A6BE5"/>
    <w:rsid w:val="033C26A4"/>
    <w:rsid w:val="0344600B"/>
    <w:rsid w:val="035D37C2"/>
    <w:rsid w:val="036F01F9"/>
    <w:rsid w:val="03783378"/>
    <w:rsid w:val="037A07DD"/>
    <w:rsid w:val="037E1405"/>
    <w:rsid w:val="03911139"/>
    <w:rsid w:val="03A7330D"/>
    <w:rsid w:val="03A9137E"/>
    <w:rsid w:val="03C20A15"/>
    <w:rsid w:val="03CC430A"/>
    <w:rsid w:val="03D056AC"/>
    <w:rsid w:val="03D57204"/>
    <w:rsid w:val="03E27D17"/>
    <w:rsid w:val="03E542D2"/>
    <w:rsid w:val="040715D9"/>
    <w:rsid w:val="0412420D"/>
    <w:rsid w:val="041D39B4"/>
    <w:rsid w:val="041E411B"/>
    <w:rsid w:val="044830F3"/>
    <w:rsid w:val="044B70A6"/>
    <w:rsid w:val="04502382"/>
    <w:rsid w:val="045D0EC6"/>
    <w:rsid w:val="047547C2"/>
    <w:rsid w:val="04794137"/>
    <w:rsid w:val="04805767"/>
    <w:rsid w:val="048440A8"/>
    <w:rsid w:val="0485698E"/>
    <w:rsid w:val="04A5095F"/>
    <w:rsid w:val="04CF0FD7"/>
    <w:rsid w:val="04DB0D4B"/>
    <w:rsid w:val="04DC1BA8"/>
    <w:rsid w:val="04E11C86"/>
    <w:rsid w:val="04F927E3"/>
    <w:rsid w:val="05090DB6"/>
    <w:rsid w:val="0514395D"/>
    <w:rsid w:val="054E25E8"/>
    <w:rsid w:val="05504781"/>
    <w:rsid w:val="05525748"/>
    <w:rsid w:val="055C0E62"/>
    <w:rsid w:val="055C692D"/>
    <w:rsid w:val="057E4FD0"/>
    <w:rsid w:val="05872E68"/>
    <w:rsid w:val="05961013"/>
    <w:rsid w:val="05AD5293"/>
    <w:rsid w:val="05B50C08"/>
    <w:rsid w:val="05BE49FD"/>
    <w:rsid w:val="05E1400D"/>
    <w:rsid w:val="05EB0B4D"/>
    <w:rsid w:val="05F169C5"/>
    <w:rsid w:val="05F23A9C"/>
    <w:rsid w:val="06113E4A"/>
    <w:rsid w:val="061F250A"/>
    <w:rsid w:val="06232EF7"/>
    <w:rsid w:val="064A26F3"/>
    <w:rsid w:val="06570AA6"/>
    <w:rsid w:val="067A3ADD"/>
    <w:rsid w:val="067B28E5"/>
    <w:rsid w:val="06881A05"/>
    <w:rsid w:val="068A38A7"/>
    <w:rsid w:val="068E4C14"/>
    <w:rsid w:val="069171A5"/>
    <w:rsid w:val="06921488"/>
    <w:rsid w:val="06947F6E"/>
    <w:rsid w:val="069D61EE"/>
    <w:rsid w:val="06A2401C"/>
    <w:rsid w:val="06BA3752"/>
    <w:rsid w:val="06BD4A50"/>
    <w:rsid w:val="06CB5523"/>
    <w:rsid w:val="06CD2D89"/>
    <w:rsid w:val="06DC193B"/>
    <w:rsid w:val="06DF5BC4"/>
    <w:rsid w:val="06E47DA5"/>
    <w:rsid w:val="06EB7465"/>
    <w:rsid w:val="06F65AB8"/>
    <w:rsid w:val="070119BD"/>
    <w:rsid w:val="07175392"/>
    <w:rsid w:val="072D75C0"/>
    <w:rsid w:val="07425EFD"/>
    <w:rsid w:val="074B3644"/>
    <w:rsid w:val="074E6806"/>
    <w:rsid w:val="0752429C"/>
    <w:rsid w:val="07860798"/>
    <w:rsid w:val="07880A79"/>
    <w:rsid w:val="078A4242"/>
    <w:rsid w:val="07907C7D"/>
    <w:rsid w:val="07A66199"/>
    <w:rsid w:val="07B637B4"/>
    <w:rsid w:val="07DC78F8"/>
    <w:rsid w:val="07E95005"/>
    <w:rsid w:val="07E95BDE"/>
    <w:rsid w:val="07EB7C40"/>
    <w:rsid w:val="08067705"/>
    <w:rsid w:val="08234A79"/>
    <w:rsid w:val="082614C7"/>
    <w:rsid w:val="082729F0"/>
    <w:rsid w:val="08283CB4"/>
    <w:rsid w:val="082D6BBC"/>
    <w:rsid w:val="084D7C40"/>
    <w:rsid w:val="085C7228"/>
    <w:rsid w:val="086064A8"/>
    <w:rsid w:val="08651677"/>
    <w:rsid w:val="08690D67"/>
    <w:rsid w:val="08723C43"/>
    <w:rsid w:val="08827C7E"/>
    <w:rsid w:val="088D4E3C"/>
    <w:rsid w:val="088E41FA"/>
    <w:rsid w:val="08A2178A"/>
    <w:rsid w:val="08A23773"/>
    <w:rsid w:val="08AF4C0A"/>
    <w:rsid w:val="08BA00C7"/>
    <w:rsid w:val="08BF593C"/>
    <w:rsid w:val="08D23241"/>
    <w:rsid w:val="08D86C46"/>
    <w:rsid w:val="08DE48C4"/>
    <w:rsid w:val="08FF12D9"/>
    <w:rsid w:val="09062D94"/>
    <w:rsid w:val="0908683F"/>
    <w:rsid w:val="090E20BA"/>
    <w:rsid w:val="09124C90"/>
    <w:rsid w:val="09280B08"/>
    <w:rsid w:val="092A49DB"/>
    <w:rsid w:val="096014B2"/>
    <w:rsid w:val="09800C2D"/>
    <w:rsid w:val="09801C65"/>
    <w:rsid w:val="099D1A31"/>
    <w:rsid w:val="09AA2096"/>
    <w:rsid w:val="09AC1370"/>
    <w:rsid w:val="09B90263"/>
    <w:rsid w:val="09BF5BE5"/>
    <w:rsid w:val="09C70496"/>
    <w:rsid w:val="09DA1766"/>
    <w:rsid w:val="09E47634"/>
    <w:rsid w:val="09F45109"/>
    <w:rsid w:val="09FD3BAF"/>
    <w:rsid w:val="0A13773B"/>
    <w:rsid w:val="0A334ECC"/>
    <w:rsid w:val="0A4038D2"/>
    <w:rsid w:val="0A4331B0"/>
    <w:rsid w:val="0A4D2460"/>
    <w:rsid w:val="0A582B80"/>
    <w:rsid w:val="0A6C6087"/>
    <w:rsid w:val="0A70605D"/>
    <w:rsid w:val="0A7656BE"/>
    <w:rsid w:val="0A79230C"/>
    <w:rsid w:val="0A7B035F"/>
    <w:rsid w:val="0A87360B"/>
    <w:rsid w:val="0A965EDA"/>
    <w:rsid w:val="0A9E71CE"/>
    <w:rsid w:val="0AA416D0"/>
    <w:rsid w:val="0AB745DA"/>
    <w:rsid w:val="0AC237A8"/>
    <w:rsid w:val="0AC24E59"/>
    <w:rsid w:val="0ADA32F5"/>
    <w:rsid w:val="0ADF5007"/>
    <w:rsid w:val="0AED718B"/>
    <w:rsid w:val="0AFA563F"/>
    <w:rsid w:val="0B154E6F"/>
    <w:rsid w:val="0B1C1040"/>
    <w:rsid w:val="0B383859"/>
    <w:rsid w:val="0B3B18EC"/>
    <w:rsid w:val="0B4A104A"/>
    <w:rsid w:val="0B5308A5"/>
    <w:rsid w:val="0B59539A"/>
    <w:rsid w:val="0B5C563A"/>
    <w:rsid w:val="0B794FE5"/>
    <w:rsid w:val="0B7B37A4"/>
    <w:rsid w:val="0BB013D9"/>
    <w:rsid w:val="0BB11005"/>
    <w:rsid w:val="0BB225B3"/>
    <w:rsid w:val="0BBE2109"/>
    <w:rsid w:val="0BFF2982"/>
    <w:rsid w:val="0C29225B"/>
    <w:rsid w:val="0C2E2A72"/>
    <w:rsid w:val="0C4C0C3D"/>
    <w:rsid w:val="0C5479F2"/>
    <w:rsid w:val="0C605F8F"/>
    <w:rsid w:val="0C694030"/>
    <w:rsid w:val="0C7027B6"/>
    <w:rsid w:val="0C803633"/>
    <w:rsid w:val="0C844203"/>
    <w:rsid w:val="0C98065D"/>
    <w:rsid w:val="0C9B4B62"/>
    <w:rsid w:val="0CA9360A"/>
    <w:rsid w:val="0CAC0BBC"/>
    <w:rsid w:val="0CB64DE1"/>
    <w:rsid w:val="0CD66428"/>
    <w:rsid w:val="0CE466F0"/>
    <w:rsid w:val="0CED1D82"/>
    <w:rsid w:val="0CF121BB"/>
    <w:rsid w:val="0CF16427"/>
    <w:rsid w:val="0CF65A15"/>
    <w:rsid w:val="0CFB00CD"/>
    <w:rsid w:val="0D094F5E"/>
    <w:rsid w:val="0D1F66D0"/>
    <w:rsid w:val="0D361CA1"/>
    <w:rsid w:val="0D4C1FD8"/>
    <w:rsid w:val="0D5F4366"/>
    <w:rsid w:val="0D781431"/>
    <w:rsid w:val="0D823117"/>
    <w:rsid w:val="0DA95F42"/>
    <w:rsid w:val="0DB90DC8"/>
    <w:rsid w:val="0DC70C9E"/>
    <w:rsid w:val="0DCC12FA"/>
    <w:rsid w:val="0DD0246C"/>
    <w:rsid w:val="0DF67486"/>
    <w:rsid w:val="0DF92F3B"/>
    <w:rsid w:val="0E09411A"/>
    <w:rsid w:val="0E0B58CF"/>
    <w:rsid w:val="0E164159"/>
    <w:rsid w:val="0E166C21"/>
    <w:rsid w:val="0E1900C5"/>
    <w:rsid w:val="0E22738E"/>
    <w:rsid w:val="0E4614DB"/>
    <w:rsid w:val="0E681E71"/>
    <w:rsid w:val="0E6B2F61"/>
    <w:rsid w:val="0E6D064E"/>
    <w:rsid w:val="0E711A6A"/>
    <w:rsid w:val="0E777E4B"/>
    <w:rsid w:val="0E832276"/>
    <w:rsid w:val="0E886413"/>
    <w:rsid w:val="0E946765"/>
    <w:rsid w:val="0E9B5A31"/>
    <w:rsid w:val="0EAB3E91"/>
    <w:rsid w:val="0EB52182"/>
    <w:rsid w:val="0EBA7D29"/>
    <w:rsid w:val="0EC14C99"/>
    <w:rsid w:val="0ED97A11"/>
    <w:rsid w:val="0EF20550"/>
    <w:rsid w:val="0EF33053"/>
    <w:rsid w:val="0EF5054C"/>
    <w:rsid w:val="0EF55C8A"/>
    <w:rsid w:val="0F145FB9"/>
    <w:rsid w:val="0F326ABF"/>
    <w:rsid w:val="0F6E462A"/>
    <w:rsid w:val="0F763C09"/>
    <w:rsid w:val="0F8868C6"/>
    <w:rsid w:val="0FA05C1E"/>
    <w:rsid w:val="0FA06B30"/>
    <w:rsid w:val="0FAB7D66"/>
    <w:rsid w:val="0FB9173F"/>
    <w:rsid w:val="0FE370D3"/>
    <w:rsid w:val="0FE7057E"/>
    <w:rsid w:val="0FFE747B"/>
    <w:rsid w:val="100A785A"/>
    <w:rsid w:val="100E4F14"/>
    <w:rsid w:val="103E049A"/>
    <w:rsid w:val="105A6281"/>
    <w:rsid w:val="10657D57"/>
    <w:rsid w:val="107432E8"/>
    <w:rsid w:val="107A79D9"/>
    <w:rsid w:val="1083301A"/>
    <w:rsid w:val="108F2916"/>
    <w:rsid w:val="10984DB8"/>
    <w:rsid w:val="109A19DD"/>
    <w:rsid w:val="10C243F4"/>
    <w:rsid w:val="10CB6575"/>
    <w:rsid w:val="10D210E3"/>
    <w:rsid w:val="1102701C"/>
    <w:rsid w:val="11037915"/>
    <w:rsid w:val="1115261C"/>
    <w:rsid w:val="112022B9"/>
    <w:rsid w:val="1137551A"/>
    <w:rsid w:val="11452DDB"/>
    <w:rsid w:val="11500A05"/>
    <w:rsid w:val="11523DAF"/>
    <w:rsid w:val="115A5096"/>
    <w:rsid w:val="115A6C5C"/>
    <w:rsid w:val="11785BC3"/>
    <w:rsid w:val="117D3F74"/>
    <w:rsid w:val="11851FB3"/>
    <w:rsid w:val="118D515C"/>
    <w:rsid w:val="11927830"/>
    <w:rsid w:val="11990967"/>
    <w:rsid w:val="11A800EA"/>
    <w:rsid w:val="11C80A13"/>
    <w:rsid w:val="11CC5C6E"/>
    <w:rsid w:val="11DC5D12"/>
    <w:rsid w:val="11EB44A7"/>
    <w:rsid w:val="11F044CC"/>
    <w:rsid w:val="11F1499C"/>
    <w:rsid w:val="11F2435A"/>
    <w:rsid w:val="120255C6"/>
    <w:rsid w:val="1209330E"/>
    <w:rsid w:val="120934F7"/>
    <w:rsid w:val="122B461A"/>
    <w:rsid w:val="123A6F9A"/>
    <w:rsid w:val="123F1CE1"/>
    <w:rsid w:val="12421EC0"/>
    <w:rsid w:val="125808CE"/>
    <w:rsid w:val="126C7159"/>
    <w:rsid w:val="128270DD"/>
    <w:rsid w:val="128B4CF1"/>
    <w:rsid w:val="1292755E"/>
    <w:rsid w:val="12936F8E"/>
    <w:rsid w:val="1297597F"/>
    <w:rsid w:val="129A5DDE"/>
    <w:rsid w:val="12AA57FE"/>
    <w:rsid w:val="12AD5620"/>
    <w:rsid w:val="12B0408E"/>
    <w:rsid w:val="12BE0EE9"/>
    <w:rsid w:val="12C1570B"/>
    <w:rsid w:val="12E20865"/>
    <w:rsid w:val="12E53EB0"/>
    <w:rsid w:val="13017FBF"/>
    <w:rsid w:val="13050E79"/>
    <w:rsid w:val="1321204F"/>
    <w:rsid w:val="133C5967"/>
    <w:rsid w:val="136506D7"/>
    <w:rsid w:val="1379699D"/>
    <w:rsid w:val="1388091F"/>
    <w:rsid w:val="139E6DE8"/>
    <w:rsid w:val="13B15B6B"/>
    <w:rsid w:val="13B66AA3"/>
    <w:rsid w:val="13CA24DC"/>
    <w:rsid w:val="13CB41D5"/>
    <w:rsid w:val="13FD7106"/>
    <w:rsid w:val="1401053D"/>
    <w:rsid w:val="14135E35"/>
    <w:rsid w:val="141D6AD1"/>
    <w:rsid w:val="14365E5C"/>
    <w:rsid w:val="1437452F"/>
    <w:rsid w:val="14561575"/>
    <w:rsid w:val="1460688C"/>
    <w:rsid w:val="146137EE"/>
    <w:rsid w:val="149B1A56"/>
    <w:rsid w:val="14B34784"/>
    <w:rsid w:val="14B56086"/>
    <w:rsid w:val="14B7298E"/>
    <w:rsid w:val="14C74E8A"/>
    <w:rsid w:val="14D0503E"/>
    <w:rsid w:val="14D12D02"/>
    <w:rsid w:val="14DC47CD"/>
    <w:rsid w:val="14E6492C"/>
    <w:rsid w:val="15023354"/>
    <w:rsid w:val="15034C07"/>
    <w:rsid w:val="150A1EA6"/>
    <w:rsid w:val="151E28F1"/>
    <w:rsid w:val="153119AB"/>
    <w:rsid w:val="15393267"/>
    <w:rsid w:val="15511CF9"/>
    <w:rsid w:val="156322B1"/>
    <w:rsid w:val="156B2B4F"/>
    <w:rsid w:val="1570136A"/>
    <w:rsid w:val="15A904BB"/>
    <w:rsid w:val="15B34C44"/>
    <w:rsid w:val="15C545D6"/>
    <w:rsid w:val="15DF5798"/>
    <w:rsid w:val="15E45384"/>
    <w:rsid w:val="15E7780D"/>
    <w:rsid w:val="15E8084E"/>
    <w:rsid w:val="1607249A"/>
    <w:rsid w:val="16133086"/>
    <w:rsid w:val="161C3D09"/>
    <w:rsid w:val="16223494"/>
    <w:rsid w:val="162C6C66"/>
    <w:rsid w:val="163240F9"/>
    <w:rsid w:val="163829C0"/>
    <w:rsid w:val="165616C1"/>
    <w:rsid w:val="16A94AE8"/>
    <w:rsid w:val="16B546D6"/>
    <w:rsid w:val="16BD04A6"/>
    <w:rsid w:val="16C14AFC"/>
    <w:rsid w:val="16CA08C9"/>
    <w:rsid w:val="16DF080F"/>
    <w:rsid w:val="16E130E0"/>
    <w:rsid w:val="16F765CD"/>
    <w:rsid w:val="17122365"/>
    <w:rsid w:val="171D784F"/>
    <w:rsid w:val="17262D61"/>
    <w:rsid w:val="17283409"/>
    <w:rsid w:val="1731461C"/>
    <w:rsid w:val="175175C4"/>
    <w:rsid w:val="175F1395"/>
    <w:rsid w:val="1760097E"/>
    <w:rsid w:val="176C1BF6"/>
    <w:rsid w:val="17990F2A"/>
    <w:rsid w:val="17A833BC"/>
    <w:rsid w:val="17B55E70"/>
    <w:rsid w:val="17C029CC"/>
    <w:rsid w:val="17C40431"/>
    <w:rsid w:val="17C47618"/>
    <w:rsid w:val="17CB760D"/>
    <w:rsid w:val="17F17005"/>
    <w:rsid w:val="18022F0D"/>
    <w:rsid w:val="181055BD"/>
    <w:rsid w:val="18246385"/>
    <w:rsid w:val="18482B16"/>
    <w:rsid w:val="1858288C"/>
    <w:rsid w:val="18682A80"/>
    <w:rsid w:val="187008C9"/>
    <w:rsid w:val="187B7A01"/>
    <w:rsid w:val="187E425F"/>
    <w:rsid w:val="18A67A4D"/>
    <w:rsid w:val="18C016DB"/>
    <w:rsid w:val="18C36C32"/>
    <w:rsid w:val="18C6498C"/>
    <w:rsid w:val="18D0454A"/>
    <w:rsid w:val="18D86E08"/>
    <w:rsid w:val="18E12B5C"/>
    <w:rsid w:val="191569B3"/>
    <w:rsid w:val="191E0EE7"/>
    <w:rsid w:val="19286B18"/>
    <w:rsid w:val="19370D92"/>
    <w:rsid w:val="193A2BD9"/>
    <w:rsid w:val="194459C5"/>
    <w:rsid w:val="194B115C"/>
    <w:rsid w:val="194C5363"/>
    <w:rsid w:val="1956766F"/>
    <w:rsid w:val="195A6A6D"/>
    <w:rsid w:val="195D4714"/>
    <w:rsid w:val="19873FCC"/>
    <w:rsid w:val="198B3B9D"/>
    <w:rsid w:val="198D588F"/>
    <w:rsid w:val="19A13D59"/>
    <w:rsid w:val="19B1034B"/>
    <w:rsid w:val="19B96C0E"/>
    <w:rsid w:val="19C8146D"/>
    <w:rsid w:val="19D44EA1"/>
    <w:rsid w:val="19D90932"/>
    <w:rsid w:val="19DD69EE"/>
    <w:rsid w:val="19EF669B"/>
    <w:rsid w:val="19F71A59"/>
    <w:rsid w:val="1A010340"/>
    <w:rsid w:val="1A0445BA"/>
    <w:rsid w:val="1A0A18E4"/>
    <w:rsid w:val="1A0C422E"/>
    <w:rsid w:val="1A1B6747"/>
    <w:rsid w:val="1A2A0FA8"/>
    <w:rsid w:val="1A3E1AF6"/>
    <w:rsid w:val="1A3F16EF"/>
    <w:rsid w:val="1A4928F7"/>
    <w:rsid w:val="1A604C7C"/>
    <w:rsid w:val="1A7E5F0F"/>
    <w:rsid w:val="1A8219C6"/>
    <w:rsid w:val="1A824FCA"/>
    <w:rsid w:val="1A892DE0"/>
    <w:rsid w:val="1A937150"/>
    <w:rsid w:val="1A95594A"/>
    <w:rsid w:val="1AA37040"/>
    <w:rsid w:val="1AA83C23"/>
    <w:rsid w:val="1AAA7544"/>
    <w:rsid w:val="1ABC5D51"/>
    <w:rsid w:val="1ABF554A"/>
    <w:rsid w:val="1AC41E62"/>
    <w:rsid w:val="1AC6052D"/>
    <w:rsid w:val="1ACA4A7E"/>
    <w:rsid w:val="1AE24494"/>
    <w:rsid w:val="1AE637F8"/>
    <w:rsid w:val="1AE9463F"/>
    <w:rsid w:val="1AFB3FBF"/>
    <w:rsid w:val="1B192EB5"/>
    <w:rsid w:val="1B1D13D0"/>
    <w:rsid w:val="1B2A3EEC"/>
    <w:rsid w:val="1B3E3AE9"/>
    <w:rsid w:val="1B401FE4"/>
    <w:rsid w:val="1B435913"/>
    <w:rsid w:val="1B4375DB"/>
    <w:rsid w:val="1B4402DE"/>
    <w:rsid w:val="1B5375B9"/>
    <w:rsid w:val="1B537B10"/>
    <w:rsid w:val="1B7004F9"/>
    <w:rsid w:val="1B7A1E2D"/>
    <w:rsid w:val="1B900B8D"/>
    <w:rsid w:val="1B912166"/>
    <w:rsid w:val="1BA45AC6"/>
    <w:rsid w:val="1BA77E67"/>
    <w:rsid w:val="1BC82BE2"/>
    <w:rsid w:val="1BDF4B9F"/>
    <w:rsid w:val="1BE44876"/>
    <w:rsid w:val="1BED24E9"/>
    <w:rsid w:val="1BF23691"/>
    <w:rsid w:val="1BF30541"/>
    <w:rsid w:val="1BF85AF6"/>
    <w:rsid w:val="1C066EAF"/>
    <w:rsid w:val="1C0A4293"/>
    <w:rsid w:val="1C1A2FD9"/>
    <w:rsid w:val="1C2F464B"/>
    <w:rsid w:val="1C422D53"/>
    <w:rsid w:val="1C4D673C"/>
    <w:rsid w:val="1C68214D"/>
    <w:rsid w:val="1C6C1DEE"/>
    <w:rsid w:val="1C91464E"/>
    <w:rsid w:val="1C9A24D6"/>
    <w:rsid w:val="1CAC0E70"/>
    <w:rsid w:val="1CF345FB"/>
    <w:rsid w:val="1D1E61EE"/>
    <w:rsid w:val="1D223740"/>
    <w:rsid w:val="1D7B11FE"/>
    <w:rsid w:val="1D832A13"/>
    <w:rsid w:val="1D835F38"/>
    <w:rsid w:val="1D84232F"/>
    <w:rsid w:val="1D8A716F"/>
    <w:rsid w:val="1D993013"/>
    <w:rsid w:val="1DA629E9"/>
    <w:rsid w:val="1DAD5CC4"/>
    <w:rsid w:val="1DB64EDC"/>
    <w:rsid w:val="1DBF217F"/>
    <w:rsid w:val="1DE53C86"/>
    <w:rsid w:val="1E01783A"/>
    <w:rsid w:val="1E053452"/>
    <w:rsid w:val="1E0D3AC9"/>
    <w:rsid w:val="1E2A7FCA"/>
    <w:rsid w:val="1E2E477E"/>
    <w:rsid w:val="1E3F7037"/>
    <w:rsid w:val="1E433627"/>
    <w:rsid w:val="1E660B5F"/>
    <w:rsid w:val="1E6D6147"/>
    <w:rsid w:val="1E7236C1"/>
    <w:rsid w:val="1E795AE8"/>
    <w:rsid w:val="1E883F04"/>
    <w:rsid w:val="1E986E9C"/>
    <w:rsid w:val="1EA41B80"/>
    <w:rsid w:val="1EAA7724"/>
    <w:rsid w:val="1EAA7D94"/>
    <w:rsid w:val="1EB65AB4"/>
    <w:rsid w:val="1EBA629E"/>
    <w:rsid w:val="1EC83CB3"/>
    <w:rsid w:val="1EED4959"/>
    <w:rsid w:val="1EFF0AFD"/>
    <w:rsid w:val="1F102431"/>
    <w:rsid w:val="1F1153CC"/>
    <w:rsid w:val="1F196A2F"/>
    <w:rsid w:val="1F1A4C7C"/>
    <w:rsid w:val="1F210EF1"/>
    <w:rsid w:val="1F211798"/>
    <w:rsid w:val="1F237EAB"/>
    <w:rsid w:val="1F3539F8"/>
    <w:rsid w:val="1F355251"/>
    <w:rsid w:val="1F4823DE"/>
    <w:rsid w:val="1F4B057A"/>
    <w:rsid w:val="1F6A53A0"/>
    <w:rsid w:val="1F6A6723"/>
    <w:rsid w:val="1F6D6E09"/>
    <w:rsid w:val="1F791D5D"/>
    <w:rsid w:val="1F813B41"/>
    <w:rsid w:val="1F8C209C"/>
    <w:rsid w:val="1F8F5009"/>
    <w:rsid w:val="1FA91936"/>
    <w:rsid w:val="1FC1004F"/>
    <w:rsid w:val="1FC13894"/>
    <w:rsid w:val="1FDC6649"/>
    <w:rsid w:val="1FF02071"/>
    <w:rsid w:val="20005BFA"/>
    <w:rsid w:val="200B4479"/>
    <w:rsid w:val="201E0928"/>
    <w:rsid w:val="203B4628"/>
    <w:rsid w:val="205847AB"/>
    <w:rsid w:val="207D0E3C"/>
    <w:rsid w:val="2082344B"/>
    <w:rsid w:val="208B7A5E"/>
    <w:rsid w:val="209D6B88"/>
    <w:rsid w:val="20BD4087"/>
    <w:rsid w:val="20D2471B"/>
    <w:rsid w:val="20D42BC8"/>
    <w:rsid w:val="20D543B8"/>
    <w:rsid w:val="20D663C9"/>
    <w:rsid w:val="20E315B9"/>
    <w:rsid w:val="20E517E5"/>
    <w:rsid w:val="20EF43C6"/>
    <w:rsid w:val="20F252CD"/>
    <w:rsid w:val="21137F1C"/>
    <w:rsid w:val="21242165"/>
    <w:rsid w:val="21530343"/>
    <w:rsid w:val="215E732C"/>
    <w:rsid w:val="215F68BE"/>
    <w:rsid w:val="2169372F"/>
    <w:rsid w:val="21730C09"/>
    <w:rsid w:val="217C169B"/>
    <w:rsid w:val="218B59AB"/>
    <w:rsid w:val="21A63967"/>
    <w:rsid w:val="21A7571E"/>
    <w:rsid w:val="21AD03DE"/>
    <w:rsid w:val="21AD1826"/>
    <w:rsid w:val="21C33FD3"/>
    <w:rsid w:val="21C35EFB"/>
    <w:rsid w:val="21D11A76"/>
    <w:rsid w:val="21DB75B0"/>
    <w:rsid w:val="21EC0FBB"/>
    <w:rsid w:val="21EC25AF"/>
    <w:rsid w:val="22090F44"/>
    <w:rsid w:val="221123FA"/>
    <w:rsid w:val="221A7DED"/>
    <w:rsid w:val="22534880"/>
    <w:rsid w:val="22582EDB"/>
    <w:rsid w:val="2268146A"/>
    <w:rsid w:val="226B621F"/>
    <w:rsid w:val="226E0EF8"/>
    <w:rsid w:val="227F6E20"/>
    <w:rsid w:val="22A71801"/>
    <w:rsid w:val="22B06E81"/>
    <w:rsid w:val="2309135B"/>
    <w:rsid w:val="230B6A12"/>
    <w:rsid w:val="23102410"/>
    <w:rsid w:val="23112F18"/>
    <w:rsid w:val="231662EC"/>
    <w:rsid w:val="23192A88"/>
    <w:rsid w:val="2343786A"/>
    <w:rsid w:val="235375C3"/>
    <w:rsid w:val="235903A9"/>
    <w:rsid w:val="23765C39"/>
    <w:rsid w:val="237E13C5"/>
    <w:rsid w:val="23847BA0"/>
    <w:rsid w:val="23886758"/>
    <w:rsid w:val="238874DE"/>
    <w:rsid w:val="23A06B46"/>
    <w:rsid w:val="23A97BD2"/>
    <w:rsid w:val="23B06D25"/>
    <w:rsid w:val="23CB2666"/>
    <w:rsid w:val="23DE1D14"/>
    <w:rsid w:val="23E37F6C"/>
    <w:rsid w:val="23F925CE"/>
    <w:rsid w:val="240A2AE7"/>
    <w:rsid w:val="240E1D4A"/>
    <w:rsid w:val="2434394D"/>
    <w:rsid w:val="2439566B"/>
    <w:rsid w:val="244E6742"/>
    <w:rsid w:val="24534F02"/>
    <w:rsid w:val="24546FD9"/>
    <w:rsid w:val="245E1806"/>
    <w:rsid w:val="24650A78"/>
    <w:rsid w:val="24654CA7"/>
    <w:rsid w:val="247855D8"/>
    <w:rsid w:val="24902C68"/>
    <w:rsid w:val="2495635F"/>
    <w:rsid w:val="249A0D81"/>
    <w:rsid w:val="24A8363A"/>
    <w:rsid w:val="24A918B0"/>
    <w:rsid w:val="24BC7DBC"/>
    <w:rsid w:val="24C37763"/>
    <w:rsid w:val="24C67E63"/>
    <w:rsid w:val="24C91863"/>
    <w:rsid w:val="24CB4B5B"/>
    <w:rsid w:val="24CE04FA"/>
    <w:rsid w:val="250F21C3"/>
    <w:rsid w:val="2522327C"/>
    <w:rsid w:val="2544381F"/>
    <w:rsid w:val="254453E0"/>
    <w:rsid w:val="25587F8A"/>
    <w:rsid w:val="255B49F1"/>
    <w:rsid w:val="256348EF"/>
    <w:rsid w:val="257071EE"/>
    <w:rsid w:val="2571039A"/>
    <w:rsid w:val="2587191B"/>
    <w:rsid w:val="25DB1FF3"/>
    <w:rsid w:val="25DF5D13"/>
    <w:rsid w:val="25E10F21"/>
    <w:rsid w:val="25E75C31"/>
    <w:rsid w:val="25F02990"/>
    <w:rsid w:val="25FB2591"/>
    <w:rsid w:val="25FC0C2B"/>
    <w:rsid w:val="260502EC"/>
    <w:rsid w:val="260C0B2A"/>
    <w:rsid w:val="26122B07"/>
    <w:rsid w:val="261B49A7"/>
    <w:rsid w:val="26205F4F"/>
    <w:rsid w:val="262B3987"/>
    <w:rsid w:val="262C5A64"/>
    <w:rsid w:val="26303743"/>
    <w:rsid w:val="263221EE"/>
    <w:rsid w:val="26397C55"/>
    <w:rsid w:val="263B134A"/>
    <w:rsid w:val="2659597C"/>
    <w:rsid w:val="267072F5"/>
    <w:rsid w:val="26722EB7"/>
    <w:rsid w:val="26756614"/>
    <w:rsid w:val="26761B7E"/>
    <w:rsid w:val="26AC001D"/>
    <w:rsid w:val="26C74F37"/>
    <w:rsid w:val="26D04352"/>
    <w:rsid w:val="26D07132"/>
    <w:rsid w:val="26D2030D"/>
    <w:rsid w:val="27084023"/>
    <w:rsid w:val="270B0936"/>
    <w:rsid w:val="272D4EDF"/>
    <w:rsid w:val="274431BE"/>
    <w:rsid w:val="276E7741"/>
    <w:rsid w:val="27852FF2"/>
    <w:rsid w:val="27B95B10"/>
    <w:rsid w:val="27D756BB"/>
    <w:rsid w:val="27FD318E"/>
    <w:rsid w:val="280347E6"/>
    <w:rsid w:val="280F5D4D"/>
    <w:rsid w:val="28256CC5"/>
    <w:rsid w:val="282F56A0"/>
    <w:rsid w:val="28392C27"/>
    <w:rsid w:val="284C66E9"/>
    <w:rsid w:val="284E4754"/>
    <w:rsid w:val="28681E6E"/>
    <w:rsid w:val="28683866"/>
    <w:rsid w:val="287C0E53"/>
    <w:rsid w:val="28820AFA"/>
    <w:rsid w:val="288C579D"/>
    <w:rsid w:val="28975D5E"/>
    <w:rsid w:val="289C407E"/>
    <w:rsid w:val="28BC00B5"/>
    <w:rsid w:val="28C447E0"/>
    <w:rsid w:val="28C850BA"/>
    <w:rsid w:val="28F01E60"/>
    <w:rsid w:val="28F40898"/>
    <w:rsid w:val="292F0809"/>
    <w:rsid w:val="292F754F"/>
    <w:rsid w:val="29344D28"/>
    <w:rsid w:val="294A6E88"/>
    <w:rsid w:val="2958602C"/>
    <w:rsid w:val="295A3F39"/>
    <w:rsid w:val="2961626D"/>
    <w:rsid w:val="29673DB2"/>
    <w:rsid w:val="29726EBC"/>
    <w:rsid w:val="297B60F4"/>
    <w:rsid w:val="297D26F9"/>
    <w:rsid w:val="29863478"/>
    <w:rsid w:val="29967CBF"/>
    <w:rsid w:val="299A2677"/>
    <w:rsid w:val="29AB14CF"/>
    <w:rsid w:val="29BC434E"/>
    <w:rsid w:val="29D500C2"/>
    <w:rsid w:val="29E33E58"/>
    <w:rsid w:val="2A135496"/>
    <w:rsid w:val="2A155EFB"/>
    <w:rsid w:val="2A167449"/>
    <w:rsid w:val="2A1B3039"/>
    <w:rsid w:val="2A2B586C"/>
    <w:rsid w:val="2A397835"/>
    <w:rsid w:val="2A4C718D"/>
    <w:rsid w:val="2A553C98"/>
    <w:rsid w:val="2A5B2611"/>
    <w:rsid w:val="2A6E106B"/>
    <w:rsid w:val="2A6E4302"/>
    <w:rsid w:val="2A9A77FB"/>
    <w:rsid w:val="2AAB3C7C"/>
    <w:rsid w:val="2AB60819"/>
    <w:rsid w:val="2ADB0DD2"/>
    <w:rsid w:val="2AE030B7"/>
    <w:rsid w:val="2AEB0849"/>
    <w:rsid w:val="2AF744E0"/>
    <w:rsid w:val="2AFB14D9"/>
    <w:rsid w:val="2B0420C3"/>
    <w:rsid w:val="2B1D4176"/>
    <w:rsid w:val="2B2B2E2C"/>
    <w:rsid w:val="2B441F18"/>
    <w:rsid w:val="2B64238A"/>
    <w:rsid w:val="2B792828"/>
    <w:rsid w:val="2B89139E"/>
    <w:rsid w:val="2B9B0780"/>
    <w:rsid w:val="2BC674C7"/>
    <w:rsid w:val="2BD173DF"/>
    <w:rsid w:val="2BED52A0"/>
    <w:rsid w:val="2BEF6194"/>
    <w:rsid w:val="2BFC6508"/>
    <w:rsid w:val="2C155272"/>
    <w:rsid w:val="2C3C716D"/>
    <w:rsid w:val="2C5A7777"/>
    <w:rsid w:val="2C66344F"/>
    <w:rsid w:val="2C746371"/>
    <w:rsid w:val="2C8E5C57"/>
    <w:rsid w:val="2C9C4CDF"/>
    <w:rsid w:val="2CC01266"/>
    <w:rsid w:val="2CCE3D09"/>
    <w:rsid w:val="2CDB0F57"/>
    <w:rsid w:val="2CE20E7D"/>
    <w:rsid w:val="2CFF37A4"/>
    <w:rsid w:val="2D0B1A9C"/>
    <w:rsid w:val="2D1107FA"/>
    <w:rsid w:val="2D1224BB"/>
    <w:rsid w:val="2D1E0B9E"/>
    <w:rsid w:val="2D2506F5"/>
    <w:rsid w:val="2D2632B3"/>
    <w:rsid w:val="2D2F08A5"/>
    <w:rsid w:val="2D322735"/>
    <w:rsid w:val="2D372C7E"/>
    <w:rsid w:val="2D3A0E59"/>
    <w:rsid w:val="2D3D4C09"/>
    <w:rsid w:val="2D3E4B80"/>
    <w:rsid w:val="2D5A05AA"/>
    <w:rsid w:val="2D656094"/>
    <w:rsid w:val="2D697327"/>
    <w:rsid w:val="2D796D4D"/>
    <w:rsid w:val="2D8150AB"/>
    <w:rsid w:val="2D892E4F"/>
    <w:rsid w:val="2D8C1F47"/>
    <w:rsid w:val="2D8C399C"/>
    <w:rsid w:val="2D8F6EE1"/>
    <w:rsid w:val="2DA6142D"/>
    <w:rsid w:val="2DAE1F0B"/>
    <w:rsid w:val="2DB10960"/>
    <w:rsid w:val="2DD06912"/>
    <w:rsid w:val="2DE71942"/>
    <w:rsid w:val="2DEB40F4"/>
    <w:rsid w:val="2DEE64F2"/>
    <w:rsid w:val="2DEF7208"/>
    <w:rsid w:val="2DF94E4D"/>
    <w:rsid w:val="2DFE4C73"/>
    <w:rsid w:val="2E0F67F2"/>
    <w:rsid w:val="2E2F7CCF"/>
    <w:rsid w:val="2E3475E8"/>
    <w:rsid w:val="2E35239B"/>
    <w:rsid w:val="2E3D462D"/>
    <w:rsid w:val="2E3F74B0"/>
    <w:rsid w:val="2E422FE8"/>
    <w:rsid w:val="2E601F42"/>
    <w:rsid w:val="2E650029"/>
    <w:rsid w:val="2E884AFD"/>
    <w:rsid w:val="2E8A4C17"/>
    <w:rsid w:val="2E9674ED"/>
    <w:rsid w:val="2E9906AB"/>
    <w:rsid w:val="2EA17E42"/>
    <w:rsid w:val="2EB94F93"/>
    <w:rsid w:val="2EBB01E1"/>
    <w:rsid w:val="2ECD5B9F"/>
    <w:rsid w:val="2ECE2C5A"/>
    <w:rsid w:val="2ED85C53"/>
    <w:rsid w:val="2F0054AD"/>
    <w:rsid w:val="2F1D0846"/>
    <w:rsid w:val="2F276C0C"/>
    <w:rsid w:val="2F306A1F"/>
    <w:rsid w:val="2F391C52"/>
    <w:rsid w:val="2F696270"/>
    <w:rsid w:val="2F6E0529"/>
    <w:rsid w:val="2F7C1A5F"/>
    <w:rsid w:val="2FA53519"/>
    <w:rsid w:val="2FAA37B2"/>
    <w:rsid w:val="2FAF0582"/>
    <w:rsid w:val="2FBF4EDB"/>
    <w:rsid w:val="2FC61C8E"/>
    <w:rsid w:val="2FD23508"/>
    <w:rsid w:val="2FD53080"/>
    <w:rsid w:val="2FE9407E"/>
    <w:rsid w:val="300B4354"/>
    <w:rsid w:val="301101CE"/>
    <w:rsid w:val="301952E3"/>
    <w:rsid w:val="302027D1"/>
    <w:rsid w:val="302C2345"/>
    <w:rsid w:val="305D6593"/>
    <w:rsid w:val="305F6938"/>
    <w:rsid w:val="30705E96"/>
    <w:rsid w:val="309C4A47"/>
    <w:rsid w:val="30A41615"/>
    <w:rsid w:val="30BB73CB"/>
    <w:rsid w:val="30C83BE2"/>
    <w:rsid w:val="30D318E0"/>
    <w:rsid w:val="30E05BB7"/>
    <w:rsid w:val="30E67E4C"/>
    <w:rsid w:val="30FA3C43"/>
    <w:rsid w:val="31066312"/>
    <w:rsid w:val="310E6D4D"/>
    <w:rsid w:val="31214FED"/>
    <w:rsid w:val="312E4364"/>
    <w:rsid w:val="313C5CD4"/>
    <w:rsid w:val="313E178A"/>
    <w:rsid w:val="31405C54"/>
    <w:rsid w:val="31743A9D"/>
    <w:rsid w:val="31990CBB"/>
    <w:rsid w:val="319B2D78"/>
    <w:rsid w:val="31A7078D"/>
    <w:rsid w:val="31C82073"/>
    <w:rsid w:val="31CA581C"/>
    <w:rsid w:val="31D14032"/>
    <w:rsid w:val="31DD708C"/>
    <w:rsid w:val="31F32687"/>
    <w:rsid w:val="31F70A1B"/>
    <w:rsid w:val="32012FD1"/>
    <w:rsid w:val="32025B2F"/>
    <w:rsid w:val="320516CC"/>
    <w:rsid w:val="320C34F7"/>
    <w:rsid w:val="320E6876"/>
    <w:rsid w:val="3214732F"/>
    <w:rsid w:val="321610C5"/>
    <w:rsid w:val="321851AA"/>
    <w:rsid w:val="32320D38"/>
    <w:rsid w:val="326C4A05"/>
    <w:rsid w:val="326C4F35"/>
    <w:rsid w:val="32957100"/>
    <w:rsid w:val="32A05A00"/>
    <w:rsid w:val="32BF2D87"/>
    <w:rsid w:val="32C62978"/>
    <w:rsid w:val="32CC4B1E"/>
    <w:rsid w:val="32DB0A64"/>
    <w:rsid w:val="330A1E6A"/>
    <w:rsid w:val="330D7AFC"/>
    <w:rsid w:val="33181766"/>
    <w:rsid w:val="3319186B"/>
    <w:rsid w:val="332E19B4"/>
    <w:rsid w:val="3357291C"/>
    <w:rsid w:val="33595054"/>
    <w:rsid w:val="335A7B73"/>
    <w:rsid w:val="337B6EA9"/>
    <w:rsid w:val="338D0C2A"/>
    <w:rsid w:val="33A75E72"/>
    <w:rsid w:val="33B12159"/>
    <w:rsid w:val="33D97677"/>
    <w:rsid w:val="33E61BB4"/>
    <w:rsid w:val="33F83DD2"/>
    <w:rsid w:val="33FD28C9"/>
    <w:rsid w:val="34025A95"/>
    <w:rsid w:val="341271E4"/>
    <w:rsid w:val="34147AAB"/>
    <w:rsid w:val="34203F94"/>
    <w:rsid w:val="34495E61"/>
    <w:rsid w:val="345B1F89"/>
    <w:rsid w:val="345B56FA"/>
    <w:rsid w:val="34723E7B"/>
    <w:rsid w:val="34855A56"/>
    <w:rsid w:val="34A57B9F"/>
    <w:rsid w:val="3501364D"/>
    <w:rsid w:val="35095758"/>
    <w:rsid w:val="350C1DC7"/>
    <w:rsid w:val="351A4D99"/>
    <w:rsid w:val="352B5482"/>
    <w:rsid w:val="352F0147"/>
    <w:rsid w:val="352F279B"/>
    <w:rsid w:val="35545F96"/>
    <w:rsid w:val="356133A4"/>
    <w:rsid w:val="356459AE"/>
    <w:rsid w:val="3581531C"/>
    <w:rsid w:val="3586652F"/>
    <w:rsid w:val="35884DAF"/>
    <w:rsid w:val="358D730A"/>
    <w:rsid w:val="3592198B"/>
    <w:rsid w:val="359C6C6F"/>
    <w:rsid w:val="35B461D5"/>
    <w:rsid w:val="35C16EA8"/>
    <w:rsid w:val="35C36B22"/>
    <w:rsid w:val="35DC2207"/>
    <w:rsid w:val="35EE3FC3"/>
    <w:rsid w:val="35FB636B"/>
    <w:rsid w:val="36174DBA"/>
    <w:rsid w:val="3622178F"/>
    <w:rsid w:val="36444FD7"/>
    <w:rsid w:val="36472084"/>
    <w:rsid w:val="36685368"/>
    <w:rsid w:val="367F0130"/>
    <w:rsid w:val="368110F8"/>
    <w:rsid w:val="369F2464"/>
    <w:rsid w:val="36A10C31"/>
    <w:rsid w:val="36A923DC"/>
    <w:rsid w:val="36B9165E"/>
    <w:rsid w:val="36BA0D2E"/>
    <w:rsid w:val="36CA0B76"/>
    <w:rsid w:val="36E94098"/>
    <w:rsid w:val="372A5BDA"/>
    <w:rsid w:val="372D5AA0"/>
    <w:rsid w:val="37374279"/>
    <w:rsid w:val="373C3BE5"/>
    <w:rsid w:val="37481C9B"/>
    <w:rsid w:val="375D3487"/>
    <w:rsid w:val="3778269A"/>
    <w:rsid w:val="377A23EE"/>
    <w:rsid w:val="378D0354"/>
    <w:rsid w:val="378E716E"/>
    <w:rsid w:val="378F0193"/>
    <w:rsid w:val="37A3470E"/>
    <w:rsid w:val="37A97740"/>
    <w:rsid w:val="37BB2BE4"/>
    <w:rsid w:val="37BC5C34"/>
    <w:rsid w:val="37E0163C"/>
    <w:rsid w:val="37E8698D"/>
    <w:rsid w:val="37F17BC9"/>
    <w:rsid w:val="380B108A"/>
    <w:rsid w:val="38142975"/>
    <w:rsid w:val="381A44E1"/>
    <w:rsid w:val="381D555F"/>
    <w:rsid w:val="382208F0"/>
    <w:rsid w:val="38222F61"/>
    <w:rsid w:val="382B1AF0"/>
    <w:rsid w:val="38424BC5"/>
    <w:rsid w:val="385178F5"/>
    <w:rsid w:val="385B47DC"/>
    <w:rsid w:val="38821A7B"/>
    <w:rsid w:val="388A12EF"/>
    <w:rsid w:val="389D4C49"/>
    <w:rsid w:val="38A632CE"/>
    <w:rsid w:val="38B9005A"/>
    <w:rsid w:val="38BE43EE"/>
    <w:rsid w:val="38D13525"/>
    <w:rsid w:val="38D56F40"/>
    <w:rsid w:val="38E66569"/>
    <w:rsid w:val="38FD6058"/>
    <w:rsid w:val="38FF55EC"/>
    <w:rsid w:val="39183943"/>
    <w:rsid w:val="392B10C2"/>
    <w:rsid w:val="39484014"/>
    <w:rsid w:val="397377A0"/>
    <w:rsid w:val="39846DD7"/>
    <w:rsid w:val="399F05C2"/>
    <w:rsid w:val="39A20172"/>
    <w:rsid w:val="39A87BE7"/>
    <w:rsid w:val="39B3556D"/>
    <w:rsid w:val="39B46BEC"/>
    <w:rsid w:val="39CB39BF"/>
    <w:rsid w:val="39D42F85"/>
    <w:rsid w:val="39E23420"/>
    <w:rsid w:val="39E26F43"/>
    <w:rsid w:val="39E4568A"/>
    <w:rsid w:val="39FC5F6E"/>
    <w:rsid w:val="3A165BF7"/>
    <w:rsid w:val="3A194DB4"/>
    <w:rsid w:val="3A1A5C8A"/>
    <w:rsid w:val="3A1E1632"/>
    <w:rsid w:val="3A290BEC"/>
    <w:rsid w:val="3A410817"/>
    <w:rsid w:val="3A450BDF"/>
    <w:rsid w:val="3A651D38"/>
    <w:rsid w:val="3A667036"/>
    <w:rsid w:val="3A674AE2"/>
    <w:rsid w:val="3A6B642C"/>
    <w:rsid w:val="3A712757"/>
    <w:rsid w:val="3A76020B"/>
    <w:rsid w:val="3A7E4548"/>
    <w:rsid w:val="3A9D317D"/>
    <w:rsid w:val="3AA31D35"/>
    <w:rsid w:val="3AA861AF"/>
    <w:rsid w:val="3AB34E55"/>
    <w:rsid w:val="3AC73C46"/>
    <w:rsid w:val="3ACD0545"/>
    <w:rsid w:val="3ADE4E1A"/>
    <w:rsid w:val="3AFE2777"/>
    <w:rsid w:val="3B01734F"/>
    <w:rsid w:val="3B096BC7"/>
    <w:rsid w:val="3B125BF1"/>
    <w:rsid w:val="3B2A3CDE"/>
    <w:rsid w:val="3B861D66"/>
    <w:rsid w:val="3B9F7ECD"/>
    <w:rsid w:val="3BA1294D"/>
    <w:rsid w:val="3BB24DBE"/>
    <w:rsid w:val="3BBA23AF"/>
    <w:rsid w:val="3BD1552B"/>
    <w:rsid w:val="3BE639DB"/>
    <w:rsid w:val="3BEA6D3C"/>
    <w:rsid w:val="3C085A0B"/>
    <w:rsid w:val="3C20446E"/>
    <w:rsid w:val="3C3A1D12"/>
    <w:rsid w:val="3C3C1BC3"/>
    <w:rsid w:val="3C594A4F"/>
    <w:rsid w:val="3C885915"/>
    <w:rsid w:val="3CA63E49"/>
    <w:rsid w:val="3CC05B18"/>
    <w:rsid w:val="3CC44D92"/>
    <w:rsid w:val="3CC7521C"/>
    <w:rsid w:val="3CE663C5"/>
    <w:rsid w:val="3CFB1E2F"/>
    <w:rsid w:val="3CFC0987"/>
    <w:rsid w:val="3CFE7951"/>
    <w:rsid w:val="3D02625A"/>
    <w:rsid w:val="3D222096"/>
    <w:rsid w:val="3D235397"/>
    <w:rsid w:val="3D286414"/>
    <w:rsid w:val="3D3D1AE0"/>
    <w:rsid w:val="3D4F569F"/>
    <w:rsid w:val="3D5701A8"/>
    <w:rsid w:val="3D9060BB"/>
    <w:rsid w:val="3D9E6605"/>
    <w:rsid w:val="3DA34B8F"/>
    <w:rsid w:val="3DA60C6C"/>
    <w:rsid w:val="3DA85102"/>
    <w:rsid w:val="3DAE142E"/>
    <w:rsid w:val="3DB5401D"/>
    <w:rsid w:val="3DC82F55"/>
    <w:rsid w:val="3DEE49A8"/>
    <w:rsid w:val="3DF22325"/>
    <w:rsid w:val="3DF25A4F"/>
    <w:rsid w:val="3DF50B32"/>
    <w:rsid w:val="3DF67689"/>
    <w:rsid w:val="3E0228B3"/>
    <w:rsid w:val="3E030255"/>
    <w:rsid w:val="3E1E420A"/>
    <w:rsid w:val="3E3854BC"/>
    <w:rsid w:val="3E54239A"/>
    <w:rsid w:val="3E5911A0"/>
    <w:rsid w:val="3E5D29AE"/>
    <w:rsid w:val="3E672711"/>
    <w:rsid w:val="3E8305A0"/>
    <w:rsid w:val="3E8836CA"/>
    <w:rsid w:val="3E890336"/>
    <w:rsid w:val="3E913F83"/>
    <w:rsid w:val="3EA459B4"/>
    <w:rsid w:val="3EB31DA7"/>
    <w:rsid w:val="3EBF74C0"/>
    <w:rsid w:val="3EE63AAF"/>
    <w:rsid w:val="3EEC6D42"/>
    <w:rsid w:val="3EF73CFE"/>
    <w:rsid w:val="3EFD2678"/>
    <w:rsid w:val="3F1763BB"/>
    <w:rsid w:val="3F176419"/>
    <w:rsid w:val="3F231636"/>
    <w:rsid w:val="3F335C23"/>
    <w:rsid w:val="3F3E0C05"/>
    <w:rsid w:val="3F3F59E4"/>
    <w:rsid w:val="3F48593F"/>
    <w:rsid w:val="3F5129D1"/>
    <w:rsid w:val="3F645E14"/>
    <w:rsid w:val="3F6B2601"/>
    <w:rsid w:val="3F7D1BF7"/>
    <w:rsid w:val="3FAA7F89"/>
    <w:rsid w:val="3FD155B8"/>
    <w:rsid w:val="3FD371D0"/>
    <w:rsid w:val="3FF079CA"/>
    <w:rsid w:val="3FF36DE0"/>
    <w:rsid w:val="3FF4464D"/>
    <w:rsid w:val="3FF80A09"/>
    <w:rsid w:val="40043AB0"/>
    <w:rsid w:val="40083342"/>
    <w:rsid w:val="40245947"/>
    <w:rsid w:val="403E60D9"/>
    <w:rsid w:val="40486184"/>
    <w:rsid w:val="405106E8"/>
    <w:rsid w:val="405C01BB"/>
    <w:rsid w:val="405F5421"/>
    <w:rsid w:val="4076552C"/>
    <w:rsid w:val="408225BA"/>
    <w:rsid w:val="40846354"/>
    <w:rsid w:val="40A73AC9"/>
    <w:rsid w:val="40BA0DB0"/>
    <w:rsid w:val="40BA23B7"/>
    <w:rsid w:val="40C46441"/>
    <w:rsid w:val="40C91FE2"/>
    <w:rsid w:val="40C9226E"/>
    <w:rsid w:val="40CF2A19"/>
    <w:rsid w:val="40D121F9"/>
    <w:rsid w:val="40D44961"/>
    <w:rsid w:val="40D7249B"/>
    <w:rsid w:val="41036B06"/>
    <w:rsid w:val="41045124"/>
    <w:rsid w:val="410D2DA7"/>
    <w:rsid w:val="41113560"/>
    <w:rsid w:val="41234F33"/>
    <w:rsid w:val="41264B7D"/>
    <w:rsid w:val="412732EA"/>
    <w:rsid w:val="4136183F"/>
    <w:rsid w:val="41366886"/>
    <w:rsid w:val="413D75D0"/>
    <w:rsid w:val="41415C48"/>
    <w:rsid w:val="415B2A8D"/>
    <w:rsid w:val="415C4EED"/>
    <w:rsid w:val="41615693"/>
    <w:rsid w:val="418B6CC2"/>
    <w:rsid w:val="418C7751"/>
    <w:rsid w:val="41C00D70"/>
    <w:rsid w:val="41D542D5"/>
    <w:rsid w:val="42112F13"/>
    <w:rsid w:val="42125963"/>
    <w:rsid w:val="42206F05"/>
    <w:rsid w:val="42281841"/>
    <w:rsid w:val="422F662C"/>
    <w:rsid w:val="423279AC"/>
    <w:rsid w:val="423738B1"/>
    <w:rsid w:val="42554D6A"/>
    <w:rsid w:val="425A2E01"/>
    <w:rsid w:val="42656891"/>
    <w:rsid w:val="427753BC"/>
    <w:rsid w:val="42867400"/>
    <w:rsid w:val="428D380B"/>
    <w:rsid w:val="428F591F"/>
    <w:rsid w:val="42A447B2"/>
    <w:rsid w:val="42BF7A21"/>
    <w:rsid w:val="42D8557B"/>
    <w:rsid w:val="42D97D50"/>
    <w:rsid w:val="42E24BD4"/>
    <w:rsid w:val="42E42A7E"/>
    <w:rsid w:val="42F32CE5"/>
    <w:rsid w:val="42FD57FC"/>
    <w:rsid w:val="430252C3"/>
    <w:rsid w:val="4305742C"/>
    <w:rsid w:val="43120D63"/>
    <w:rsid w:val="433624EB"/>
    <w:rsid w:val="43456912"/>
    <w:rsid w:val="435175AA"/>
    <w:rsid w:val="43522F2D"/>
    <w:rsid w:val="4359553D"/>
    <w:rsid w:val="436C59A6"/>
    <w:rsid w:val="436E4C1D"/>
    <w:rsid w:val="43711FBD"/>
    <w:rsid w:val="43880FA7"/>
    <w:rsid w:val="43916BF1"/>
    <w:rsid w:val="43924C89"/>
    <w:rsid w:val="43C157B6"/>
    <w:rsid w:val="43D57551"/>
    <w:rsid w:val="43D73F3A"/>
    <w:rsid w:val="441A75D0"/>
    <w:rsid w:val="441C38E9"/>
    <w:rsid w:val="44287DB4"/>
    <w:rsid w:val="44372894"/>
    <w:rsid w:val="444C754F"/>
    <w:rsid w:val="446751F5"/>
    <w:rsid w:val="447A2785"/>
    <w:rsid w:val="448E184A"/>
    <w:rsid w:val="4493182E"/>
    <w:rsid w:val="44A664F5"/>
    <w:rsid w:val="44CA3050"/>
    <w:rsid w:val="44D11D55"/>
    <w:rsid w:val="44E91A15"/>
    <w:rsid w:val="450F59F3"/>
    <w:rsid w:val="45191EE4"/>
    <w:rsid w:val="45252AA2"/>
    <w:rsid w:val="454801D6"/>
    <w:rsid w:val="45482D73"/>
    <w:rsid w:val="454F563C"/>
    <w:rsid w:val="455A31DE"/>
    <w:rsid w:val="45762BB0"/>
    <w:rsid w:val="457F1505"/>
    <w:rsid w:val="45A80831"/>
    <w:rsid w:val="45AB1B37"/>
    <w:rsid w:val="45B542C8"/>
    <w:rsid w:val="45E10E01"/>
    <w:rsid w:val="45EE0635"/>
    <w:rsid w:val="45F5105E"/>
    <w:rsid w:val="46011ABC"/>
    <w:rsid w:val="46021FC2"/>
    <w:rsid w:val="460361C8"/>
    <w:rsid w:val="4616710B"/>
    <w:rsid w:val="461B0479"/>
    <w:rsid w:val="461E6222"/>
    <w:rsid w:val="46224C4B"/>
    <w:rsid w:val="466957D7"/>
    <w:rsid w:val="466B17EF"/>
    <w:rsid w:val="466B5B2E"/>
    <w:rsid w:val="46702742"/>
    <w:rsid w:val="46835AF4"/>
    <w:rsid w:val="46924440"/>
    <w:rsid w:val="469622CB"/>
    <w:rsid w:val="46B7524E"/>
    <w:rsid w:val="46C7497E"/>
    <w:rsid w:val="46EF74A2"/>
    <w:rsid w:val="46F01F38"/>
    <w:rsid w:val="47013220"/>
    <w:rsid w:val="471F5A1F"/>
    <w:rsid w:val="47236466"/>
    <w:rsid w:val="472F335E"/>
    <w:rsid w:val="474548B9"/>
    <w:rsid w:val="47494236"/>
    <w:rsid w:val="4766400E"/>
    <w:rsid w:val="47A26DEA"/>
    <w:rsid w:val="47C06D67"/>
    <w:rsid w:val="47D2796F"/>
    <w:rsid w:val="47D709DC"/>
    <w:rsid w:val="47D809D8"/>
    <w:rsid w:val="48133446"/>
    <w:rsid w:val="481700E0"/>
    <w:rsid w:val="481906A4"/>
    <w:rsid w:val="481B3670"/>
    <w:rsid w:val="4821281F"/>
    <w:rsid w:val="48632316"/>
    <w:rsid w:val="48751854"/>
    <w:rsid w:val="487970CD"/>
    <w:rsid w:val="48862D9A"/>
    <w:rsid w:val="488A4304"/>
    <w:rsid w:val="488D1D72"/>
    <w:rsid w:val="48901868"/>
    <w:rsid w:val="48942AB4"/>
    <w:rsid w:val="4895306F"/>
    <w:rsid w:val="489814CC"/>
    <w:rsid w:val="48A36B3C"/>
    <w:rsid w:val="48B17A4A"/>
    <w:rsid w:val="48C1172E"/>
    <w:rsid w:val="48C152D2"/>
    <w:rsid w:val="48CC6612"/>
    <w:rsid w:val="48D65227"/>
    <w:rsid w:val="48D92B72"/>
    <w:rsid w:val="48E20F4B"/>
    <w:rsid w:val="48E73852"/>
    <w:rsid w:val="48EC1EDD"/>
    <w:rsid w:val="48F344CA"/>
    <w:rsid w:val="490176DC"/>
    <w:rsid w:val="490A6085"/>
    <w:rsid w:val="490B2F62"/>
    <w:rsid w:val="490C66CC"/>
    <w:rsid w:val="490D156F"/>
    <w:rsid w:val="491271B3"/>
    <w:rsid w:val="49383A79"/>
    <w:rsid w:val="493E6B2D"/>
    <w:rsid w:val="494A7BA2"/>
    <w:rsid w:val="494C4E0F"/>
    <w:rsid w:val="495A5E5D"/>
    <w:rsid w:val="49653492"/>
    <w:rsid w:val="49781D73"/>
    <w:rsid w:val="4979547F"/>
    <w:rsid w:val="4980512E"/>
    <w:rsid w:val="498844ED"/>
    <w:rsid w:val="499F71F3"/>
    <w:rsid w:val="49C91FDB"/>
    <w:rsid w:val="49DE32B8"/>
    <w:rsid w:val="49F0182E"/>
    <w:rsid w:val="4A0273A1"/>
    <w:rsid w:val="4A095417"/>
    <w:rsid w:val="4A0A5EF3"/>
    <w:rsid w:val="4A2307F2"/>
    <w:rsid w:val="4A3322B4"/>
    <w:rsid w:val="4A68106A"/>
    <w:rsid w:val="4A7A4C6B"/>
    <w:rsid w:val="4A8464A8"/>
    <w:rsid w:val="4A8C019B"/>
    <w:rsid w:val="4A9D3EB3"/>
    <w:rsid w:val="4AA62300"/>
    <w:rsid w:val="4AAA7A0F"/>
    <w:rsid w:val="4AB76127"/>
    <w:rsid w:val="4ABD1968"/>
    <w:rsid w:val="4AC90121"/>
    <w:rsid w:val="4AD34A16"/>
    <w:rsid w:val="4ADE11AD"/>
    <w:rsid w:val="4AE742F9"/>
    <w:rsid w:val="4AED3685"/>
    <w:rsid w:val="4B014945"/>
    <w:rsid w:val="4B090F76"/>
    <w:rsid w:val="4B1D085D"/>
    <w:rsid w:val="4B2454B9"/>
    <w:rsid w:val="4B3B6CDE"/>
    <w:rsid w:val="4B467C74"/>
    <w:rsid w:val="4B6D6C21"/>
    <w:rsid w:val="4B6F5BF8"/>
    <w:rsid w:val="4B920CB8"/>
    <w:rsid w:val="4BAB278E"/>
    <w:rsid w:val="4BB91B6D"/>
    <w:rsid w:val="4BC030B2"/>
    <w:rsid w:val="4BCD6054"/>
    <w:rsid w:val="4BD340F1"/>
    <w:rsid w:val="4BD647C6"/>
    <w:rsid w:val="4BDF56E5"/>
    <w:rsid w:val="4BE51EE5"/>
    <w:rsid w:val="4BE964A7"/>
    <w:rsid w:val="4BE97104"/>
    <w:rsid w:val="4BF321D7"/>
    <w:rsid w:val="4BFD6702"/>
    <w:rsid w:val="4C0968A6"/>
    <w:rsid w:val="4C0D0933"/>
    <w:rsid w:val="4C186DB0"/>
    <w:rsid w:val="4C4B3D4D"/>
    <w:rsid w:val="4C4D4404"/>
    <w:rsid w:val="4C501BF6"/>
    <w:rsid w:val="4C5A0FE3"/>
    <w:rsid w:val="4C7938E4"/>
    <w:rsid w:val="4C7A2BBD"/>
    <w:rsid w:val="4C7A3EBC"/>
    <w:rsid w:val="4C82582B"/>
    <w:rsid w:val="4C9E2300"/>
    <w:rsid w:val="4CB45C48"/>
    <w:rsid w:val="4CE21673"/>
    <w:rsid w:val="4CE32CB0"/>
    <w:rsid w:val="4CE67C79"/>
    <w:rsid w:val="4CEC23C7"/>
    <w:rsid w:val="4CF10529"/>
    <w:rsid w:val="4CF46605"/>
    <w:rsid w:val="4D0E7719"/>
    <w:rsid w:val="4D181229"/>
    <w:rsid w:val="4D3B3D72"/>
    <w:rsid w:val="4D47539A"/>
    <w:rsid w:val="4D6E4A56"/>
    <w:rsid w:val="4D8275C4"/>
    <w:rsid w:val="4D8A25EF"/>
    <w:rsid w:val="4D9F79CA"/>
    <w:rsid w:val="4DB24AA0"/>
    <w:rsid w:val="4DD76B7A"/>
    <w:rsid w:val="4DEF4438"/>
    <w:rsid w:val="4DFE35C3"/>
    <w:rsid w:val="4E001D00"/>
    <w:rsid w:val="4E033253"/>
    <w:rsid w:val="4E2E2116"/>
    <w:rsid w:val="4E4002CB"/>
    <w:rsid w:val="4E5001EE"/>
    <w:rsid w:val="4E5262CD"/>
    <w:rsid w:val="4E5A3F70"/>
    <w:rsid w:val="4E65080C"/>
    <w:rsid w:val="4E662AFC"/>
    <w:rsid w:val="4E801BEB"/>
    <w:rsid w:val="4E9434EB"/>
    <w:rsid w:val="4EA36B80"/>
    <w:rsid w:val="4EA56E73"/>
    <w:rsid w:val="4EB034C4"/>
    <w:rsid w:val="4ECB19CB"/>
    <w:rsid w:val="4ED66FEF"/>
    <w:rsid w:val="4EDB77D9"/>
    <w:rsid w:val="4EEC16F8"/>
    <w:rsid w:val="4EF12325"/>
    <w:rsid w:val="4EF2350B"/>
    <w:rsid w:val="4EF43489"/>
    <w:rsid w:val="4EF87118"/>
    <w:rsid w:val="4EFC69DE"/>
    <w:rsid w:val="4F19745B"/>
    <w:rsid w:val="4F1A36D5"/>
    <w:rsid w:val="4F530045"/>
    <w:rsid w:val="4F60289F"/>
    <w:rsid w:val="4F630953"/>
    <w:rsid w:val="4F662D73"/>
    <w:rsid w:val="4F762330"/>
    <w:rsid w:val="4F846F55"/>
    <w:rsid w:val="4F8E6996"/>
    <w:rsid w:val="4F9A693E"/>
    <w:rsid w:val="4FC83F95"/>
    <w:rsid w:val="4FCF01AE"/>
    <w:rsid w:val="4FE77BD2"/>
    <w:rsid w:val="4FEB5E99"/>
    <w:rsid w:val="4FEF2A1B"/>
    <w:rsid w:val="4FEF36BD"/>
    <w:rsid w:val="4FFD3D4B"/>
    <w:rsid w:val="500754B9"/>
    <w:rsid w:val="500B5EFA"/>
    <w:rsid w:val="501D4E4F"/>
    <w:rsid w:val="503A2F92"/>
    <w:rsid w:val="505875AB"/>
    <w:rsid w:val="507F73D1"/>
    <w:rsid w:val="50823B65"/>
    <w:rsid w:val="50941EA6"/>
    <w:rsid w:val="50982C4D"/>
    <w:rsid w:val="50AF550D"/>
    <w:rsid w:val="50B35595"/>
    <w:rsid w:val="50B37B94"/>
    <w:rsid w:val="50BD5C25"/>
    <w:rsid w:val="50CF1BA7"/>
    <w:rsid w:val="511F00AD"/>
    <w:rsid w:val="5126570C"/>
    <w:rsid w:val="513D490E"/>
    <w:rsid w:val="513E2A10"/>
    <w:rsid w:val="514311BE"/>
    <w:rsid w:val="514537CB"/>
    <w:rsid w:val="51707F68"/>
    <w:rsid w:val="517D1C80"/>
    <w:rsid w:val="51A85858"/>
    <w:rsid w:val="51CC7683"/>
    <w:rsid w:val="51DF0AB4"/>
    <w:rsid w:val="51FE4EDB"/>
    <w:rsid w:val="522D3B6E"/>
    <w:rsid w:val="5245308B"/>
    <w:rsid w:val="52590657"/>
    <w:rsid w:val="52694027"/>
    <w:rsid w:val="5272723A"/>
    <w:rsid w:val="5273382F"/>
    <w:rsid w:val="529708A1"/>
    <w:rsid w:val="52A46B6B"/>
    <w:rsid w:val="52B5214D"/>
    <w:rsid w:val="52B54E3D"/>
    <w:rsid w:val="52B63CE1"/>
    <w:rsid w:val="52C9291F"/>
    <w:rsid w:val="52DC49C5"/>
    <w:rsid w:val="52DD515E"/>
    <w:rsid w:val="52E0158F"/>
    <w:rsid w:val="52E772FE"/>
    <w:rsid w:val="52FE0315"/>
    <w:rsid w:val="532B5638"/>
    <w:rsid w:val="533031E2"/>
    <w:rsid w:val="533270E3"/>
    <w:rsid w:val="5342378B"/>
    <w:rsid w:val="5358409E"/>
    <w:rsid w:val="537244FE"/>
    <w:rsid w:val="53756BF6"/>
    <w:rsid w:val="53794DF0"/>
    <w:rsid w:val="5389331A"/>
    <w:rsid w:val="538F32DF"/>
    <w:rsid w:val="53A06D79"/>
    <w:rsid w:val="53B256BB"/>
    <w:rsid w:val="53C82E99"/>
    <w:rsid w:val="53D26A44"/>
    <w:rsid w:val="53E302D1"/>
    <w:rsid w:val="53F643C0"/>
    <w:rsid w:val="53F83EA4"/>
    <w:rsid w:val="542102E4"/>
    <w:rsid w:val="54424275"/>
    <w:rsid w:val="5446341D"/>
    <w:rsid w:val="546D07E5"/>
    <w:rsid w:val="54821217"/>
    <w:rsid w:val="54821E58"/>
    <w:rsid w:val="54825688"/>
    <w:rsid w:val="549E7CBF"/>
    <w:rsid w:val="54AD5CE3"/>
    <w:rsid w:val="54B72413"/>
    <w:rsid w:val="54CD78C5"/>
    <w:rsid w:val="54D32DED"/>
    <w:rsid w:val="54DA744F"/>
    <w:rsid w:val="54E86E15"/>
    <w:rsid w:val="54FA06E0"/>
    <w:rsid w:val="550142D4"/>
    <w:rsid w:val="550A1984"/>
    <w:rsid w:val="550A3493"/>
    <w:rsid w:val="550E4B17"/>
    <w:rsid w:val="55150A41"/>
    <w:rsid w:val="5518414C"/>
    <w:rsid w:val="55464391"/>
    <w:rsid w:val="555F664D"/>
    <w:rsid w:val="55621582"/>
    <w:rsid w:val="55647EF2"/>
    <w:rsid w:val="55727C87"/>
    <w:rsid w:val="55903220"/>
    <w:rsid w:val="55A73D4F"/>
    <w:rsid w:val="55D12540"/>
    <w:rsid w:val="55DE198D"/>
    <w:rsid w:val="56094D93"/>
    <w:rsid w:val="56231448"/>
    <w:rsid w:val="56260AD9"/>
    <w:rsid w:val="563B0D7A"/>
    <w:rsid w:val="564710BB"/>
    <w:rsid w:val="565C75F6"/>
    <w:rsid w:val="565E7838"/>
    <w:rsid w:val="56606C89"/>
    <w:rsid w:val="566A6D53"/>
    <w:rsid w:val="566B0E1E"/>
    <w:rsid w:val="567820EC"/>
    <w:rsid w:val="56A64B3C"/>
    <w:rsid w:val="56B738EA"/>
    <w:rsid w:val="56D71AEE"/>
    <w:rsid w:val="56DC3AD4"/>
    <w:rsid w:val="56E44D87"/>
    <w:rsid w:val="56F50410"/>
    <w:rsid w:val="57034E3C"/>
    <w:rsid w:val="57047E5C"/>
    <w:rsid w:val="570E783E"/>
    <w:rsid w:val="57150B1D"/>
    <w:rsid w:val="572C0509"/>
    <w:rsid w:val="572E35A7"/>
    <w:rsid w:val="57370D73"/>
    <w:rsid w:val="579928D4"/>
    <w:rsid w:val="57A472EC"/>
    <w:rsid w:val="57B15A99"/>
    <w:rsid w:val="57FA0CF6"/>
    <w:rsid w:val="57FF5BCA"/>
    <w:rsid w:val="58002F85"/>
    <w:rsid w:val="584956CE"/>
    <w:rsid w:val="584A7D1E"/>
    <w:rsid w:val="584E46A6"/>
    <w:rsid w:val="588753DA"/>
    <w:rsid w:val="589E1562"/>
    <w:rsid w:val="58A03D3F"/>
    <w:rsid w:val="58AE1A03"/>
    <w:rsid w:val="58B05694"/>
    <w:rsid w:val="58B246C7"/>
    <w:rsid w:val="58BC66B9"/>
    <w:rsid w:val="58BE3655"/>
    <w:rsid w:val="58BF6245"/>
    <w:rsid w:val="58CB2566"/>
    <w:rsid w:val="58CE09D5"/>
    <w:rsid w:val="58E21553"/>
    <w:rsid w:val="58F27BBB"/>
    <w:rsid w:val="58FB4C6C"/>
    <w:rsid w:val="59021511"/>
    <w:rsid w:val="590777F1"/>
    <w:rsid w:val="593258F3"/>
    <w:rsid w:val="59351E93"/>
    <w:rsid w:val="59512924"/>
    <w:rsid w:val="595C367A"/>
    <w:rsid w:val="59746ADC"/>
    <w:rsid w:val="597A0E0A"/>
    <w:rsid w:val="597C7C99"/>
    <w:rsid w:val="59916325"/>
    <w:rsid w:val="59926255"/>
    <w:rsid w:val="59931591"/>
    <w:rsid w:val="599E5BC4"/>
    <w:rsid w:val="59A54F2E"/>
    <w:rsid w:val="59A863FA"/>
    <w:rsid w:val="59B33E6B"/>
    <w:rsid w:val="59B66455"/>
    <w:rsid w:val="59C018E1"/>
    <w:rsid w:val="59CB136F"/>
    <w:rsid w:val="59CD479D"/>
    <w:rsid w:val="59ED3B3E"/>
    <w:rsid w:val="59EE5D4C"/>
    <w:rsid w:val="5A0320FC"/>
    <w:rsid w:val="5A356446"/>
    <w:rsid w:val="5A3B72D2"/>
    <w:rsid w:val="5A577F5E"/>
    <w:rsid w:val="5A624310"/>
    <w:rsid w:val="5A650587"/>
    <w:rsid w:val="5A72303D"/>
    <w:rsid w:val="5A761607"/>
    <w:rsid w:val="5A82713E"/>
    <w:rsid w:val="5A881268"/>
    <w:rsid w:val="5AA2174E"/>
    <w:rsid w:val="5AAB78B1"/>
    <w:rsid w:val="5AB46E0A"/>
    <w:rsid w:val="5AB7537B"/>
    <w:rsid w:val="5AC05FEE"/>
    <w:rsid w:val="5AC72F14"/>
    <w:rsid w:val="5AD343C3"/>
    <w:rsid w:val="5ADE2546"/>
    <w:rsid w:val="5ADE79DE"/>
    <w:rsid w:val="5AF90F9E"/>
    <w:rsid w:val="5AFA2DC6"/>
    <w:rsid w:val="5B282199"/>
    <w:rsid w:val="5B285AB8"/>
    <w:rsid w:val="5B29523C"/>
    <w:rsid w:val="5B333F59"/>
    <w:rsid w:val="5B3E4703"/>
    <w:rsid w:val="5B4169D1"/>
    <w:rsid w:val="5B4410A9"/>
    <w:rsid w:val="5B444DCC"/>
    <w:rsid w:val="5B4A7DFD"/>
    <w:rsid w:val="5B5350AC"/>
    <w:rsid w:val="5B562D3F"/>
    <w:rsid w:val="5B5C22A7"/>
    <w:rsid w:val="5B5C2408"/>
    <w:rsid w:val="5B725158"/>
    <w:rsid w:val="5B834B24"/>
    <w:rsid w:val="5BA83A86"/>
    <w:rsid w:val="5BAD2344"/>
    <w:rsid w:val="5BDA3E10"/>
    <w:rsid w:val="5BDF1FC8"/>
    <w:rsid w:val="5C05410D"/>
    <w:rsid w:val="5C0F5BF7"/>
    <w:rsid w:val="5C136E92"/>
    <w:rsid w:val="5C172894"/>
    <w:rsid w:val="5C2F12F9"/>
    <w:rsid w:val="5C376A45"/>
    <w:rsid w:val="5C47127B"/>
    <w:rsid w:val="5C4A1CB7"/>
    <w:rsid w:val="5C603DB1"/>
    <w:rsid w:val="5C657EF5"/>
    <w:rsid w:val="5C6E7FA8"/>
    <w:rsid w:val="5C703523"/>
    <w:rsid w:val="5C845DA1"/>
    <w:rsid w:val="5C846AA8"/>
    <w:rsid w:val="5C8A22BF"/>
    <w:rsid w:val="5C8F5ED1"/>
    <w:rsid w:val="5C9607AF"/>
    <w:rsid w:val="5CA27174"/>
    <w:rsid w:val="5CD00BB8"/>
    <w:rsid w:val="5CEC0C36"/>
    <w:rsid w:val="5D0C5AF2"/>
    <w:rsid w:val="5D0F3F54"/>
    <w:rsid w:val="5D117BD5"/>
    <w:rsid w:val="5D203C2E"/>
    <w:rsid w:val="5D2C5841"/>
    <w:rsid w:val="5D541937"/>
    <w:rsid w:val="5D5A1C53"/>
    <w:rsid w:val="5D7736F5"/>
    <w:rsid w:val="5DA36A79"/>
    <w:rsid w:val="5DCF68AF"/>
    <w:rsid w:val="5DE622B4"/>
    <w:rsid w:val="5DE657CC"/>
    <w:rsid w:val="5DEC64EB"/>
    <w:rsid w:val="5DF76491"/>
    <w:rsid w:val="5DFB6A62"/>
    <w:rsid w:val="5E130745"/>
    <w:rsid w:val="5E1675E9"/>
    <w:rsid w:val="5E1F2A64"/>
    <w:rsid w:val="5E22683C"/>
    <w:rsid w:val="5E2425B5"/>
    <w:rsid w:val="5E3062D9"/>
    <w:rsid w:val="5E35600A"/>
    <w:rsid w:val="5E405784"/>
    <w:rsid w:val="5E4759A0"/>
    <w:rsid w:val="5E5A2072"/>
    <w:rsid w:val="5E622250"/>
    <w:rsid w:val="5E716251"/>
    <w:rsid w:val="5E7621AB"/>
    <w:rsid w:val="5E983701"/>
    <w:rsid w:val="5ECE5D17"/>
    <w:rsid w:val="5ED64795"/>
    <w:rsid w:val="5EF10B81"/>
    <w:rsid w:val="5EF232B2"/>
    <w:rsid w:val="5EF314FA"/>
    <w:rsid w:val="5F02645D"/>
    <w:rsid w:val="5F0A0403"/>
    <w:rsid w:val="5F112E27"/>
    <w:rsid w:val="5F324CD9"/>
    <w:rsid w:val="5F43582C"/>
    <w:rsid w:val="5F4A2777"/>
    <w:rsid w:val="5F644E13"/>
    <w:rsid w:val="5F8901ED"/>
    <w:rsid w:val="5F8D4816"/>
    <w:rsid w:val="5F95225C"/>
    <w:rsid w:val="5F9D544E"/>
    <w:rsid w:val="5FB94E91"/>
    <w:rsid w:val="5FE370B7"/>
    <w:rsid w:val="5FEA2EE3"/>
    <w:rsid w:val="5FF50173"/>
    <w:rsid w:val="5FFE638F"/>
    <w:rsid w:val="60084A73"/>
    <w:rsid w:val="601D22B4"/>
    <w:rsid w:val="601F5659"/>
    <w:rsid w:val="603C66B5"/>
    <w:rsid w:val="603C7079"/>
    <w:rsid w:val="603E13CA"/>
    <w:rsid w:val="603F028F"/>
    <w:rsid w:val="606C304B"/>
    <w:rsid w:val="60782734"/>
    <w:rsid w:val="60892247"/>
    <w:rsid w:val="608C514C"/>
    <w:rsid w:val="60CE65CE"/>
    <w:rsid w:val="60DF162A"/>
    <w:rsid w:val="60F0703A"/>
    <w:rsid w:val="60F234F3"/>
    <w:rsid w:val="60FB2BDE"/>
    <w:rsid w:val="61032E27"/>
    <w:rsid w:val="610B0D26"/>
    <w:rsid w:val="611435EA"/>
    <w:rsid w:val="6118427E"/>
    <w:rsid w:val="61244F46"/>
    <w:rsid w:val="61392F43"/>
    <w:rsid w:val="61517329"/>
    <w:rsid w:val="61726BC8"/>
    <w:rsid w:val="6175623C"/>
    <w:rsid w:val="618F0B3E"/>
    <w:rsid w:val="61931908"/>
    <w:rsid w:val="61991F04"/>
    <w:rsid w:val="61B23A42"/>
    <w:rsid w:val="61D24236"/>
    <w:rsid w:val="61DA1202"/>
    <w:rsid w:val="61F85C9F"/>
    <w:rsid w:val="6209036B"/>
    <w:rsid w:val="620A714A"/>
    <w:rsid w:val="62420B0E"/>
    <w:rsid w:val="62503F6F"/>
    <w:rsid w:val="62521318"/>
    <w:rsid w:val="627D5235"/>
    <w:rsid w:val="62820C56"/>
    <w:rsid w:val="62831F02"/>
    <w:rsid w:val="628F37C4"/>
    <w:rsid w:val="62913D06"/>
    <w:rsid w:val="62983C44"/>
    <w:rsid w:val="62A21F9E"/>
    <w:rsid w:val="62AD555A"/>
    <w:rsid w:val="62CB3621"/>
    <w:rsid w:val="62DD7C54"/>
    <w:rsid w:val="62E338A5"/>
    <w:rsid w:val="62EB73B7"/>
    <w:rsid w:val="62EC3DA9"/>
    <w:rsid w:val="62F42AD7"/>
    <w:rsid w:val="63262319"/>
    <w:rsid w:val="633967A2"/>
    <w:rsid w:val="633F1A31"/>
    <w:rsid w:val="635F7DED"/>
    <w:rsid w:val="6370145A"/>
    <w:rsid w:val="637017F5"/>
    <w:rsid w:val="6379229E"/>
    <w:rsid w:val="63795EAC"/>
    <w:rsid w:val="637A4BE5"/>
    <w:rsid w:val="638D259D"/>
    <w:rsid w:val="63BC6D2C"/>
    <w:rsid w:val="63BD5082"/>
    <w:rsid w:val="63C63E30"/>
    <w:rsid w:val="63D908A0"/>
    <w:rsid w:val="63DC7F36"/>
    <w:rsid w:val="64125D80"/>
    <w:rsid w:val="64174714"/>
    <w:rsid w:val="641D1891"/>
    <w:rsid w:val="642A0AF9"/>
    <w:rsid w:val="64400C35"/>
    <w:rsid w:val="64427A54"/>
    <w:rsid w:val="64477B7A"/>
    <w:rsid w:val="6463008C"/>
    <w:rsid w:val="647C32B7"/>
    <w:rsid w:val="64821EAE"/>
    <w:rsid w:val="64896782"/>
    <w:rsid w:val="64A57AEF"/>
    <w:rsid w:val="64A63F76"/>
    <w:rsid w:val="64AF1D7D"/>
    <w:rsid w:val="64CC449F"/>
    <w:rsid w:val="64D00EFC"/>
    <w:rsid w:val="64D847D5"/>
    <w:rsid w:val="64E0661E"/>
    <w:rsid w:val="64EE3045"/>
    <w:rsid w:val="64F34E53"/>
    <w:rsid w:val="64FF3AD0"/>
    <w:rsid w:val="65186A5E"/>
    <w:rsid w:val="651B01E4"/>
    <w:rsid w:val="65212AA9"/>
    <w:rsid w:val="652E7063"/>
    <w:rsid w:val="6548329D"/>
    <w:rsid w:val="654D3E67"/>
    <w:rsid w:val="654E6E82"/>
    <w:rsid w:val="655232B6"/>
    <w:rsid w:val="6559604B"/>
    <w:rsid w:val="6565078F"/>
    <w:rsid w:val="65716222"/>
    <w:rsid w:val="65777E85"/>
    <w:rsid w:val="65A92D5B"/>
    <w:rsid w:val="65AF43A2"/>
    <w:rsid w:val="65B046B1"/>
    <w:rsid w:val="65B06E71"/>
    <w:rsid w:val="65B80017"/>
    <w:rsid w:val="65CD37DF"/>
    <w:rsid w:val="65D938AB"/>
    <w:rsid w:val="65ED3FF8"/>
    <w:rsid w:val="65F45661"/>
    <w:rsid w:val="65F85F27"/>
    <w:rsid w:val="66074BE6"/>
    <w:rsid w:val="66086EC8"/>
    <w:rsid w:val="660A19CE"/>
    <w:rsid w:val="6643331A"/>
    <w:rsid w:val="664769F9"/>
    <w:rsid w:val="666117B7"/>
    <w:rsid w:val="66654FBA"/>
    <w:rsid w:val="66713111"/>
    <w:rsid w:val="669B6270"/>
    <w:rsid w:val="66B127B0"/>
    <w:rsid w:val="66B908FE"/>
    <w:rsid w:val="66C46E9E"/>
    <w:rsid w:val="66E645AA"/>
    <w:rsid w:val="66F33493"/>
    <w:rsid w:val="66FB1950"/>
    <w:rsid w:val="67076E99"/>
    <w:rsid w:val="670B06B5"/>
    <w:rsid w:val="671028DA"/>
    <w:rsid w:val="671B7B5B"/>
    <w:rsid w:val="67231680"/>
    <w:rsid w:val="673B347B"/>
    <w:rsid w:val="674B1AB5"/>
    <w:rsid w:val="674F60A2"/>
    <w:rsid w:val="67641864"/>
    <w:rsid w:val="67777752"/>
    <w:rsid w:val="677D6C57"/>
    <w:rsid w:val="678D6FBF"/>
    <w:rsid w:val="678E3C94"/>
    <w:rsid w:val="679B699C"/>
    <w:rsid w:val="679D2F83"/>
    <w:rsid w:val="67B91CC2"/>
    <w:rsid w:val="67C4074F"/>
    <w:rsid w:val="67C51630"/>
    <w:rsid w:val="67E55E7C"/>
    <w:rsid w:val="67F616DE"/>
    <w:rsid w:val="680048D9"/>
    <w:rsid w:val="680304EF"/>
    <w:rsid w:val="680E50C5"/>
    <w:rsid w:val="682271E1"/>
    <w:rsid w:val="683073D9"/>
    <w:rsid w:val="68435CD1"/>
    <w:rsid w:val="68516C7B"/>
    <w:rsid w:val="685509A1"/>
    <w:rsid w:val="685E0B3E"/>
    <w:rsid w:val="686B19FF"/>
    <w:rsid w:val="687257A3"/>
    <w:rsid w:val="68834DE7"/>
    <w:rsid w:val="688B2972"/>
    <w:rsid w:val="68932500"/>
    <w:rsid w:val="68940208"/>
    <w:rsid w:val="689476C6"/>
    <w:rsid w:val="68A92448"/>
    <w:rsid w:val="68AD1C79"/>
    <w:rsid w:val="68C76133"/>
    <w:rsid w:val="68C84C28"/>
    <w:rsid w:val="68D201E0"/>
    <w:rsid w:val="68EF456E"/>
    <w:rsid w:val="68F87749"/>
    <w:rsid w:val="693F712D"/>
    <w:rsid w:val="69450609"/>
    <w:rsid w:val="696778E6"/>
    <w:rsid w:val="696D7DC3"/>
    <w:rsid w:val="697A1606"/>
    <w:rsid w:val="697F1CE4"/>
    <w:rsid w:val="69A2367D"/>
    <w:rsid w:val="69A272AE"/>
    <w:rsid w:val="69AB612C"/>
    <w:rsid w:val="69C61993"/>
    <w:rsid w:val="69D06E84"/>
    <w:rsid w:val="69DE479A"/>
    <w:rsid w:val="69F5434A"/>
    <w:rsid w:val="6A0E60B1"/>
    <w:rsid w:val="6A112C21"/>
    <w:rsid w:val="6A3329CE"/>
    <w:rsid w:val="6A38661E"/>
    <w:rsid w:val="6A386F6A"/>
    <w:rsid w:val="6A5900B5"/>
    <w:rsid w:val="6A5D6566"/>
    <w:rsid w:val="6A6F535C"/>
    <w:rsid w:val="6A7C5A79"/>
    <w:rsid w:val="6A9757AE"/>
    <w:rsid w:val="6ABF3F6D"/>
    <w:rsid w:val="6AEA66A4"/>
    <w:rsid w:val="6AED6955"/>
    <w:rsid w:val="6B083FD1"/>
    <w:rsid w:val="6B245429"/>
    <w:rsid w:val="6B3F6C0D"/>
    <w:rsid w:val="6B5F2F33"/>
    <w:rsid w:val="6B6558B8"/>
    <w:rsid w:val="6B750244"/>
    <w:rsid w:val="6B79434A"/>
    <w:rsid w:val="6B861F73"/>
    <w:rsid w:val="6B990A9C"/>
    <w:rsid w:val="6BA634CA"/>
    <w:rsid w:val="6BBA437E"/>
    <w:rsid w:val="6BC8309A"/>
    <w:rsid w:val="6BDC641F"/>
    <w:rsid w:val="6BE510C0"/>
    <w:rsid w:val="6BEE3CCE"/>
    <w:rsid w:val="6BF31911"/>
    <w:rsid w:val="6BFA6658"/>
    <w:rsid w:val="6C000E4C"/>
    <w:rsid w:val="6C011145"/>
    <w:rsid w:val="6C0831D2"/>
    <w:rsid w:val="6C0D5357"/>
    <w:rsid w:val="6C1801A1"/>
    <w:rsid w:val="6C2073A2"/>
    <w:rsid w:val="6C261148"/>
    <w:rsid w:val="6C2C6931"/>
    <w:rsid w:val="6C3C1230"/>
    <w:rsid w:val="6C3F700B"/>
    <w:rsid w:val="6C47059E"/>
    <w:rsid w:val="6C5443F3"/>
    <w:rsid w:val="6C777243"/>
    <w:rsid w:val="6C7B13BE"/>
    <w:rsid w:val="6C871068"/>
    <w:rsid w:val="6C954667"/>
    <w:rsid w:val="6CAA08C6"/>
    <w:rsid w:val="6CAA5617"/>
    <w:rsid w:val="6CB140CA"/>
    <w:rsid w:val="6CC2215A"/>
    <w:rsid w:val="6CD52D49"/>
    <w:rsid w:val="6CE91FFC"/>
    <w:rsid w:val="6CEF6D9B"/>
    <w:rsid w:val="6D020F56"/>
    <w:rsid w:val="6D160132"/>
    <w:rsid w:val="6D226E6F"/>
    <w:rsid w:val="6D231680"/>
    <w:rsid w:val="6D233343"/>
    <w:rsid w:val="6D287785"/>
    <w:rsid w:val="6D2D1361"/>
    <w:rsid w:val="6D415B2A"/>
    <w:rsid w:val="6D511906"/>
    <w:rsid w:val="6DBD568D"/>
    <w:rsid w:val="6DBE6260"/>
    <w:rsid w:val="6DC95EF4"/>
    <w:rsid w:val="6DCA722F"/>
    <w:rsid w:val="6DCC1E9E"/>
    <w:rsid w:val="6DD104F0"/>
    <w:rsid w:val="6DFB13E2"/>
    <w:rsid w:val="6DFE2CC2"/>
    <w:rsid w:val="6E011311"/>
    <w:rsid w:val="6E130F66"/>
    <w:rsid w:val="6E1C5600"/>
    <w:rsid w:val="6E4B55A2"/>
    <w:rsid w:val="6E63624D"/>
    <w:rsid w:val="6E7E4F03"/>
    <w:rsid w:val="6E87575B"/>
    <w:rsid w:val="6E8E1846"/>
    <w:rsid w:val="6E940BB2"/>
    <w:rsid w:val="6E9A5F7D"/>
    <w:rsid w:val="6EA85AC1"/>
    <w:rsid w:val="6EAC1162"/>
    <w:rsid w:val="6EB63421"/>
    <w:rsid w:val="6EB7283D"/>
    <w:rsid w:val="6EBB59DA"/>
    <w:rsid w:val="6ECB36ED"/>
    <w:rsid w:val="6ED1339C"/>
    <w:rsid w:val="6EDD321B"/>
    <w:rsid w:val="6F0563C8"/>
    <w:rsid w:val="6F2218EC"/>
    <w:rsid w:val="6F3962D3"/>
    <w:rsid w:val="6F5507FE"/>
    <w:rsid w:val="6F593C6C"/>
    <w:rsid w:val="6F83639E"/>
    <w:rsid w:val="6F862EF5"/>
    <w:rsid w:val="6F987585"/>
    <w:rsid w:val="6FA26195"/>
    <w:rsid w:val="6FAA1366"/>
    <w:rsid w:val="6FB164BB"/>
    <w:rsid w:val="6FB3584D"/>
    <w:rsid w:val="6FDB25D9"/>
    <w:rsid w:val="6FDD1708"/>
    <w:rsid w:val="6FE51F3B"/>
    <w:rsid w:val="6FEF2A0E"/>
    <w:rsid w:val="70061DF5"/>
    <w:rsid w:val="700F01A1"/>
    <w:rsid w:val="701009ED"/>
    <w:rsid w:val="70161D8E"/>
    <w:rsid w:val="70215D62"/>
    <w:rsid w:val="702D1E16"/>
    <w:rsid w:val="703415A8"/>
    <w:rsid w:val="70376B7F"/>
    <w:rsid w:val="704D63DC"/>
    <w:rsid w:val="705934BB"/>
    <w:rsid w:val="70597EB6"/>
    <w:rsid w:val="70614DAD"/>
    <w:rsid w:val="706243AC"/>
    <w:rsid w:val="7065071C"/>
    <w:rsid w:val="707156E7"/>
    <w:rsid w:val="708757C0"/>
    <w:rsid w:val="708B03FE"/>
    <w:rsid w:val="708D46E0"/>
    <w:rsid w:val="708F69D0"/>
    <w:rsid w:val="70A56CD2"/>
    <w:rsid w:val="70A978C1"/>
    <w:rsid w:val="70B92218"/>
    <w:rsid w:val="70C055C8"/>
    <w:rsid w:val="70C24B2D"/>
    <w:rsid w:val="70C27C4D"/>
    <w:rsid w:val="70D03F6F"/>
    <w:rsid w:val="70D6146F"/>
    <w:rsid w:val="70E51044"/>
    <w:rsid w:val="70E758C9"/>
    <w:rsid w:val="70F0081E"/>
    <w:rsid w:val="71026125"/>
    <w:rsid w:val="711931EF"/>
    <w:rsid w:val="711C53E6"/>
    <w:rsid w:val="712C3349"/>
    <w:rsid w:val="71321331"/>
    <w:rsid w:val="713B20DB"/>
    <w:rsid w:val="717065FB"/>
    <w:rsid w:val="717E3583"/>
    <w:rsid w:val="71953AAE"/>
    <w:rsid w:val="71A31E7E"/>
    <w:rsid w:val="71A52192"/>
    <w:rsid w:val="71B021D0"/>
    <w:rsid w:val="71B72D21"/>
    <w:rsid w:val="71DA48D0"/>
    <w:rsid w:val="71F832BA"/>
    <w:rsid w:val="72023F04"/>
    <w:rsid w:val="720C23AC"/>
    <w:rsid w:val="7239457A"/>
    <w:rsid w:val="724514B0"/>
    <w:rsid w:val="72631E8D"/>
    <w:rsid w:val="7263465C"/>
    <w:rsid w:val="726762AF"/>
    <w:rsid w:val="726E1EC3"/>
    <w:rsid w:val="726E77E6"/>
    <w:rsid w:val="726F3D43"/>
    <w:rsid w:val="728B01BF"/>
    <w:rsid w:val="728C2547"/>
    <w:rsid w:val="729A2146"/>
    <w:rsid w:val="72A61502"/>
    <w:rsid w:val="72B648D5"/>
    <w:rsid w:val="72BB4DF3"/>
    <w:rsid w:val="72C02A6F"/>
    <w:rsid w:val="72C754AA"/>
    <w:rsid w:val="72DD4B8D"/>
    <w:rsid w:val="72E9152A"/>
    <w:rsid w:val="72EA0C4E"/>
    <w:rsid w:val="72EB4517"/>
    <w:rsid w:val="72ED65E9"/>
    <w:rsid w:val="72EF031D"/>
    <w:rsid w:val="73012E38"/>
    <w:rsid w:val="7304231C"/>
    <w:rsid w:val="73130BE3"/>
    <w:rsid w:val="73161BD4"/>
    <w:rsid w:val="73164753"/>
    <w:rsid w:val="732E5873"/>
    <w:rsid w:val="73643E68"/>
    <w:rsid w:val="73647167"/>
    <w:rsid w:val="737506A0"/>
    <w:rsid w:val="73A5370D"/>
    <w:rsid w:val="73A94E0E"/>
    <w:rsid w:val="73AC2057"/>
    <w:rsid w:val="73AD2547"/>
    <w:rsid w:val="73B21CC5"/>
    <w:rsid w:val="73C129CB"/>
    <w:rsid w:val="73CC4458"/>
    <w:rsid w:val="73CD12E3"/>
    <w:rsid w:val="73D7055F"/>
    <w:rsid w:val="73DB64F4"/>
    <w:rsid w:val="73F2103B"/>
    <w:rsid w:val="74010095"/>
    <w:rsid w:val="740D36AB"/>
    <w:rsid w:val="7412046B"/>
    <w:rsid w:val="7442016D"/>
    <w:rsid w:val="74686C7A"/>
    <w:rsid w:val="746958B9"/>
    <w:rsid w:val="74722CC9"/>
    <w:rsid w:val="74746454"/>
    <w:rsid w:val="74781783"/>
    <w:rsid w:val="74885403"/>
    <w:rsid w:val="7489353E"/>
    <w:rsid w:val="748A3ACB"/>
    <w:rsid w:val="748D6E40"/>
    <w:rsid w:val="74946EB4"/>
    <w:rsid w:val="74994CDA"/>
    <w:rsid w:val="749B7893"/>
    <w:rsid w:val="749C2573"/>
    <w:rsid w:val="74A149BB"/>
    <w:rsid w:val="74B54047"/>
    <w:rsid w:val="74DE33C8"/>
    <w:rsid w:val="74E81C1F"/>
    <w:rsid w:val="74FE6E94"/>
    <w:rsid w:val="75113DD4"/>
    <w:rsid w:val="752A4D1F"/>
    <w:rsid w:val="752C5049"/>
    <w:rsid w:val="75485955"/>
    <w:rsid w:val="755A0A75"/>
    <w:rsid w:val="758772E5"/>
    <w:rsid w:val="758C6351"/>
    <w:rsid w:val="759725AE"/>
    <w:rsid w:val="75AA428D"/>
    <w:rsid w:val="75AB7D62"/>
    <w:rsid w:val="75B037BE"/>
    <w:rsid w:val="75C6721B"/>
    <w:rsid w:val="75D65E42"/>
    <w:rsid w:val="75E5351E"/>
    <w:rsid w:val="75F25C30"/>
    <w:rsid w:val="76094140"/>
    <w:rsid w:val="760E4D8D"/>
    <w:rsid w:val="76282F5E"/>
    <w:rsid w:val="76316E89"/>
    <w:rsid w:val="76336455"/>
    <w:rsid w:val="76350859"/>
    <w:rsid w:val="764A7E79"/>
    <w:rsid w:val="76576F4E"/>
    <w:rsid w:val="7672057E"/>
    <w:rsid w:val="76741759"/>
    <w:rsid w:val="767B15AA"/>
    <w:rsid w:val="76895CAB"/>
    <w:rsid w:val="76915778"/>
    <w:rsid w:val="76B21583"/>
    <w:rsid w:val="76BC2122"/>
    <w:rsid w:val="76BE093A"/>
    <w:rsid w:val="76BF6A0E"/>
    <w:rsid w:val="76C9174E"/>
    <w:rsid w:val="76CF0E34"/>
    <w:rsid w:val="76FE5336"/>
    <w:rsid w:val="77067DBF"/>
    <w:rsid w:val="771C59D3"/>
    <w:rsid w:val="771F6749"/>
    <w:rsid w:val="772E25FE"/>
    <w:rsid w:val="772E5759"/>
    <w:rsid w:val="773A3729"/>
    <w:rsid w:val="773E1EEE"/>
    <w:rsid w:val="774522D8"/>
    <w:rsid w:val="774D7456"/>
    <w:rsid w:val="776D39B4"/>
    <w:rsid w:val="777A27DD"/>
    <w:rsid w:val="77801611"/>
    <w:rsid w:val="7780281A"/>
    <w:rsid w:val="77810980"/>
    <w:rsid w:val="7795579F"/>
    <w:rsid w:val="779D69CF"/>
    <w:rsid w:val="77A613BA"/>
    <w:rsid w:val="77A83697"/>
    <w:rsid w:val="77BA1DFD"/>
    <w:rsid w:val="77BF42A0"/>
    <w:rsid w:val="77CA16BE"/>
    <w:rsid w:val="77CA29BC"/>
    <w:rsid w:val="77CE3CF8"/>
    <w:rsid w:val="77E8311D"/>
    <w:rsid w:val="77EB68BA"/>
    <w:rsid w:val="77F9357A"/>
    <w:rsid w:val="77FE50E7"/>
    <w:rsid w:val="7802299E"/>
    <w:rsid w:val="78101CB4"/>
    <w:rsid w:val="781534C2"/>
    <w:rsid w:val="7816120B"/>
    <w:rsid w:val="78495E36"/>
    <w:rsid w:val="784B5508"/>
    <w:rsid w:val="785022C5"/>
    <w:rsid w:val="788056B5"/>
    <w:rsid w:val="788C007F"/>
    <w:rsid w:val="78950663"/>
    <w:rsid w:val="7899160B"/>
    <w:rsid w:val="78AD380A"/>
    <w:rsid w:val="78E64C4E"/>
    <w:rsid w:val="78EA637F"/>
    <w:rsid w:val="78EC054A"/>
    <w:rsid w:val="78F263B4"/>
    <w:rsid w:val="78F32DAD"/>
    <w:rsid w:val="78F747D7"/>
    <w:rsid w:val="79084AAF"/>
    <w:rsid w:val="79176AA8"/>
    <w:rsid w:val="791F2BC7"/>
    <w:rsid w:val="792F7256"/>
    <w:rsid w:val="79345713"/>
    <w:rsid w:val="79386195"/>
    <w:rsid w:val="795417E6"/>
    <w:rsid w:val="7956520A"/>
    <w:rsid w:val="797831A0"/>
    <w:rsid w:val="7982028D"/>
    <w:rsid w:val="798B7F62"/>
    <w:rsid w:val="798E5101"/>
    <w:rsid w:val="7993766C"/>
    <w:rsid w:val="79BD489B"/>
    <w:rsid w:val="79E01DD6"/>
    <w:rsid w:val="79E87CE5"/>
    <w:rsid w:val="7A0C1475"/>
    <w:rsid w:val="7A2103B8"/>
    <w:rsid w:val="7A250993"/>
    <w:rsid w:val="7A265DBD"/>
    <w:rsid w:val="7A3C2DB9"/>
    <w:rsid w:val="7A5C3780"/>
    <w:rsid w:val="7A5D3DF1"/>
    <w:rsid w:val="7A634553"/>
    <w:rsid w:val="7A9D7888"/>
    <w:rsid w:val="7ABB6A21"/>
    <w:rsid w:val="7ABE4F7D"/>
    <w:rsid w:val="7AC27807"/>
    <w:rsid w:val="7AD4229E"/>
    <w:rsid w:val="7AD95309"/>
    <w:rsid w:val="7ADC4047"/>
    <w:rsid w:val="7ADD31D6"/>
    <w:rsid w:val="7AFF6FF8"/>
    <w:rsid w:val="7B322B67"/>
    <w:rsid w:val="7B341A99"/>
    <w:rsid w:val="7B36422F"/>
    <w:rsid w:val="7B541C68"/>
    <w:rsid w:val="7B86206E"/>
    <w:rsid w:val="7B8B335D"/>
    <w:rsid w:val="7BB1394C"/>
    <w:rsid w:val="7BC13663"/>
    <w:rsid w:val="7BE212F6"/>
    <w:rsid w:val="7BE75D88"/>
    <w:rsid w:val="7BF147B6"/>
    <w:rsid w:val="7BF56186"/>
    <w:rsid w:val="7BF97C46"/>
    <w:rsid w:val="7BFB494C"/>
    <w:rsid w:val="7BFF3613"/>
    <w:rsid w:val="7C0D1D43"/>
    <w:rsid w:val="7C1078E1"/>
    <w:rsid w:val="7C1F2F3D"/>
    <w:rsid w:val="7C304FFC"/>
    <w:rsid w:val="7C32702C"/>
    <w:rsid w:val="7C3718F6"/>
    <w:rsid w:val="7C524D45"/>
    <w:rsid w:val="7C702B1B"/>
    <w:rsid w:val="7C8A19FC"/>
    <w:rsid w:val="7C956B30"/>
    <w:rsid w:val="7C96052A"/>
    <w:rsid w:val="7C960DD1"/>
    <w:rsid w:val="7C991069"/>
    <w:rsid w:val="7CA33267"/>
    <w:rsid w:val="7CBC01CB"/>
    <w:rsid w:val="7CBE40D8"/>
    <w:rsid w:val="7CC2118C"/>
    <w:rsid w:val="7D020C4D"/>
    <w:rsid w:val="7D023C3B"/>
    <w:rsid w:val="7D0A3AB3"/>
    <w:rsid w:val="7D0D378E"/>
    <w:rsid w:val="7D0F6370"/>
    <w:rsid w:val="7D1B7B59"/>
    <w:rsid w:val="7D280A11"/>
    <w:rsid w:val="7D4F20BC"/>
    <w:rsid w:val="7D686BB0"/>
    <w:rsid w:val="7D6E50CC"/>
    <w:rsid w:val="7D7B1502"/>
    <w:rsid w:val="7D7D3393"/>
    <w:rsid w:val="7D925D5A"/>
    <w:rsid w:val="7DAC16CA"/>
    <w:rsid w:val="7DAF0705"/>
    <w:rsid w:val="7DD97027"/>
    <w:rsid w:val="7DE80A7B"/>
    <w:rsid w:val="7DEF7963"/>
    <w:rsid w:val="7DF97A9A"/>
    <w:rsid w:val="7E0F0BF9"/>
    <w:rsid w:val="7E176615"/>
    <w:rsid w:val="7E1949A8"/>
    <w:rsid w:val="7E3F7508"/>
    <w:rsid w:val="7E505A8D"/>
    <w:rsid w:val="7E513CFD"/>
    <w:rsid w:val="7E65413F"/>
    <w:rsid w:val="7E67063E"/>
    <w:rsid w:val="7E6D1327"/>
    <w:rsid w:val="7E7D2F08"/>
    <w:rsid w:val="7EC178B5"/>
    <w:rsid w:val="7ED05DBC"/>
    <w:rsid w:val="7ED5519D"/>
    <w:rsid w:val="7ED62538"/>
    <w:rsid w:val="7EEF5BCC"/>
    <w:rsid w:val="7EF87AAA"/>
    <w:rsid w:val="7F1615AF"/>
    <w:rsid w:val="7F226187"/>
    <w:rsid w:val="7F3A1B25"/>
    <w:rsid w:val="7F414BD3"/>
    <w:rsid w:val="7F43178C"/>
    <w:rsid w:val="7F5629E0"/>
    <w:rsid w:val="7F6A5045"/>
    <w:rsid w:val="7F7144E3"/>
    <w:rsid w:val="7F7F2AEF"/>
    <w:rsid w:val="7F916D56"/>
    <w:rsid w:val="7F9C05DC"/>
    <w:rsid w:val="7FA2206A"/>
    <w:rsid w:val="7FC10CF5"/>
    <w:rsid w:val="7FD25F4D"/>
    <w:rsid w:val="7FDB0DD2"/>
    <w:rsid w:val="7FDD1E5F"/>
    <w:rsid w:val="7FFF0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qFormat="1"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8"/>
    <w:qFormat/>
    <w:uiPriority w:val="0"/>
    <w:pPr>
      <w:keepNext/>
      <w:keepLines/>
      <w:spacing w:before="260" w:after="260" w:line="416" w:lineRule="auto"/>
      <w:outlineLvl w:val="1"/>
    </w:pPr>
    <w:rPr>
      <w:rFonts w:ascii="Arial" w:hAnsi="Arial" w:eastAsia="黑体"/>
      <w:b/>
      <w:bCs/>
      <w:sz w:val="32"/>
      <w:szCs w:val="32"/>
    </w:rPr>
  </w:style>
  <w:style w:type="character" w:default="1" w:styleId="19">
    <w:name w:val="Default Paragraph Font"/>
    <w:semiHidden/>
    <w:unhideWhenUsed/>
    <w:uiPriority w:val="1"/>
  </w:style>
  <w:style w:type="table" w:default="1" w:styleId="25">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subject"/>
    <w:basedOn w:val="5"/>
    <w:next w:val="5"/>
    <w:link w:val="38"/>
    <w:qFormat/>
    <w:uiPriority w:val="0"/>
    <w:pPr>
      <w:spacing w:line="240" w:lineRule="auto"/>
      <w:ind w:firstLine="0" w:firstLineChars="0"/>
    </w:pPr>
    <w:rPr>
      <w:b/>
      <w:bCs/>
    </w:rPr>
  </w:style>
  <w:style w:type="paragraph" w:styleId="5">
    <w:name w:val="annotation text"/>
    <w:basedOn w:val="1"/>
    <w:link w:val="35"/>
    <w:qFormat/>
    <w:uiPriority w:val="0"/>
    <w:pPr>
      <w:spacing w:line="360" w:lineRule="auto"/>
      <w:ind w:firstLine="200" w:firstLineChars="200"/>
      <w:jc w:val="left"/>
    </w:pPr>
    <w:rPr>
      <w:rFonts w:asciiTheme="minorHAnsi" w:hAnsiTheme="minorHAnsi" w:eastAsiaTheme="minorEastAsia" w:cstheme="minorBidi"/>
    </w:rPr>
  </w:style>
  <w:style w:type="paragraph" w:styleId="6">
    <w:name w:val="caption"/>
    <w:basedOn w:val="1"/>
    <w:next w:val="1"/>
    <w:unhideWhenUsed/>
    <w:qFormat/>
    <w:uiPriority w:val="35"/>
    <w:pPr>
      <w:jc w:val="center"/>
    </w:pPr>
    <w:rPr>
      <w:rFonts w:eastAsia="黑体"/>
    </w:rPr>
  </w:style>
  <w:style w:type="paragraph" w:styleId="7">
    <w:name w:val="Document Map"/>
    <w:basedOn w:val="1"/>
    <w:link w:val="45"/>
    <w:semiHidden/>
    <w:qFormat/>
    <w:uiPriority w:val="0"/>
    <w:pPr>
      <w:shd w:val="clear" w:color="auto" w:fill="000080"/>
    </w:pPr>
  </w:style>
  <w:style w:type="paragraph" w:styleId="8">
    <w:name w:val="toc 3"/>
    <w:basedOn w:val="1"/>
    <w:next w:val="1"/>
    <w:semiHidden/>
    <w:qFormat/>
    <w:uiPriority w:val="0"/>
    <w:pPr>
      <w:ind w:left="840" w:leftChars="400"/>
    </w:pPr>
  </w:style>
  <w:style w:type="paragraph" w:styleId="9">
    <w:name w:val="Date"/>
    <w:basedOn w:val="1"/>
    <w:next w:val="1"/>
    <w:link w:val="46"/>
    <w:qFormat/>
    <w:uiPriority w:val="0"/>
    <w:pPr>
      <w:ind w:left="100" w:leftChars="2500"/>
    </w:pPr>
  </w:style>
  <w:style w:type="paragraph" w:styleId="10">
    <w:name w:val="Balloon Text"/>
    <w:basedOn w:val="1"/>
    <w:link w:val="36"/>
    <w:semiHidden/>
    <w:qFormat/>
    <w:uiPriority w:val="0"/>
    <w:rPr>
      <w:rFonts w:asciiTheme="minorHAnsi" w:hAnsiTheme="minorHAnsi" w:cstheme="minorBidi"/>
      <w:sz w:val="18"/>
      <w:szCs w:val="18"/>
    </w:rPr>
  </w:style>
  <w:style w:type="paragraph" w:styleId="11">
    <w:name w:val="footer"/>
    <w:basedOn w:val="1"/>
    <w:link w:val="30"/>
    <w:unhideWhenUsed/>
    <w:qFormat/>
    <w:uiPriority w:val="99"/>
    <w:pPr>
      <w:tabs>
        <w:tab w:val="center" w:pos="4153"/>
        <w:tab w:val="right" w:pos="8306"/>
      </w:tabs>
      <w:snapToGrid w:val="0"/>
      <w:jc w:val="left"/>
    </w:pPr>
    <w:rPr>
      <w:sz w:val="18"/>
      <w:szCs w:val="18"/>
    </w:rPr>
  </w:style>
  <w:style w:type="paragraph" w:styleId="12">
    <w:name w:val="header"/>
    <w:basedOn w:val="1"/>
    <w:link w:val="29"/>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9628"/>
      </w:tabs>
      <w:spacing w:line="360" w:lineRule="auto"/>
    </w:pPr>
    <w:rPr>
      <w:sz w:val="24"/>
    </w:rPr>
  </w:style>
  <w:style w:type="paragraph" w:styleId="14">
    <w:name w:val="footnote text"/>
    <w:basedOn w:val="1"/>
    <w:semiHidden/>
    <w:unhideWhenUsed/>
    <w:qFormat/>
    <w:uiPriority w:val="99"/>
    <w:pPr>
      <w:snapToGrid w:val="0"/>
      <w:jc w:val="left"/>
    </w:pPr>
    <w:rPr>
      <w:sz w:val="18"/>
    </w:rPr>
  </w:style>
  <w:style w:type="paragraph" w:styleId="15">
    <w:name w:val="table of figures"/>
    <w:basedOn w:val="1"/>
    <w:next w:val="1"/>
    <w:unhideWhenUsed/>
    <w:qFormat/>
    <w:uiPriority w:val="99"/>
    <w:pPr>
      <w:ind w:left="200" w:leftChars="200" w:hanging="200" w:hangingChars="200"/>
    </w:pPr>
  </w:style>
  <w:style w:type="paragraph" w:styleId="16">
    <w:name w:val="toc 2"/>
    <w:basedOn w:val="1"/>
    <w:next w:val="1"/>
    <w:qFormat/>
    <w:uiPriority w:val="39"/>
    <w:pPr>
      <w:ind w:left="420" w:leftChars="200"/>
    </w:pPr>
  </w:style>
  <w:style w:type="paragraph" w:styleId="17">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8">
    <w:name w:val="Title"/>
    <w:basedOn w:val="1"/>
    <w:link w:val="39"/>
    <w:qFormat/>
    <w:uiPriority w:val="0"/>
    <w:pPr>
      <w:spacing w:before="240" w:after="60" w:line="360" w:lineRule="auto"/>
      <w:jc w:val="center"/>
      <w:outlineLvl w:val="0"/>
    </w:pPr>
    <w:rPr>
      <w:rFonts w:ascii="Arial" w:hAnsi="Arial" w:eastAsia="黑体" w:cs="Arial"/>
      <w:bCs/>
      <w:sz w:val="28"/>
      <w:szCs w:val="32"/>
    </w:rPr>
  </w:style>
  <w:style w:type="character" w:styleId="20">
    <w:name w:val="page number"/>
    <w:basedOn w:val="19"/>
    <w:qFormat/>
    <w:uiPriority w:val="0"/>
  </w:style>
  <w:style w:type="character" w:styleId="21">
    <w:name w:val="FollowedHyperlink"/>
    <w:qFormat/>
    <w:uiPriority w:val="0"/>
    <w:rPr>
      <w:color w:val="954F72"/>
      <w:u w:val="single"/>
    </w:rPr>
  </w:style>
  <w:style w:type="character" w:styleId="22">
    <w:name w:val="Hyperlink"/>
    <w:qFormat/>
    <w:uiPriority w:val="99"/>
    <w:rPr>
      <w:color w:val="0000FF"/>
      <w:u w:val="single"/>
    </w:rPr>
  </w:style>
  <w:style w:type="character" w:styleId="23">
    <w:name w:val="annotation reference"/>
    <w:qFormat/>
    <w:uiPriority w:val="0"/>
    <w:rPr>
      <w:sz w:val="21"/>
      <w:szCs w:val="21"/>
    </w:rPr>
  </w:style>
  <w:style w:type="character" w:styleId="24">
    <w:name w:val="footnote reference"/>
    <w:basedOn w:val="19"/>
    <w:semiHidden/>
    <w:unhideWhenUsed/>
    <w:qFormat/>
    <w:uiPriority w:val="99"/>
    <w:rPr>
      <w:vertAlign w:val="superscript"/>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7">
    <w:name w:val="标题 1 Char"/>
    <w:basedOn w:val="19"/>
    <w:link w:val="2"/>
    <w:qFormat/>
    <w:uiPriority w:val="0"/>
    <w:rPr>
      <w:rFonts w:ascii="Times New Roman" w:hAnsi="Times New Roman" w:eastAsia="宋体" w:cs="Times New Roman"/>
      <w:b/>
      <w:bCs/>
      <w:kern w:val="44"/>
      <w:sz w:val="44"/>
      <w:szCs w:val="44"/>
    </w:rPr>
  </w:style>
  <w:style w:type="character" w:customStyle="1" w:styleId="28">
    <w:name w:val="标题 2 Char1"/>
    <w:link w:val="3"/>
    <w:qFormat/>
    <w:uiPriority w:val="0"/>
    <w:rPr>
      <w:rFonts w:ascii="Arial" w:hAnsi="Arial" w:eastAsia="黑体" w:cs="Times New Roman"/>
      <w:b/>
      <w:bCs/>
      <w:sz w:val="32"/>
      <w:szCs w:val="32"/>
    </w:rPr>
  </w:style>
  <w:style w:type="character" w:customStyle="1" w:styleId="29">
    <w:name w:val="页眉 Char"/>
    <w:basedOn w:val="19"/>
    <w:link w:val="12"/>
    <w:qFormat/>
    <w:uiPriority w:val="99"/>
    <w:rPr>
      <w:sz w:val="18"/>
      <w:szCs w:val="18"/>
    </w:rPr>
  </w:style>
  <w:style w:type="character" w:customStyle="1" w:styleId="30">
    <w:name w:val="页脚 Char"/>
    <w:basedOn w:val="19"/>
    <w:link w:val="11"/>
    <w:qFormat/>
    <w:uiPriority w:val="99"/>
    <w:rPr>
      <w:sz w:val="18"/>
      <w:szCs w:val="18"/>
    </w:rPr>
  </w:style>
  <w:style w:type="character" w:customStyle="1" w:styleId="31">
    <w:name w:val="标题 2 Char"/>
    <w:basedOn w:val="19"/>
    <w:qFormat/>
    <w:uiPriority w:val="0"/>
    <w:rPr>
      <w:rFonts w:asciiTheme="majorHAnsi" w:hAnsiTheme="majorHAnsi" w:eastAsiaTheme="majorEastAsia" w:cstheme="majorBidi"/>
      <w:b/>
      <w:bCs/>
      <w:sz w:val="32"/>
      <w:szCs w:val="32"/>
    </w:rPr>
  </w:style>
  <w:style w:type="character" w:customStyle="1" w:styleId="32">
    <w:name w:val="页眉 字符"/>
    <w:semiHidden/>
    <w:qFormat/>
    <w:locked/>
    <w:uiPriority w:val="0"/>
    <w:rPr>
      <w:rFonts w:eastAsia="宋体"/>
      <w:kern w:val="2"/>
      <w:sz w:val="18"/>
      <w:szCs w:val="18"/>
      <w:lang w:val="en-US" w:eastAsia="zh-CN" w:bidi="ar-SA"/>
    </w:rPr>
  </w:style>
  <w:style w:type="character" w:customStyle="1" w:styleId="33">
    <w:name w:val="段 Char"/>
    <w:link w:val="34"/>
    <w:qFormat/>
    <w:uiPriority w:val="0"/>
    <w:rPr>
      <w:rFonts w:ascii="宋体"/>
    </w:rPr>
  </w:style>
  <w:style w:type="paragraph" w:customStyle="1" w:styleId="34">
    <w:name w:val="段"/>
    <w:link w:val="33"/>
    <w:qFormat/>
    <w:uiPriority w:val="0"/>
    <w:pPr>
      <w:autoSpaceDE w:val="0"/>
      <w:autoSpaceDN w:val="0"/>
      <w:ind w:firstLine="200" w:firstLineChars="200"/>
      <w:jc w:val="both"/>
    </w:pPr>
    <w:rPr>
      <w:rFonts w:ascii="宋体" w:hAnsiTheme="minorHAnsi" w:eastAsiaTheme="minorEastAsia" w:cstheme="minorBidi"/>
      <w:kern w:val="2"/>
      <w:sz w:val="21"/>
      <w:szCs w:val="22"/>
      <w:lang w:val="en-US" w:eastAsia="zh-CN" w:bidi="ar-SA"/>
    </w:rPr>
  </w:style>
  <w:style w:type="character" w:customStyle="1" w:styleId="35">
    <w:name w:val="批注文字 Char1"/>
    <w:link w:val="5"/>
    <w:qFormat/>
    <w:uiPriority w:val="0"/>
    <w:rPr>
      <w:szCs w:val="24"/>
    </w:rPr>
  </w:style>
  <w:style w:type="character" w:customStyle="1" w:styleId="36">
    <w:name w:val="批注框文本 Char1"/>
    <w:link w:val="10"/>
    <w:semiHidden/>
    <w:qFormat/>
    <w:locked/>
    <w:uiPriority w:val="0"/>
    <w:rPr>
      <w:rFonts w:eastAsia="宋体"/>
      <w:sz w:val="18"/>
      <w:szCs w:val="18"/>
    </w:rPr>
  </w:style>
  <w:style w:type="character" w:customStyle="1" w:styleId="37">
    <w:name w:val="页脚 字符"/>
    <w:qFormat/>
    <w:locked/>
    <w:uiPriority w:val="99"/>
    <w:rPr>
      <w:rFonts w:eastAsia="宋体"/>
      <w:kern w:val="2"/>
      <w:sz w:val="18"/>
      <w:szCs w:val="18"/>
      <w:lang w:val="en-US" w:eastAsia="zh-CN" w:bidi="ar-SA"/>
    </w:rPr>
  </w:style>
  <w:style w:type="character" w:customStyle="1" w:styleId="38">
    <w:name w:val="批注主题 Char1"/>
    <w:link w:val="4"/>
    <w:qFormat/>
    <w:uiPriority w:val="0"/>
    <w:rPr>
      <w:b/>
      <w:bCs/>
      <w:szCs w:val="24"/>
    </w:rPr>
  </w:style>
  <w:style w:type="character" w:customStyle="1" w:styleId="39">
    <w:name w:val="标题 Char1"/>
    <w:link w:val="18"/>
    <w:qFormat/>
    <w:uiPriority w:val="0"/>
    <w:rPr>
      <w:rFonts w:ascii="Arial" w:hAnsi="Arial" w:eastAsia="黑体" w:cs="Arial"/>
      <w:bCs/>
      <w:sz w:val="28"/>
      <w:szCs w:val="32"/>
    </w:rPr>
  </w:style>
  <w:style w:type="character" w:customStyle="1" w:styleId="40">
    <w:name w:val="high-light-bg"/>
    <w:qFormat/>
    <w:uiPriority w:val="0"/>
  </w:style>
  <w:style w:type="character" w:customStyle="1" w:styleId="41">
    <w:name w:val="分条 Char"/>
    <w:link w:val="42"/>
    <w:qFormat/>
    <w:uiPriority w:val="0"/>
    <w:rPr>
      <w:rFonts w:eastAsia="宋体"/>
      <w:sz w:val="24"/>
      <w:szCs w:val="24"/>
    </w:rPr>
  </w:style>
  <w:style w:type="paragraph" w:customStyle="1" w:styleId="42">
    <w:name w:val="分条"/>
    <w:basedOn w:val="1"/>
    <w:link w:val="41"/>
    <w:qFormat/>
    <w:uiPriority w:val="0"/>
    <w:pPr>
      <w:spacing w:line="360" w:lineRule="auto"/>
      <w:ind w:firstLine="200" w:firstLineChars="200"/>
    </w:pPr>
    <w:rPr>
      <w:rFonts w:asciiTheme="minorHAnsi" w:hAnsiTheme="minorHAnsi" w:cstheme="minorBidi"/>
      <w:sz w:val="24"/>
    </w:rPr>
  </w:style>
  <w:style w:type="character" w:customStyle="1" w:styleId="43">
    <w:name w:val="发布"/>
    <w:qFormat/>
    <w:uiPriority w:val="0"/>
    <w:rPr>
      <w:rFonts w:ascii="黑体" w:eastAsia="黑体"/>
      <w:spacing w:val="22"/>
      <w:w w:val="100"/>
      <w:position w:val="3"/>
      <w:sz w:val="28"/>
    </w:rPr>
  </w:style>
  <w:style w:type="character" w:customStyle="1" w:styleId="44">
    <w:name w:val="批注框文本 Char"/>
    <w:basedOn w:val="19"/>
    <w:semiHidden/>
    <w:qFormat/>
    <w:uiPriority w:val="99"/>
    <w:rPr>
      <w:rFonts w:ascii="Times New Roman" w:hAnsi="Times New Roman" w:eastAsia="宋体" w:cs="Times New Roman"/>
      <w:sz w:val="18"/>
      <w:szCs w:val="18"/>
    </w:rPr>
  </w:style>
  <w:style w:type="character" w:customStyle="1" w:styleId="45">
    <w:name w:val="文档结构图 Char"/>
    <w:basedOn w:val="19"/>
    <w:link w:val="7"/>
    <w:semiHidden/>
    <w:qFormat/>
    <w:uiPriority w:val="0"/>
    <w:rPr>
      <w:rFonts w:ascii="Times New Roman" w:hAnsi="Times New Roman" w:eastAsia="宋体" w:cs="Times New Roman"/>
      <w:szCs w:val="24"/>
      <w:shd w:val="clear" w:color="auto" w:fill="000080"/>
    </w:rPr>
  </w:style>
  <w:style w:type="character" w:customStyle="1" w:styleId="46">
    <w:name w:val="日期 Char"/>
    <w:basedOn w:val="19"/>
    <w:link w:val="9"/>
    <w:qFormat/>
    <w:uiPriority w:val="0"/>
    <w:rPr>
      <w:rFonts w:ascii="Times New Roman" w:hAnsi="Times New Roman" w:eastAsia="宋体" w:cs="Times New Roman"/>
      <w:szCs w:val="24"/>
    </w:rPr>
  </w:style>
  <w:style w:type="character" w:customStyle="1" w:styleId="47">
    <w:name w:val="批注文字 Char"/>
    <w:basedOn w:val="19"/>
    <w:semiHidden/>
    <w:qFormat/>
    <w:uiPriority w:val="99"/>
    <w:rPr>
      <w:rFonts w:ascii="Times New Roman" w:hAnsi="Times New Roman" w:eastAsia="宋体" w:cs="Times New Roman"/>
      <w:szCs w:val="24"/>
    </w:rPr>
  </w:style>
  <w:style w:type="character" w:customStyle="1" w:styleId="48">
    <w:name w:val="批注主题 Char"/>
    <w:basedOn w:val="47"/>
    <w:semiHidden/>
    <w:qFormat/>
    <w:uiPriority w:val="99"/>
    <w:rPr>
      <w:rFonts w:ascii="Times New Roman" w:hAnsi="Times New Roman" w:eastAsia="宋体" w:cs="Times New Roman"/>
      <w:b/>
      <w:bCs/>
      <w:szCs w:val="24"/>
    </w:rPr>
  </w:style>
  <w:style w:type="character" w:customStyle="1" w:styleId="49">
    <w:name w:val="标题 Char"/>
    <w:basedOn w:val="19"/>
    <w:qFormat/>
    <w:uiPriority w:val="10"/>
    <w:rPr>
      <w:rFonts w:eastAsia="宋体" w:asciiTheme="majorHAnsi" w:hAnsiTheme="majorHAnsi" w:cstheme="majorBidi"/>
      <w:b/>
      <w:bCs/>
      <w:sz w:val="32"/>
      <w:szCs w:val="32"/>
    </w:rPr>
  </w:style>
  <w:style w:type="paragraph" w:customStyle="1" w:styleId="50">
    <w:name w:val="章标题"/>
    <w:next w:val="34"/>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51">
    <w:name w:val="二级条标题"/>
    <w:basedOn w:val="52"/>
    <w:next w:val="34"/>
    <w:qFormat/>
    <w:uiPriority w:val="0"/>
    <w:pPr>
      <w:ind w:left="0"/>
      <w:outlineLvl w:val="3"/>
    </w:pPr>
  </w:style>
  <w:style w:type="paragraph" w:customStyle="1" w:styleId="52">
    <w:name w:val="一级条标题"/>
    <w:next w:val="34"/>
    <w:qFormat/>
    <w:uiPriority w:val="0"/>
    <w:pPr>
      <w:ind w:left="420"/>
      <w:outlineLvl w:val="2"/>
    </w:pPr>
    <w:rPr>
      <w:rFonts w:ascii="Times New Roman" w:hAnsi="Times New Roman" w:eastAsia="黑体" w:cs="Times New Roman"/>
      <w:sz w:val="21"/>
      <w:lang w:val="en-US" w:eastAsia="zh-CN" w:bidi="ar-SA"/>
    </w:rPr>
  </w:style>
  <w:style w:type="paragraph" w:customStyle="1" w:styleId="53">
    <w:name w:val="附录标识"/>
    <w:basedOn w:val="54"/>
    <w:qFormat/>
    <w:uiPriority w:val="0"/>
    <w:pPr>
      <w:tabs>
        <w:tab w:val="left" w:pos="6405"/>
      </w:tabs>
      <w:spacing w:after="200"/>
    </w:pPr>
    <w:rPr>
      <w:sz w:val="21"/>
    </w:rPr>
  </w:style>
  <w:style w:type="paragraph" w:customStyle="1" w:styleId="54">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55">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56">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57">
    <w:name w:val="发布部门"/>
    <w:next w:val="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58">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styleId="59">
    <w:name w:val="List Paragraph"/>
    <w:basedOn w:val="1"/>
    <w:qFormat/>
    <w:uiPriority w:val="34"/>
    <w:pPr>
      <w:ind w:firstLine="420" w:firstLineChars="200"/>
    </w:pPr>
    <w:rPr>
      <w:rFonts w:ascii="Calibri" w:hAnsi="Calibri"/>
      <w:szCs w:val="22"/>
    </w:rPr>
  </w:style>
  <w:style w:type="paragraph" w:customStyle="1" w:styleId="60">
    <w:name w:val="附录五级条标题"/>
    <w:basedOn w:val="61"/>
    <w:next w:val="34"/>
    <w:qFormat/>
    <w:uiPriority w:val="0"/>
    <w:pPr>
      <w:outlineLvl w:val="6"/>
    </w:pPr>
  </w:style>
  <w:style w:type="paragraph" w:customStyle="1" w:styleId="61">
    <w:name w:val="附录四级条标题"/>
    <w:basedOn w:val="62"/>
    <w:next w:val="34"/>
    <w:qFormat/>
    <w:uiPriority w:val="0"/>
    <w:pPr>
      <w:outlineLvl w:val="5"/>
    </w:pPr>
  </w:style>
  <w:style w:type="paragraph" w:customStyle="1" w:styleId="62">
    <w:name w:val="附录三级条标题"/>
    <w:basedOn w:val="63"/>
    <w:next w:val="34"/>
    <w:qFormat/>
    <w:uiPriority w:val="0"/>
    <w:pPr>
      <w:outlineLvl w:val="4"/>
    </w:pPr>
  </w:style>
  <w:style w:type="paragraph" w:customStyle="1" w:styleId="63">
    <w:name w:val="附录二级条标题"/>
    <w:basedOn w:val="64"/>
    <w:next w:val="34"/>
    <w:qFormat/>
    <w:uiPriority w:val="0"/>
    <w:pPr>
      <w:outlineLvl w:val="3"/>
    </w:pPr>
  </w:style>
  <w:style w:type="paragraph" w:customStyle="1" w:styleId="64">
    <w:name w:val="附录一级条标题"/>
    <w:basedOn w:val="65"/>
    <w:next w:val="34"/>
    <w:qFormat/>
    <w:uiPriority w:val="0"/>
    <w:pPr>
      <w:autoSpaceDN w:val="0"/>
      <w:spacing w:beforeLines="0" w:afterLines="0"/>
      <w:outlineLvl w:val="2"/>
    </w:pPr>
  </w:style>
  <w:style w:type="paragraph" w:customStyle="1" w:styleId="65">
    <w:name w:val="附录章标题"/>
    <w:next w:val="34"/>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6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67">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68">
    <w:name w:val="三级条标题"/>
    <w:basedOn w:val="51"/>
    <w:next w:val="34"/>
    <w:qFormat/>
    <w:uiPriority w:val="0"/>
    <w:pPr>
      <w:outlineLvl w:val="4"/>
    </w:pPr>
  </w:style>
  <w:style w:type="paragraph" w:customStyle="1" w:styleId="69">
    <w:name w:val="封面标准代替信息"/>
    <w:basedOn w:val="67"/>
    <w:qFormat/>
    <w:uiPriority w:val="0"/>
    <w:pPr>
      <w:spacing w:before="57"/>
    </w:pPr>
    <w:rPr>
      <w:rFonts w:ascii="宋体"/>
      <w:sz w:val="21"/>
    </w:rPr>
  </w:style>
  <w:style w:type="paragraph" w:customStyle="1" w:styleId="70">
    <w:name w:val="实施日期"/>
    <w:basedOn w:val="58"/>
    <w:qFormat/>
    <w:uiPriority w:val="0"/>
    <w:pPr>
      <w:framePr w:hSpace="0" w:xAlign="right"/>
      <w:jc w:val="right"/>
    </w:pPr>
  </w:style>
  <w:style w:type="paragraph" w:customStyle="1" w:styleId="71">
    <w:name w:val="五级条标题"/>
    <w:basedOn w:val="72"/>
    <w:next w:val="34"/>
    <w:qFormat/>
    <w:uiPriority w:val="0"/>
    <w:pPr>
      <w:outlineLvl w:val="6"/>
    </w:pPr>
  </w:style>
  <w:style w:type="paragraph" w:customStyle="1" w:styleId="72">
    <w:name w:val="四级条标题"/>
    <w:basedOn w:val="68"/>
    <w:next w:val="34"/>
    <w:qFormat/>
    <w:uiPriority w:val="0"/>
    <w:pPr>
      <w:outlineLvl w:val="5"/>
    </w:pPr>
  </w:style>
  <w:style w:type="paragraph" w:customStyle="1" w:styleId="73">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74">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7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76">
    <w:name w:val="WPSOffice手动目录 1"/>
    <w:qFormat/>
    <w:uiPriority w:val="0"/>
    <w:rPr>
      <w:rFonts w:ascii="Times New Roman" w:hAnsi="Times New Roman" w:eastAsia="宋体" w:cs="Times New Roman"/>
      <w:lang w:val="en-US" w:eastAsia="zh-CN" w:bidi="ar-SA"/>
    </w:rPr>
  </w:style>
  <w:style w:type="paragraph" w:customStyle="1" w:styleId="77">
    <w:name w:val="Char"/>
    <w:basedOn w:val="1"/>
    <w:qFormat/>
    <w:uiPriority w:val="0"/>
    <w:pPr>
      <w:widowControl/>
      <w:spacing w:after="160" w:line="240" w:lineRule="exact"/>
      <w:jc w:val="left"/>
    </w:pPr>
  </w:style>
  <w:style w:type="paragraph" w:customStyle="1" w:styleId="78">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9">
    <w:name w:val="章"/>
    <w:basedOn w:val="1"/>
    <w:qFormat/>
    <w:uiPriority w:val="0"/>
    <w:pPr>
      <w:spacing w:beforeLines="100" w:afterLines="100" w:line="300" w:lineRule="auto"/>
      <w:jc w:val="center"/>
      <w:outlineLvl w:val="0"/>
    </w:pPr>
    <w:rPr>
      <w:b/>
      <w:bCs/>
      <w:sz w:val="28"/>
      <w:szCs w:val="28"/>
    </w:rPr>
  </w:style>
  <w:style w:type="paragraph" w:customStyle="1" w:styleId="80">
    <w:name w:val="标准文件_段"/>
    <w:qFormat/>
    <w:uiPriority w:val="0"/>
    <w:pPr>
      <w:autoSpaceDE w:val="0"/>
      <w:autoSpaceDN w:val="0"/>
      <w:adjustRightInd w:val="0"/>
      <w:snapToGrid w:val="0"/>
      <w:spacing w:line="276" w:lineRule="auto"/>
      <w:ind w:right="-105" w:rightChars="-50" w:firstLine="420"/>
      <w:jc w:val="center"/>
    </w:pPr>
    <w:rPr>
      <w:rFonts w:ascii="宋体" w:hAnsi="宋体" w:eastAsia="宋体" w:cs="Times New Roman"/>
      <w:spacing w:val="2"/>
      <w:sz w:val="21"/>
      <w:szCs w:val="21"/>
      <w:lang w:val="en-US" w:eastAsia="zh-CN" w:bidi="ar-SA"/>
    </w:rPr>
  </w:style>
  <w:style w:type="paragraph" w:customStyle="1" w:styleId="81">
    <w:name w:val="修订1"/>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oleObject" Target="embeddings/oleObject35.bin"/><Relationship Id="rId98" Type="http://schemas.openxmlformats.org/officeDocument/2006/relationships/image" Target="media/image43.wmf"/><Relationship Id="rId97" Type="http://schemas.openxmlformats.org/officeDocument/2006/relationships/oleObject" Target="embeddings/oleObject34.bin"/><Relationship Id="rId96" Type="http://schemas.openxmlformats.org/officeDocument/2006/relationships/image" Target="media/image42.wmf"/><Relationship Id="rId95" Type="http://schemas.openxmlformats.org/officeDocument/2006/relationships/oleObject" Target="embeddings/oleObject33.bin"/><Relationship Id="rId94" Type="http://schemas.openxmlformats.org/officeDocument/2006/relationships/image" Target="media/image41.wmf"/><Relationship Id="rId93" Type="http://schemas.openxmlformats.org/officeDocument/2006/relationships/oleObject" Target="embeddings/oleObject32.bin"/><Relationship Id="rId92" Type="http://schemas.openxmlformats.org/officeDocument/2006/relationships/image" Target="media/image40.wmf"/><Relationship Id="rId91" Type="http://schemas.openxmlformats.org/officeDocument/2006/relationships/oleObject" Target="embeddings/oleObject31.bin"/><Relationship Id="rId90" Type="http://schemas.openxmlformats.org/officeDocument/2006/relationships/image" Target="media/image39.wmf"/><Relationship Id="rId9" Type="http://schemas.openxmlformats.org/officeDocument/2006/relationships/footer" Target="footer6.xml"/><Relationship Id="rId89" Type="http://schemas.openxmlformats.org/officeDocument/2006/relationships/oleObject" Target="embeddings/oleObject30.bin"/><Relationship Id="rId88" Type="http://schemas.openxmlformats.org/officeDocument/2006/relationships/image" Target="media/image38.wmf"/><Relationship Id="rId87" Type="http://schemas.openxmlformats.org/officeDocument/2006/relationships/oleObject" Target="embeddings/oleObject29.bin"/><Relationship Id="rId86" Type="http://schemas.openxmlformats.org/officeDocument/2006/relationships/image" Target="media/image37.wmf"/><Relationship Id="rId85" Type="http://schemas.openxmlformats.org/officeDocument/2006/relationships/oleObject" Target="embeddings/oleObject28.bin"/><Relationship Id="rId84" Type="http://schemas.openxmlformats.org/officeDocument/2006/relationships/image" Target="media/image36.wmf"/><Relationship Id="rId83" Type="http://schemas.openxmlformats.org/officeDocument/2006/relationships/oleObject" Target="embeddings/oleObject27.bin"/><Relationship Id="rId82" Type="http://schemas.openxmlformats.org/officeDocument/2006/relationships/image" Target="media/image35.wmf"/><Relationship Id="rId81" Type="http://schemas.openxmlformats.org/officeDocument/2006/relationships/oleObject" Target="embeddings/oleObject26.bin"/><Relationship Id="rId80" Type="http://schemas.openxmlformats.org/officeDocument/2006/relationships/image" Target="media/image34.wmf"/><Relationship Id="rId8" Type="http://schemas.openxmlformats.org/officeDocument/2006/relationships/footer" Target="footer5.xml"/><Relationship Id="rId79" Type="http://schemas.openxmlformats.org/officeDocument/2006/relationships/oleObject" Target="embeddings/oleObject25.bin"/><Relationship Id="rId78" Type="http://schemas.openxmlformats.org/officeDocument/2006/relationships/image" Target="media/image33.wmf"/><Relationship Id="rId77" Type="http://schemas.openxmlformats.org/officeDocument/2006/relationships/oleObject" Target="embeddings/oleObject24.bin"/><Relationship Id="rId76" Type="http://schemas.openxmlformats.org/officeDocument/2006/relationships/image" Target="media/image32.wmf"/><Relationship Id="rId75" Type="http://schemas.openxmlformats.org/officeDocument/2006/relationships/oleObject" Target="embeddings/oleObject23.bin"/><Relationship Id="rId74" Type="http://schemas.openxmlformats.org/officeDocument/2006/relationships/image" Target="media/image31.wmf"/><Relationship Id="rId73" Type="http://schemas.openxmlformats.org/officeDocument/2006/relationships/oleObject" Target="embeddings/oleObject22.bin"/><Relationship Id="rId72" Type="http://schemas.openxmlformats.org/officeDocument/2006/relationships/image" Target="media/image30.wmf"/><Relationship Id="rId71" Type="http://schemas.openxmlformats.org/officeDocument/2006/relationships/oleObject" Target="embeddings/oleObject21.bin"/><Relationship Id="rId70" Type="http://schemas.openxmlformats.org/officeDocument/2006/relationships/image" Target="media/image29.wmf"/><Relationship Id="rId7" Type="http://schemas.openxmlformats.org/officeDocument/2006/relationships/footer" Target="footer4.xml"/><Relationship Id="rId69" Type="http://schemas.openxmlformats.org/officeDocument/2006/relationships/oleObject" Target="embeddings/oleObject20.bin"/><Relationship Id="rId68" Type="http://schemas.openxmlformats.org/officeDocument/2006/relationships/image" Target="media/image28.wmf"/><Relationship Id="rId67" Type="http://schemas.openxmlformats.org/officeDocument/2006/relationships/oleObject" Target="embeddings/oleObject19.bin"/><Relationship Id="rId66" Type="http://schemas.openxmlformats.org/officeDocument/2006/relationships/image" Target="media/image27.wmf"/><Relationship Id="rId65" Type="http://schemas.openxmlformats.org/officeDocument/2006/relationships/oleObject" Target="embeddings/oleObject18.bin"/><Relationship Id="rId64" Type="http://schemas.openxmlformats.org/officeDocument/2006/relationships/image" Target="media/image26.wmf"/><Relationship Id="rId63" Type="http://schemas.openxmlformats.org/officeDocument/2006/relationships/oleObject" Target="embeddings/oleObject17.bin"/><Relationship Id="rId62" Type="http://schemas.openxmlformats.org/officeDocument/2006/relationships/image" Target="media/image25.wmf"/><Relationship Id="rId61" Type="http://schemas.openxmlformats.org/officeDocument/2006/relationships/oleObject" Target="embeddings/oleObject16.bin"/><Relationship Id="rId60" Type="http://schemas.openxmlformats.org/officeDocument/2006/relationships/image" Target="media/image24.wmf"/><Relationship Id="rId6" Type="http://schemas.openxmlformats.org/officeDocument/2006/relationships/footer" Target="footer3.xml"/><Relationship Id="rId59" Type="http://schemas.openxmlformats.org/officeDocument/2006/relationships/oleObject" Target="embeddings/oleObject15.bin"/><Relationship Id="rId58" Type="http://schemas.openxmlformats.org/officeDocument/2006/relationships/image" Target="media/image23.wmf"/><Relationship Id="rId57" Type="http://schemas.openxmlformats.org/officeDocument/2006/relationships/oleObject" Target="embeddings/oleObject14.bin"/><Relationship Id="rId56" Type="http://schemas.openxmlformats.org/officeDocument/2006/relationships/oleObject" Target="embeddings/oleObject13.bin"/><Relationship Id="rId55" Type="http://schemas.openxmlformats.org/officeDocument/2006/relationships/image" Target="media/image22.wmf"/><Relationship Id="rId54" Type="http://schemas.openxmlformats.org/officeDocument/2006/relationships/oleObject" Target="embeddings/oleObject12.bin"/><Relationship Id="rId53" Type="http://schemas.openxmlformats.org/officeDocument/2006/relationships/image" Target="media/image21.wmf"/><Relationship Id="rId52" Type="http://schemas.openxmlformats.org/officeDocument/2006/relationships/oleObject" Target="embeddings/oleObject11.bin"/><Relationship Id="rId51" Type="http://schemas.openxmlformats.org/officeDocument/2006/relationships/image" Target="media/image20.wmf"/><Relationship Id="rId50" Type="http://schemas.openxmlformats.org/officeDocument/2006/relationships/oleObject" Target="embeddings/oleObject10.bin"/><Relationship Id="rId5" Type="http://schemas.openxmlformats.org/officeDocument/2006/relationships/footer" Target="footer2.xml"/><Relationship Id="rId49" Type="http://schemas.openxmlformats.org/officeDocument/2006/relationships/image" Target="media/image19.wmf"/><Relationship Id="rId48" Type="http://schemas.openxmlformats.org/officeDocument/2006/relationships/oleObject" Target="embeddings/oleObject9.bin"/><Relationship Id="rId47" Type="http://schemas.openxmlformats.org/officeDocument/2006/relationships/image" Target="media/image18.wmf"/><Relationship Id="rId46" Type="http://schemas.openxmlformats.org/officeDocument/2006/relationships/oleObject" Target="embeddings/oleObject8.bin"/><Relationship Id="rId45" Type="http://schemas.openxmlformats.org/officeDocument/2006/relationships/image" Target="media/image17.wmf"/><Relationship Id="rId44" Type="http://schemas.openxmlformats.org/officeDocument/2006/relationships/oleObject" Target="embeddings/oleObject7.bin"/><Relationship Id="rId43" Type="http://schemas.openxmlformats.org/officeDocument/2006/relationships/image" Target="media/image16.wmf"/><Relationship Id="rId42" Type="http://schemas.openxmlformats.org/officeDocument/2006/relationships/oleObject" Target="embeddings/oleObject6.bin"/><Relationship Id="rId41" Type="http://schemas.openxmlformats.org/officeDocument/2006/relationships/image" Target="media/image15.wmf"/><Relationship Id="rId40" Type="http://schemas.openxmlformats.org/officeDocument/2006/relationships/oleObject" Target="embeddings/oleObject5.bin"/><Relationship Id="rId4" Type="http://schemas.openxmlformats.org/officeDocument/2006/relationships/footer" Target="footer1.xml"/><Relationship Id="rId39" Type="http://schemas.openxmlformats.org/officeDocument/2006/relationships/image" Target="media/image14.wmf"/><Relationship Id="rId38" Type="http://schemas.openxmlformats.org/officeDocument/2006/relationships/oleObject" Target="embeddings/oleObject4.bin"/><Relationship Id="rId37" Type="http://schemas.openxmlformats.org/officeDocument/2006/relationships/image" Target="media/image13.wmf"/><Relationship Id="rId36" Type="http://schemas.openxmlformats.org/officeDocument/2006/relationships/oleObject" Target="embeddings/oleObject3.bin"/><Relationship Id="rId35" Type="http://schemas.openxmlformats.org/officeDocument/2006/relationships/image" Target="media/image12.wmf"/><Relationship Id="rId34" Type="http://schemas.openxmlformats.org/officeDocument/2006/relationships/oleObject" Target="embeddings/oleObject2.bin"/><Relationship Id="rId33" Type="http://schemas.openxmlformats.org/officeDocument/2006/relationships/image" Target="media/image11.emf"/><Relationship Id="rId32" Type="http://schemas.openxmlformats.org/officeDocument/2006/relationships/image" Target="media/image10.emf"/><Relationship Id="rId31" Type="http://schemas.openxmlformats.org/officeDocument/2006/relationships/image" Target="media/image9.emf"/><Relationship Id="rId30" Type="http://schemas.openxmlformats.org/officeDocument/2006/relationships/image" Target="media/image8.png"/><Relationship Id="rId3" Type="http://schemas.openxmlformats.org/officeDocument/2006/relationships/header" Target="head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wmf"/><Relationship Id="rId24" Type="http://schemas.openxmlformats.org/officeDocument/2006/relationships/oleObject" Target="embeddings/oleObject1.bin"/><Relationship Id="rId23" Type="http://schemas.openxmlformats.org/officeDocument/2006/relationships/image" Target="media/image2.png"/><Relationship Id="rId22" Type="http://schemas.openxmlformats.org/officeDocument/2006/relationships/image" Target="media/image1.emf"/><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2" Type="http://schemas.openxmlformats.org/officeDocument/2006/relationships/fontTable" Target="fontTable.xml"/><Relationship Id="rId191" Type="http://schemas.openxmlformats.org/officeDocument/2006/relationships/customXml" Target="../customXml/item2.xml"/><Relationship Id="rId190" Type="http://schemas.openxmlformats.org/officeDocument/2006/relationships/numbering" Target="numbering.xml"/><Relationship Id="rId19" Type="http://schemas.openxmlformats.org/officeDocument/2006/relationships/footer" Target="footer15.xml"/><Relationship Id="rId189" Type="http://schemas.openxmlformats.org/officeDocument/2006/relationships/customXml" Target="../customXml/item1.xml"/><Relationship Id="rId188" Type="http://schemas.openxmlformats.org/officeDocument/2006/relationships/image" Target="media/image83.png"/><Relationship Id="rId187" Type="http://schemas.openxmlformats.org/officeDocument/2006/relationships/image" Target="media/image82.wmf"/><Relationship Id="rId186" Type="http://schemas.openxmlformats.org/officeDocument/2006/relationships/oleObject" Target="embeddings/oleObject84.bin"/><Relationship Id="rId185" Type="http://schemas.openxmlformats.org/officeDocument/2006/relationships/image" Target="media/image81.wmf"/><Relationship Id="rId184" Type="http://schemas.openxmlformats.org/officeDocument/2006/relationships/oleObject" Target="embeddings/oleObject83.bin"/><Relationship Id="rId183" Type="http://schemas.openxmlformats.org/officeDocument/2006/relationships/image" Target="media/image80.wmf"/><Relationship Id="rId182" Type="http://schemas.openxmlformats.org/officeDocument/2006/relationships/oleObject" Target="embeddings/oleObject82.bin"/><Relationship Id="rId181" Type="http://schemas.openxmlformats.org/officeDocument/2006/relationships/image" Target="media/image79.wmf"/><Relationship Id="rId180" Type="http://schemas.openxmlformats.org/officeDocument/2006/relationships/oleObject" Target="embeddings/oleObject81.bin"/><Relationship Id="rId18" Type="http://schemas.openxmlformats.org/officeDocument/2006/relationships/footer" Target="footer14.xml"/><Relationship Id="rId179" Type="http://schemas.openxmlformats.org/officeDocument/2006/relationships/image" Target="media/image78.wmf"/><Relationship Id="rId178" Type="http://schemas.openxmlformats.org/officeDocument/2006/relationships/oleObject" Target="embeddings/oleObject80.bin"/><Relationship Id="rId177" Type="http://schemas.openxmlformats.org/officeDocument/2006/relationships/image" Target="media/image77.wmf"/><Relationship Id="rId176" Type="http://schemas.openxmlformats.org/officeDocument/2006/relationships/oleObject" Target="embeddings/oleObject79.bin"/><Relationship Id="rId175" Type="http://schemas.openxmlformats.org/officeDocument/2006/relationships/image" Target="media/image76.wmf"/><Relationship Id="rId174" Type="http://schemas.openxmlformats.org/officeDocument/2006/relationships/oleObject" Target="embeddings/oleObject78.bin"/><Relationship Id="rId173" Type="http://schemas.openxmlformats.org/officeDocument/2006/relationships/image" Target="media/image75.wmf"/><Relationship Id="rId172" Type="http://schemas.openxmlformats.org/officeDocument/2006/relationships/oleObject" Target="embeddings/oleObject77.bin"/><Relationship Id="rId171" Type="http://schemas.openxmlformats.org/officeDocument/2006/relationships/oleObject" Target="embeddings/oleObject76.bin"/><Relationship Id="rId170" Type="http://schemas.openxmlformats.org/officeDocument/2006/relationships/image" Target="media/image74.wmf"/><Relationship Id="rId17" Type="http://schemas.openxmlformats.org/officeDocument/2006/relationships/footer" Target="footer13.xml"/><Relationship Id="rId169" Type="http://schemas.openxmlformats.org/officeDocument/2006/relationships/oleObject" Target="embeddings/oleObject75.bin"/><Relationship Id="rId168" Type="http://schemas.openxmlformats.org/officeDocument/2006/relationships/oleObject" Target="embeddings/oleObject74.bin"/><Relationship Id="rId167" Type="http://schemas.openxmlformats.org/officeDocument/2006/relationships/image" Target="media/image73.wmf"/><Relationship Id="rId166" Type="http://schemas.openxmlformats.org/officeDocument/2006/relationships/oleObject" Target="embeddings/oleObject73.bin"/><Relationship Id="rId165" Type="http://schemas.openxmlformats.org/officeDocument/2006/relationships/oleObject" Target="embeddings/oleObject72.bin"/><Relationship Id="rId164" Type="http://schemas.openxmlformats.org/officeDocument/2006/relationships/image" Target="media/image72.wmf"/><Relationship Id="rId163" Type="http://schemas.openxmlformats.org/officeDocument/2006/relationships/oleObject" Target="embeddings/oleObject71.bin"/><Relationship Id="rId162" Type="http://schemas.openxmlformats.org/officeDocument/2006/relationships/image" Target="media/image71.wmf"/><Relationship Id="rId161" Type="http://schemas.openxmlformats.org/officeDocument/2006/relationships/oleObject" Target="embeddings/oleObject70.bin"/><Relationship Id="rId160" Type="http://schemas.openxmlformats.org/officeDocument/2006/relationships/image" Target="media/image70.wmf"/><Relationship Id="rId16" Type="http://schemas.openxmlformats.org/officeDocument/2006/relationships/footer" Target="footer12.xml"/><Relationship Id="rId159" Type="http://schemas.openxmlformats.org/officeDocument/2006/relationships/oleObject" Target="embeddings/oleObject69.bin"/><Relationship Id="rId158" Type="http://schemas.openxmlformats.org/officeDocument/2006/relationships/image" Target="media/image69.wmf"/><Relationship Id="rId157" Type="http://schemas.openxmlformats.org/officeDocument/2006/relationships/oleObject" Target="embeddings/oleObject68.bin"/><Relationship Id="rId156" Type="http://schemas.openxmlformats.org/officeDocument/2006/relationships/image" Target="media/image68.wmf"/><Relationship Id="rId155" Type="http://schemas.openxmlformats.org/officeDocument/2006/relationships/oleObject" Target="embeddings/oleObject67.bin"/><Relationship Id="rId154" Type="http://schemas.openxmlformats.org/officeDocument/2006/relationships/image" Target="media/image67.wmf"/><Relationship Id="rId153" Type="http://schemas.openxmlformats.org/officeDocument/2006/relationships/oleObject" Target="embeddings/oleObject66.bin"/><Relationship Id="rId152" Type="http://schemas.openxmlformats.org/officeDocument/2006/relationships/image" Target="media/image66.wmf"/><Relationship Id="rId151" Type="http://schemas.openxmlformats.org/officeDocument/2006/relationships/oleObject" Target="embeddings/oleObject65.bin"/><Relationship Id="rId150" Type="http://schemas.openxmlformats.org/officeDocument/2006/relationships/image" Target="media/image65.wmf"/><Relationship Id="rId15" Type="http://schemas.openxmlformats.org/officeDocument/2006/relationships/footer" Target="footer11.xml"/><Relationship Id="rId149" Type="http://schemas.openxmlformats.org/officeDocument/2006/relationships/oleObject" Target="embeddings/oleObject64.bin"/><Relationship Id="rId148" Type="http://schemas.openxmlformats.org/officeDocument/2006/relationships/image" Target="media/image64.wmf"/><Relationship Id="rId147" Type="http://schemas.openxmlformats.org/officeDocument/2006/relationships/oleObject" Target="embeddings/oleObject63.bin"/><Relationship Id="rId146" Type="http://schemas.openxmlformats.org/officeDocument/2006/relationships/oleObject" Target="embeddings/oleObject62.bin"/><Relationship Id="rId145" Type="http://schemas.openxmlformats.org/officeDocument/2006/relationships/oleObject" Target="embeddings/oleObject61.bin"/><Relationship Id="rId144" Type="http://schemas.openxmlformats.org/officeDocument/2006/relationships/image" Target="media/image63.wmf"/><Relationship Id="rId143" Type="http://schemas.openxmlformats.org/officeDocument/2006/relationships/oleObject" Target="embeddings/oleObject60.bin"/><Relationship Id="rId142" Type="http://schemas.openxmlformats.org/officeDocument/2006/relationships/oleObject" Target="embeddings/oleObject59.bin"/><Relationship Id="rId141" Type="http://schemas.openxmlformats.org/officeDocument/2006/relationships/image" Target="media/image62.wmf"/><Relationship Id="rId140" Type="http://schemas.openxmlformats.org/officeDocument/2006/relationships/oleObject" Target="embeddings/oleObject58.bin"/><Relationship Id="rId14" Type="http://schemas.openxmlformats.org/officeDocument/2006/relationships/footer" Target="footer10.xml"/><Relationship Id="rId139" Type="http://schemas.openxmlformats.org/officeDocument/2006/relationships/oleObject" Target="embeddings/oleObject57.bin"/><Relationship Id="rId138" Type="http://schemas.openxmlformats.org/officeDocument/2006/relationships/oleObject" Target="embeddings/oleObject56.bin"/><Relationship Id="rId137" Type="http://schemas.openxmlformats.org/officeDocument/2006/relationships/image" Target="media/image61.wmf"/><Relationship Id="rId136" Type="http://schemas.openxmlformats.org/officeDocument/2006/relationships/oleObject" Target="embeddings/oleObject55.bin"/><Relationship Id="rId135" Type="http://schemas.openxmlformats.org/officeDocument/2006/relationships/oleObject" Target="embeddings/oleObject54.bin"/><Relationship Id="rId134" Type="http://schemas.openxmlformats.org/officeDocument/2006/relationships/image" Target="media/image60.wmf"/><Relationship Id="rId133" Type="http://schemas.openxmlformats.org/officeDocument/2006/relationships/oleObject" Target="embeddings/oleObject53.bin"/><Relationship Id="rId132" Type="http://schemas.openxmlformats.org/officeDocument/2006/relationships/image" Target="media/image59.wmf"/><Relationship Id="rId131" Type="http://schemas.openxmlformats.org/officeDocument/2006/relationships/oleObject" Target="embeddings/oleObject52.bin"/><Relationship Id="rId130" Type="http://schemas.openxmlformats.org/officeDocument/2006/relationships/image" Target="media/image58.wmf"/><Relationship Id="rId13" Type="http://schemas.openxmlformats.org/officeDocument/2006/relationships/footer" Target="footer9.xml"/><Relationship Id="rId129" Type="http://schemas.openxmlformats.org/officeDocument/2006/relationships/oleObject" Target="embeddings/oleObject51.bin"/><Relationship Id="rId128" Type="http://schemas.openxmlformats.org/officeDocument/2006/relationships/image" Target="media/image57.wmf"/><Relationship Id="rId127" Type="http://schemas.openxmlformats.org/officeDocument/2006/relationships/oleObject" Target="embeddings/oleObject50.bin"/><Relationship Id="rId126" Type="http://schemas.openxmlformats.org/officeDocument/2006/relationships/image" Target="media/image56.wmf"/><Relationship Id="rId125" Type="http://schemas.openxmlformats.org/officeDocument/2006/relationships/oleObject" Target="embeddings/oleObject49.bin"/><Relationship Id="rId124" Type="http://schemas.openxmlformats.org/officeDocument/2006/relationships/oleObject" Target="embeddings/oleObject48.bin"/><Relationship Id="rId123" Type="http://schemas.openxmlformats.org/officeDocument/2006/relationships/image" Target="media/image55.wmf"/><Relationship Id="rId122" Type="http://schemas.openxmlformats.org/officeDocument/2006/relationships/oleObject" Target="embeddings/oleObject47.bin"/><Relationship Id="rId121" Type="http://schemas.openxmlformats.org/officeDocument/2006/relationships/image" Target="media/image54.wmf"/><Relationship Id="rId120" Type="http://schemas.openxmlformats.org/officeDocument/2006/relationships/oleObject" Target="embeddings/oleObject46.bin"/><Relationship Id="rId12" Type="http://schemas.openxmlformats.org/officeDocument/2006/relationships/footer" Target="footer8.xml"/><Relationship Id="rId119" Type="http://schemas.openxmlformats.org/officeDocument/2006/relationships/oleObject" Target="embeddings/oleObject45.bin"/><Relationship Id="rId118" Type="http://schemas.openxmlformats.org/officeDocument/2006/relationships/image" Target="media/image53.wmf"/><Relationship Id="rId117" Type="http://schemas.openxmlformats.org/officeDocument/2006/relationships/oleObject" Target="embeddings/oleObject44.bin"/><Relationship Id="rId116" Type="http://schemas.openxmlformats.org/officeDocument/2006/relationships/image" Target="media/image52.wmf"/><Relationship Id="rId115" Type="http://schemas.openxmlformats.org/officeDocument/2006/relationships/oleObject" Target="embeddings/oleObject43.bin"/><Relationship Id="rId114" Type="http://schemas.openxmlformats.org/officeDocument/2006/relationships/image" Target="media/image51.wmf"/><Relationship Id="rId113" Type="http://schemas.openxmlformats.org/officeDocument/2006/relationships/oleObject" Target="embeddings/oleObject42.bin"/><Relationship Id="rId112" Type="http://schemas.openxmlformats.org/officeDocument/2006/relationships/image" Target="media/image50.wmf"/><Relationship Id="rId111" Type="http://schemas.openxmlformats.org/officeDocument/2006/relationships/oleObject" Target="embeddings/oleObject41.bin"/><Relationship Id="rId110" Type="http://schemas.openxmlformats.org/officeDocument/2006/relationships/image" Target="media/image49.wmf"/><Relationship Id="rId11" Type="http://schemas.openxmlformats.org/officeDocument/2006/relationships/header" Target="header2.xml"/><Relationship Id="rId109" Type="http://schemas.openxmlformats.org/officeDocument/2006/relationships/oleObject" Target="embeddings/oleObject40.bin"/><Relationship Id="rId108" Type="http://schemas.openxmlformats.org/officeDocument/2006/relationships/image" Target="media/image48.wmf"/><Relationship Id="rId107" Type="http://schemas.openxmlformats.org/officeDocument/2006/relationships/oleObject" Target="embeddings/oleObject39.bin"/><Relationship Id="rId106" Type="http://schemas.openxmlformats.org/officeDocument/2006/relationships/image" Target="media/image47.wmf"/><Relationship Id="rId105" Type="http://schemas.openxmlformats.org/officeDocument/2006/relationships/oleObject" Target="embeddings/oleObject38.bin"/><Relationship Id="rId104" Type="http://schemas.openxmlformats.org/officeDocument/2006/relationships/image" Target="media/image46.wmf"/><Relationship Id="rId103" Type="http://schemas.openxmlformats.org/officeDocument/2006/relationships/oleObject" Target="embeddings/oleObject37.bin"/><Relationship Id="rId102" Type="http://schemas.openxmlformats.org/officeDocument/2006/relationships/image" Target="media/image45.wmf"/><Relationship Id="rId101" Type="http://schemas.openxmlformats.org/officeDocument/2006/relationships/oleObject" Target="embeddings/oleObject36.bin"/><Relationship Id="rId100" Type="http://schemas.openxmlformats.org/officeDocument/2006/relationships/image" Target="media/image44.wmf"/><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customShpInfo spid="_x0000_s1117"/>
    <customShpInfo spid="_x0000_s1116"/>
    <customShpInfo spid="_x0000_s1115"/>
    <customShpInfo spid="_x0000_s1114"/>
    <customShpInfo spid="_x0000_s1113"/>
    <customShpInfo spid="_x0000_s1112"/>
    <customShpInfo spid="_x0000_s111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0452B5-845D-4B89-A0BC-3EC5B21AE61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54</Pages>
  <Words>6266</Words>
  <Characters>35718</Characters>
  <Lines>297</Lines>
  <Paragraphs>83</Paragraphs>
  <TotalTime>5</TotalTime>
  <ScaleCrop>false</ScaleCrop>
  <LinksUpToDate>false</LinksUpToDate>
  <CharactersWithSpaces>41901</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2022-04-15T05:59:00Z</dcterms:created>
  <dc:creator>李俊杰</dc:creator>
  <cp:lastModifiedBy>李国政</cp:lastModifiedBy>
  <cp:lastPrinted>2022-04-14T03:40:00Z</cp:lastPrinted>
  <dcterms:modified xsi:type="dcterms:W3CDTF">2022-05-06T12:41:28Z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F167F6BD3E5A49E69B7ED15D3EA4540F</vt:lpwstr>
  </property>
</Properties>
</file>