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9"/>
        <w:framePr w:w="5219" w:wrap="around" w:vAnchor="page" w:hAnchor="page" w:x="1421" w:y="568"/>
        <w:rPr>
          <w:rFonts w:ascii="Times New Roman" w:eastAsia="宋体"/>
        </w:rPr>
      </w:pPr>
      <w:r>
        <w:rPr>
          <w:rFonts w:ascii="Times New Roman"/>
        </w:rPr>
        <w:t>ICS 77-010</w:t>
      </w:r>
      <w:r>
        <w:rPr>
          <w:rFonts w:ascii="Times New Roman" w:eastAsia="MS Mincho"/>
        </w:rPr>
        <w:t> </w:t>
      </w:r>
    </w:p>
    <w:p>
      <w:pPr>
        <w:pStyle w:val="139"/>
        <w:framePr w:w="5219" w:wrap="around" w:vAnchor="page" w:hAnchor="page" w:x="1421" w:y="568"/>
        <w:rPr>
          <w:rFonts w:ascii="Times New Roman"/>
        </w:rPr>
      </w:pPr>
      <w:r>
        <w:rPr>
          <w:rFonts w:ascii="Times New Roman"/>
        </w:rPr>
        <w:t>H 04</w:t>
      </w:r>
    </w:p>
    <w:p>
      <w:pPr>
        <w:pStyle w:val="79"/>
        <w:framePr w:wrap="around"/>
      </w:pPr>
      <w:r>
        <w:t>YB</w:t>
      </w:r>
    </w:p>
    <w:p>
      <w:pPr>
        <w:pStyle w:val="79"/>
        <w:framePr w:wrap="around"/>
        <w:ind w:right="4115"/>
      </w:pPr>
    </w:p>
    <w:p>
      <w:pPr>
        <w:pStyle w:val="80"/>
        <w:framePr w:w="10399" w:wrap="around" w:x="938" w:y="2301"/>
        <w:rPr>
          <w:rFonts w:ascii="Times New Roman" w:eastAsia="黑体"/>
          <w:b w:val="0"/>
          <w:w w:val="130"/>
        </w:rPr>
      </w:pPr>
      <w:r>
        <w:rPr>
          <w:rFonts w:ascii="Times New Roman" w:eastAsia="黑体"/>
          <w:b w:val="0"/>
          <w:w w:val="130"/>
        </w:rPr>
        <w:t>中华人民共和国黑色冶金行业标准</w:t>
      </w:r>
    </w:p>
    <w:p>
      <w:pPr>
        <w:pStyle w:val="58"/>
        <w:framePr w:wrap="around"/>
        <w:rPr>
          <w:rFonts w:ascii="Times New Roman"/>
          <w:lang w:val="fr-FR"/>
        </w:rPr>
      </w:pPr>
      <w:r>
        <w:rPr>
          <w:rFonts w:ascii="Times New Roman"/>
          <w:lang w:val="fr-FR"/>
        </w:rPr>
        <w:t xml:space="preserve">YB/T </w:t>
      </w:r>
      <w:bookmarkStart w:id="0" w:name="StdNo1"/>
      <w:r>
        <w:rPr>
          <w:rFonts w:ascii="Times New Roman"/>
          <w:lang w:val="fr-FR"/>
        </w:rPr>
        <w:fldChar w:fldCharType="begin">
          <w:ffData>
            <w:name w:val="StdNo1"/>
            <w:enabled/>
            <w:calcOnExit w:val="0"/>
            <w:textInput>
              <w:default w:val="XXXXX"/>
            </w:textInput>
          </w:ffData>
        </w:fldChar>
      </w:r>
      <w:r>
        <w:rPr>
          <w:rFonts w:ascii="Times New Roman"/>
          <w:lang w:val="fr-FR"/>
        </w:rPr>
        <w:instrText xml:space="preserve"> FORMTEXT </w:instrText>
      </w:r>
      <w:r>
        <w:rPr>
          <w:rFonts w:ascii="Times New Roman"/>
          <w:lang w:val="fr-FR"/>
        </w:rPr>
        <w:fldChar w:fldCharType="separate"/>
      </w:r>
      <w:r>
        <w:rPr>
          <w:rFonts w:ascii="Times New Roman"/>
          <w:lang w:val="fr-FR"/>
        </w:rPr>
        <w:t>XXXXX</w:t>
      </w:r>
      <w:r>
        <w:rPr>
          <w:rFonts w:ascii="Times New Roman"/>
          <w:lang w:val="fr-FR"/>
        </w:rPr>
        <w:fldChar w:fldCharType="end"/>
      </w:r>
      <w:bookmarkEnd w:id="0"/>
      <w:r>
        <w:rPr>
          <w:rFonts w:ascii="Times New Roman"/>
          <w:lang w:val="fr-FR"/>
        </w:rPr>
        <w:t>—</w:t>
      </w:r>
      <w:bookmarkStart w:id="1" w:name="StdNo2"/>
      <w:r>
        <w:rPr>
          <w:rFonts w:ascii="Times New Roman"/>
          <w:lang w:val="fr-FR"/>
        </w:rPr>
        <w:fldChar w:fldCharType="begin">
          <w:ffData>
            <w:name w:val="StdNo2"/>
            <w:enabled/>
            <w:calcOnExit w:val="0"/>
            <w:textInput>
              <w:default w:val="XXXX"/>
              <w:maxLength w:val="4"/>
            </w:textInput>
          </w:ffData>
        </w:fldChar>
      </w:r>
      <w:r>
        <w:rPr>
          <w:rFonts w:ascii="Times New Roman"/>
          <w:lang w:val="fr-FR"/>
        </w:rPr>
        <w:instrText xml:space="preserve"> FORMTEXT </w:instrText>
      </w:r>
      <w:r>
        <w:rPr>
          <w:rFonts w:ascii="Times New Roman"/>
          <w:lang w:val="fr-FR"/>
        </w:rPr>
        <w:fldChar w:fldCharType="separate"/>
      </w:r>
      <w:r>
        <w:rPr>
          <w:rFonts w:ascii="Times New Roman"/>
          <w:lang w:val="fr-FR"/>
        </w:rPr>
        <w:t>XXXX</w:t>
      </w:r>
      <w:r>
        <w:rPr>
          <w:rFonts w:ascii="Times New Roman"/>
          <w:lang w:val="fr-FR"/>
        </w:rPr>
        <w:fldChar w:fldCharType="end"/>
      </w:r>
      <w:bookmarkEnd w:id="1"/>
    </w:p>
    <w:tbl>
      <w:tblPr>
        <w:tblStyle w:val="39"/>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pPr>
              <w:pStyle w:val="89"/>
              <w:framePr w:wrap="around"/>
              <w:rPr>
                <w:rFonts w:ascii="Times New Roman"/>
              </w:rPr>
            </w:pPr>
            <w:bookmarkStart w:id="2" w:name="DT"/>
            <w:r>
              <w:rPr>
                <w:rFonts w:ascii="Times New Roman"/>
              </w:rPr>
              <w:pict>
                <v:rect id="DT" o:spid="_x0000_s2050" o:spt="1" style="position:absolute;left:0pt;margin-left:372.8pt;margin-top:119.8pt;height:18pt;width:90pt;z-index:-251655168;mso-width-relative:page;mso-height-relative:page;"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">
                  <v:path/>
                  <v:fill focussize="0,0"/>
                  <v:stroke on="f"/>
                  <v:imagedata o:title=""/>
                  <o:lock v:ext="edit"/>
                </v:rect>
              </w:pict>
            </w:r>
            <w:r>
              <w:rPr>
                <w:rFonts w:ascii="Times New Roman"/>
              </w:rPr>
              <w:fldChar w:fldCharType="begin">
                <w:ffData>
                  <w:name w:val="DT"/>
                  <w:enabled/>
                  <w:calcOnExit w:val="0"/>
                  <w:entryMacro w:val="ShowHelp4"/>
                  <w:textInput/>
                </w:ffData>
              </w:fldChar>
            </w:r>
            <w:r>
              <w:rPr>
                <w:rFonts w:ascii="Times New Roman"/>
              </w:rPr>
              <w:instrText xml:space="preserve"> FORMTEXT </w:instrText>
            </w:r>
            <w:r>
              <w:rPr>
                <w:rFonts w:ascii="Times New Roman"/>
              </w:rPr>
              <w:fldChar w:fldCharType="separate"/>
            </w:r>
            <w:r>
              <w:rPr>
                <w:rFonts w:ascii="Times New Roman"/>
              </w:rPr>
              <w:t>     </w:t>
            </w:r>
            <w:r>
              <w:rPr>
                <w:rFonts w:ascii="Times New Roman"/>
              </w:rPr>
              <w:fldChar w:fldCharType="end"/>
            </w:r>
            <w:bookmarkEnd w:id="2"/>
          </w:p>
        </w:tc>
      </w:tr>
    </w:tbl>
    <w:p>
      <w:pPr>
        <w:pStyle w:val="58"/>
        <w:framePr w:wrap="around"/>
        <w:rPr>
          <w:rFonts w:ascii="Times New Roman"/>
        </w:rPr>
      </w:pPr>
    </w:p>
    <w:p>
      <w:pPr>
        <w:pStyle w:val="58"/>
        <w:framePr w:wrap="around"/>
        <w:rPr>
          <w:rFonts w:ascii="Times New Roman"/>
        </w:rPr>
      </w:pPr>
    </w:p>
    <w:p>
      <w:pPr>
        <w:pStyle w:val="91"/>
        <w:framePr w:wrap="around" w:x="1264" w:y="6358"/>
        <w:rPr>
          <w:rFonts w:ascii="Times New Roman"/>
        </w:rPr>
      </w:pPr>
      <w:r>
        <w:rPr>
          <w:rFonts w:hint="eastAsia" w:ascii="Times New Roman"/>
        </w:rPr>
        <w:t>焦炉烘炉技术检测及验收标准</w:t>
      </w:r>
    </w:p>
    <w:p>
      <w:pPr>
        <w:pStyle w:val="92"/>
        <w:framePr w:wrap="around" w:x="1264" w:y="6358"/>
      </w:pPr>
      <w:bookmarkStart w:id="3" w:name="_Hlk161057256"/>
      <w:r>
        <w:rPr>
          <w:rFonts w:hint="eastAsia"/>
        </w:rPr>
        <w:t>T</w:t>
      </w:r>
      <w:r>
        <w:t>echnical detection and acceptance standard for coke oven battery heating-u</w:t>
      </w:r>
      <w:bookmarkEnd w:id="3"/>
      <w:r>
        <w:t>p</w:t>
      </w:r>
    </w:p>
    <w:tbl>
      <w:tblPr>
        <w:tblStyle w:val="39"/>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tcPr>
          <w:p>
            <w:pPr>
              <w:pStyle w:val="94"/>
              <w:framePr w:wrap="around" w:x="1264" w:y="6358"/>
              <w:rPr>
                <w:rFonts w:ascii="Times New Roman"/>
              </w:rPr>
            </w:pPr>
            <w:r>
              <w:rPr>
                <w:rFonts w:ascii="Times New Roman"/>
              </w:rPr>
              <w:pict>
                <v:rect id="RQ" o:spid="_x0000_s2066" o:spt="1" style="position:absolute;left:0pt;margin-left:173.3pt;margin-top:337.15pt;height:20pt;width:150pt;z-index:-251654144;mso-width-relative:page;mso-height-relative:page;"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">
                  <v:path/>
                  <v:fill focussize="0,0"/>
                  <v:stroke on="f"/>
                  <v:imagedata o:title=""/>
                  <o:lock v:ext="edit"/>
                  <w10:anchorlock/>
                </v:rect>
              </w:pict>
            </w:r>
            <w:r>
              <w:rPr>
                <w:rFonts w:ascii="Times New Roman"/>
              </w:rPr>
              <w:pict>
                <v:rect id="LB" o:spid="_x0000_s2065" o:spt="1" style="position:absolute;left:0pt;margin-left:193.3pt;margin-top:312.15pt;height:24pt;width:100pt;z-index:-251655168;mso-width-relative:page;mso-height-relative:page;"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">
                  <v:path/>
                  <v:fill focussize="0,0"/>
                  <v:stroke on="f"/>
                  <v:imagedata o:title=""/>
                  <o:lock v:ext="edit"/>
                </v:rect>
              </w:pict>
            </w:r>
            <w:r>
              <w:rPr>
                <w:rFonts w:ascii="Times New Roman"/>
              </w:rPr>
              <w:t>（</w:t>
            </w:r>
            <w:r>
              <w:rPr>
                <w:rFonts w:hint="eastAsia" w:ascii="Times New Roman"/>
                <w:lang w:val="en-US" w:eastAsia="zh-CN"/>
              </w:rPr>
              <w:t>征求意见稿</w:t>
            </w:r>
            <w:r>
              <w:rPr>
                <w:rFonts w:ascii="Times New Roma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tcPr>
          <w:p>
            <w:pPr>
              <w:pStyle w:val="95"/>
              <w:framePr w:wrap="around" w:x="1264" w:y="6358"/>
              <w:rPr>
                <w:rFonts w:ascii="Times New Roman"/>
              </w:rPr>
            </w:pPr>
            <w:bookmarkStart w:id="4" w:name="WCRQ"/>
            <w:r>
              <w:rPr>
                <w:rFonts w:ascii="Times New Roman"/>
              </w:rPr>
              <w:fldChar w:fldCharType="begin">
                <w:ffData>
                  <w:name w:val="WCRQ"/>
                  <w:enabled/>
                  <w:calcOnExit w:val="0"/>
                  <w:textInput/>
                </w:ffData>
              </w:fldChar>
            </w:r>
            <w:r>
              <w:rPr>
                <w:rFonts w:ascii="Times New Roman"/>
              </w:rPr>
              <w:instrText xml:space="preserve"> FORMTEXT </w:instrText>
            </w:r>
            <w:r>
              <w:rPr>
                <w:rFonts w:ascii="Times New Roman"/>
              </w:rPr>
              <w:fldChar w:fldCharType="separate"/>
            </w:r>
            <w:r>
              <w:rPr>
                <w:rFonts w:ascii="Times New Roman"/>
              </w:rPr>
              <w:t>     </w:t>
            </w:r>
            <w:r>
              <w:rPr>
                <w:rFonts w:ascii="Times New Roman"/>
              </w:rPr>
              <w:fldChar w:fldCharType="end"/>
            </w:r>
            <w:bookmarkEnd w:id="4"/>
          </w:p>
        </w:tc>
      </w:tr>
    </w:tbl>
    <w:p>
      <w:pPr>
        <w:pStyle w:val="146"/>
        <w:framePr w:wrap="around" w:hAnchor="page" w:x="1430" w:y="14079"/>
      </w:pPr>
      <w:bookmarkStart w:id="5" w:name="FY"/>
      <w:r>
        <w:fldChar w:fldCharType="begin">
          <w:ffData>
            <w:name w:val="FY"/>
            <w:enabled/>
            <w:calcOnExit w:val="0"/>
            <w:entryMacro w:val="ShowHelp8"/>
            <w:textInput>
              <w:default w:val="XXXX"/>
              <w:maxLength w:val="4"/>
            </w:textInput>
          </w:ffData>
        </w:fldChar>
      </w:r>
      <w:r>
        <w:instrText xml:space="preserve"> FORMTEXT </w:instrText>
      </w:r>
      <w:r>
        <w:fldChar w:fldCharType="separate"/>
      </w:r>
      <w:r>
        <w:t>XXXX</w:t>
      </w:r>
      <w:r>
        <w:fldChar w:fldCharType="end"/>
      </w:r>
      <w:bookmarkEnd w:id="5"/>
      <w:r>
        <w:t>-</w:t>
      </w:r>
      <w:bookmarkStart w:id="6" w:name="FM"/>
      <w:r>
        <w:fldChar w:fldCharType="begin">
          <w:ffData>
            <w:name w:val="FM"/>
            <w:enabled/>
            <w:calcOnExit w:val="0"/>
            <w:entryMacro w:val="ShowHelp8"/>
            <w:textInput>
              <w:default w:val="XX"/>
              <w:maxLength w:val="2"/>
            </w:textInput>
          </w:ffData>
        </w:fldChar>
      </w:r>
      <w:r>
        <w:instrText xml:space="preserve"> FORMTEXT </w:instrText>
      </w:r>
      <w:r>
        <w:fldChar w:fldCharType="separate"/>
      </w:r>
      <w:r>
        <w:t>XX</w:t>
      </w:r>
      <w:r>
        <w:fldChar w:fldCharType="end"/>
      </w:r>
      <w:bookmarkEnd w:id="6"/>
      <w:r>
        <w:t>-</w:t>
      </w:r>
      <w:bookmarkStart w:id="7" w:name="FD"/>
      <w:r>
        <w:fldChar w:fldCharType="begin">
          <w:ffData>
            <w:name w:val="FD"/>
            <w:enabled/>
            <w:calcOnExit w:val="0"/>
            <w:entryMacro w:val="ShowHelp8"/>
            <w:textInput>
              <w:default w:val="XX"/>
              <w:maxLength w:val="2"/>
            </w:textInput>
          </w:ffData>
        </w:fldChar>
      </w:r>
      <w:r>
        <w:instrText xml:space="preserve"> FORMTEXT </w:instrText>
      </w:r>
      <w:r>
        <w:fldChar w:fldCharType="separate"/>
      </w:r>
      <w:r>
        <w:t>XX</w:t>
      </w:r>
      <w:r>
        <w:fldChar w:fldCharType="end"/>
      </w:r>
      <w:bookmarkEnd w:id="7"/>
      <w:r>
        <w:t>发布</w:t>
      </w:r>
      <w:r>
        <w:pict>
          <v:line id="Line 10" o:spid="_x0000_s2064" o:spt="20" style="position:absolute;left:0pt;margin-left:-0.05pt;margin-top:728.5pt;height:0pt;width:481.9pt;mso-position-vertical-relative:page;z-index:25165926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">
            <v:path arrowok="t"/>
            <v:fill focussize="0,0"/>
            <v:stroke/>
            <v:imagedata o:title=""/>
            <o:lock v:ext="edit"/>
            <w10:anchorlock/>
          </v:line>
        </w:pict>
      </w:r>
    </w:p>
    <w:p>
      <w:pPr>
        <w:pStyle w:val="147"/>
        <w:framePr w:wrap="around" w:hAnchor="page" w:x="7051" w:y="14121"/>
      </w:pPr>
      <w:bookmarkStart w:id="8" w:name="SY"/>
      <w:r>
        <w:fldChar w:fldCharType="begin">
          <w:ffData>
            <w:name w:val="SY"/>
            <w:enabled/>
            <w:calcOnExit w:val="0"/>
            <w:entryMacro w:val="ShowHelp9"/>
            <w:textInput>
              <w:default w:val="XXXX"/>
              <w:maxLength w:val="4"/>
            </w:textInput>
          </w:ffData>
        </w:fldChar>
      </w:r>
      <w:r>
        <w:instrText xml:space="preserve"> FORMTEXT </w:instrText>
      </w:r>
      <w:r>
        <w:fldChar w:fldCharType="separate"/>
      </w:r>
      <w:r>
        <w:t>XXXX</w:t>
      </w:r>
      <w:r>
        <w:fldChar w:fldCharType="end"/>
      </w:r>
      <w:bookmarkEnd w:id="8"/>
      <w:r>
        <w:t>-</w:t>
      </w:r>
      <w:bookmarkStart w:id="9" w:name="SM"/>
      <w:r>
        <w:fldChar w:fldCharType="begin">
          <w:ffData>
            <w:name w:val="SM"/>
            <w:enabled/>
            <w:calcOnExit w:val="0"/>
            <w:entryMacro w:val="ShowHelp9"/>
            <w:textInput>
              <w:default w:val="XX"/>
              <w:maxLength w:val="2"/>
            </w:textInput>
          </w:ffData>
        </w:fldChar>
      </w:r>
      <w:r>
        <w:instrText xml:space="preserve"> FORMTEXT </w:instrText>
      </w:r>
      <w:r>
        <w:fldChar w:fldCharType="separate"/>
      </w:r>
      <w:r>
        <w:t>XX</w:t>
      </w:r>
      <w:r>
        <w:fldChar w:fldCharType="end"/>
      </w:r>
      <w:bookmarkEnd w:id="9"/>
      <w:r>
        <w:t>-</w:t>
      </w:r>
      <w:r>
        <w:fldChar w:fldCharType="begin">
          <w:ffData>
            <w:name w:val="SM"/>
            <w:enabled/>
            <w:calcOnExit w:val="0"/>
            <w:entryMacro w:val="ShowHelp9"/>
            <w:textInput>
              <w:default w:val="XX"/>
              <w:maxLength w:val="2"/>
            </w:textInput>
          </w:ffData>
        </w:fldChar>
      </w:r>
      <w:r>
        <w:instrText xml:space="preserve"> FORMTEXT </w:instrText>
      </w:r>
      <w:r>
        <w:fldChar w:fldCharType="separate"/>
      </w:r>
      <w:r>
        <w:t>XX</w:t>
      </w:r>
      <w:r>
        <w:fldChar w:fldCharType="end"/>
      </w:r>
      <w:r>
        <w:t>实施</w:t>
      </w:r>
    </w:p>
    <w:p>
      <w:pPr>
        <w:pStyle w:val="87"/>
        <w:framePr w:wrap="around"/>
        <w:rPr>
          <w:rFonts w:ascii="Times New Roman"/>
          <w:sz w:val="24"/>
        </w:rPr>
      </w:pPr>
      <w:r>
        <w:rPr>
          <w:rFonts w:ascii="Times New Roman" w:eastAsia="黑体"/>
          <w:b w:val="0"/>
        </w:rPr>
        <w:t>中华人民共和国工业和信息化部</w:t>
      </w:r>
    </w:p>
    <w:p>
      <w:pPr>
        <w:pStyle w:val="29"/>
        <w:tabs>
          <w:tab w:val="right" w:leader="dot" w:pos="9870"/>
          <w:tab w:val="clear" w:pos="9298"/>
        </w:tabs>
        <w:ind w:firstLine="0" w:firstLineChars="0"/>
        <w:rPr>
          <w:rFonts w:ascii="Times New Roman"/>
        </w:rPr>
        <w:sectPr>
          <w:pgSz w:w="11906" w:h="16838"/>
          <w:pgMar w:top="567" w:right="850" w:bottom="1134" w:left="1418" w:header="0" w:footer="0" w:gutter="0"/>
          <w:pgNumType w:start="1"/>
          <w:cols w:space="425" w:num="1"/>
          <w:docGrid w:type="lines" w:linePitch="312" w:charSpace="0"/>
        </w:sectPr>
      </w:pPr>
      <w:r>
        <w:rPr>
          <w:rFonts w:ascii="Times New Roman"/>
        </w:rPr>
        <w:pict>
          <v:line id="Line 6" o:spid="_x0000_s2063" o:spt="20" style="position:absolute;left:0pt;margin-left:-275.3pt;margin-top:179.4pt;height:0pt;width:481.9pt;z-index:25166028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AdEQIAACg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">
            <v:path arrowok="t"/>
            <v:fill focussize="0,0"/>
            <v:stroke/>
            <v:imagedata o:title=""/>
            <o:lock v:ext="edit"/>
          </v:line>
        </w:pict>
      </w:r>
    </w:p>
    <w:p>
      <w:pPr>
        <w:pStyle w:val="126"/>
        <w:rPr>
          <w:rFonts w:ascii="Times New Roman"/>
        </w:rPr>
      </w:pPr>
      <w:bookmarkStart w:id="10" w:name="_Toc426958679"/>
      <w:bookmarkStart w:id="11" w:name="_Toc438046966"/>
      <w:r>
        <w:rPr>
          <w:rFonts w:hint="eastAsia" w:ascii="Times New Roman"/>
        </w:rPr>
        <w:t>中华人民共和国黑色冶金行业标准</w:t>
      </w:r>
    </w:p>
    <w:p>
      <w:pPr>
        <w:pStyle w:val="29"/>
        <w:ind w:firstLine="440"/>
      </w:pPr>
    </w:p>
    <w:p>
      <w:pPr>
        <w:pStyle w:val="91"/>
        <w:framePr w:w="0" w:hRule="auto" w:wrap="auto" w:vAnchor="margin" w:hAnchor="text" w:xAlign="left" w:yAlign="inline"/>
        <w:rPr>
          <w:rFonts w:ascii="Times New Roman"/>
        </w:rPr>
      </w:pPr>
      <w:r>
        <w:rPr>
          <w:rFonts w:hint="eastAsia" w:ascii="Times New Roman"/>
        </w:rPr>
        <w:t>焦炉烘炉技术检测及验收标准</w:t>
      </w:r>
    </w:p>
    <w:p>
      <w:pPr>
        <w:pStyle w:val="92"/>
        <w:framePr w:wrap="auto" w:vAnchor="margin" w:hAnchor="text" w:yAlign="inline"/>
        <w:rPr>
          <w:sz w:val="30"/>
          <w:szCs w:val="30"/>
        </w:rPr>
      </w:pPr>
      <w:r>
        <w:rPr>
          <w:sz w:val="30"/>
          <w:szCs w:val="30"/>
        </w:rPr>
        <w:t>Technical detection and acceptance standard for coke oven battery heating-up</w:t>
      </w:r>
    </w:p>
    <w:p>
      <w:pPr>
        <w:pStyle w:val="29"/>
        <w:ind w:firstLine="0" w:firstLineChars="0"/>
      </w:pPr>
    </w:p>
    <w:p>
      <w:pPr>
        <w:pStyle w:val="29"/>
        <w:ind w:firstLine="0" w:firstLineChars="0"/>
      </w:pPr>
    </w:p>
    <w:p>
      <w:pPr>
        <w:pStyle w:val="58"/>
        <w:framePr w:w="0" w:hRule="auto" w:hSpace="0" w:wrap="auto" w:vAnchor="margin" w:hAnchor="text" w:xAlign="left" w:yAlign="inline"/>
        <w:jc w:val="center"/>
        <w:rPr>
          <w:rFonts w:ascii="Times New Roman"/>
          <w:sz w:val="30"/>
          <w:szCs w:val="30"/>
          <w:lang w:val="fr-FR"/>
        </w:rPr>
      </w:pPr>
      <w:r>
        <w:rPr>
          <w:rFonts w:ascii="Times New Roman"/>
          <w:sz w:val="30"/>
          <w:szCs w:val="30"/>
          <w:lang w:val="fr-FR"/>
        </w:rPr>
        <w:t xml:space="preserve">YB/T </w:t>
      </w:r>
      <w:r>
        <w:rPr>
          <w:rFonts w:ascii="Times New Roman"/>
          <w:sz w:val="30"/>
          <w:szCs w:val="30"/>
          <w:lang w:val="fr-FR"/>
        </w:rPr>
        <w:fldChar w:fldCharType="begin">
          <w:ffData>
            <w:name w:val="StdNo1"/>
            <w:enabled/>
            <w:calcOnExit w:val="0"/>
            <w:textInput>
              <w:default w:val="XXXXX"/>
            </w:textInput>
          </w:ffData>
        </w:fldChar>
      </w:r>
      <w:r>
        <w:rPr>
          <w:rFonts w:ascii="Times New Roman"/>
          <w:sz w:val="30"/>
          <w:szCs w:val="30"/>
          <w:lang w:val="fr-FR"/>
        </w:rPr>
        <w:instrText xml:space="preserve"> FORMTEXT </w:instrText>
      </w:r>
      <w:r>
        <w:rPr>
          <w:rFonts w:ascii="Times New Roman"/>
          <w:sz w:val="30"/>
          <w:szCs w:val="30"/>
          <w:lang w:val="fr-FR"/>
        </w:rPr>
        <w:fldChar w:fldCharType="separate"/>
      </w:r>
      <w:r>
        <w:rPr>
          <w:rFonts w:ascii="Times New Roman"/>
          <w:sz w:val="30"/>
          <w:szCs w:val="30"/>
          <w:lang w:val="fr-FR"/>
        </w:rPr>
        <w:t>XXXXX</w:t>
      </w:r>
      <w:r>
        <w:rPr>
          <w:rFonts w:ascii="Times New Roman"/>
          <w:sz w:val="30"/>
          <w:szCs w:val="30"/>
          <w:lang w:val="fr-FR"/>
        </w:rPr>
        <w:fldChar w:fldCharType="end"/>
      </w:r>
      <w:r>
        <w:rPr>
          <w:rFonts w:ascii="Times New Roman"/>
          <w:sz w:val="30"/>
          <w:szCs w:val="30"/>
          <w:lang w:val="fr-FR"/>
        </w:rPr>
        <w:t>—</w:t>
      </w:r>
      <w:r>
        <w:rPr>
          <w:rFonts w:ascii="Times New Roman"/>
          <w:sz w:val="30"/>
          <w:szCs w:val="30"/>
          <w:lang w:val="fr-FR"/>
        </w:rPr>
        <w:fldChar w:fldCharType="begin">
          <w:ffData>
            <w:name w:val="StdNo2"/>
            <w:enabled/>
            <w:calcOnExit w:val="0"/>
            <w:textInput>
              <w:default w:val="XXXX"/>
              <w:maxLength w:val="4"/>
            </w:textInput>
          </w:ffData>
        </w:fldChar>
      </w:r>
      <w:r>
        <w:rPr>
          <w:rFonts w:ascii="Times New Roman"/>
          <w:sz w:val="30"/>
          <w:szCs w:val="30"/>
          <w:lang w:val="fr-FR"/>
        </w:rPr>
        <w:instrText xml:space="preserve"> FORMTEXT </w:instrText>
      </w:r>
      <w:r>
        <w:rPr>
          <w:rFonts w:ascii="Times New Roman"/>
          <w:sz w:val="30"/>
          <w:szCs w:val="30"/>
          <w:lang w:val="fr-FR"/>
        </w:rPr>
        <w:fldChar w:fldCharType="separate"/>
      </w:r>
      <w:r>
        <w:rPr>
          <w:rFonts w:ascii="Times New Roman"/>
          <w:sz w:val="30"/>
          <w:szCs w:val="30"/>
          <w:lang w:val="fr-FR"/>
        </w:rPr>
        <w:t>XXXX</w:t>
      </w:r>
      <w:r>
        <w:rPr>
          <w:rFonts w:ascii="Times New Roman"/>
          <w:sz w:val="30"/>
          <w:szCs w:val="30"/>
          <w:lang w:val="fr-FR"/>
        </w:rPr>
        <w:fldChar w:fldCharType="end"/>
      </w:r>
    </w:p>
    <w:p>
      <w:pPr>
        <w:pStyle w:val="29"/>
        <w:spacing w:line="360" w:lineRule="auto"/>
        <w:ind w:firstLine="0" w:firstLineChars="0"/>
        <w:rPr>
          <w:lang w:val="fr-FR"/>
        </w:rPr>
      </w:pPr>
    </w:p>
    <w:p>
      <w:pPr>
        <w:pStyle w:val="29"/>
        <w:spacing w:line="360" w:lineRule="auto"/>
        <w:ind w:firstLine="0" w:firstLineChars="0"/>
        <w:rPr>
          <w:sz w:val="30"/>
          <w:szCs w:val="30"/>
        </w:rPr>
      </w:pPr>
    </w:p>
    <w:p>
      <w:pPr>
        <w:pStyle w:val="29"/>
        <w:spacing w:line="360" w:lineRule="auto"/>
        <w:ind w:firstLine="1800" w:firstLineChars="600"/>
        <w:rPr>
          <w:sz w:val="30"/>
          <w:szCs w:val="30"/>
        </w:rPr>
      </w:pPr>
      <w:r>
        <w:rPr>
          <w:rFonts w:hint="eastAsia"/>
          <w:sz w:val="30"/>
          <w:szCs w:val="30"/>
        </w:rPr>
        <w:t>主编单位：中冶焦耐（大连）工程技术有限公司</w:t>
      </w:r>
    </w:p>
    <w:p>
      <w:pPr>
        <w:pStyle w:val="29"/>
        <w:spacing w:line="360" w:lineRule="auto"/>
        <w:ind w:firstLine="1800" w:firstLineChars="600"/>
        <w:rPr>
          <w:sz w:val="30"/>
          <w:szCs w:val="30"/>
        </w:rPr>
      </w:pPr>
      <w:r>
        <w:rPr>
          <w:rFonts w:hint="eastAsia"/>
          <w:sz w:val="30"/>
          <w:szCs w:val="30"/>
        </w:rPr>
        <w:t>批准单位：中华人民共和国工业和信息化部</w:t>
      </w:r>
    </w:p>
    <w:p>
      <w:pPr>
        <w:pStyle w:val="29"/>
        <w:spacing w:line="360" w:lineRule="auto"/>
        <w:ind w:firstLine="1800" w:firstLineChars="600"/>
        <w:rPr>
          <w:sz w:val="30"/>
          <w:szCs w:val="30"/>
        </w:rPr>
      </w:pPr>
      <w:r>
        <w:rPr>
          <w:rFonts w:hint="eastAsia"/>
          <w:sz w:val="30"/>
          <w:szCs w:val="30"/>
        </w:rPr>
        <w:t>实施日期：2</w:t>
      </w:r>
      <w:r>
        <w:rPr>
          <w:sz w:val="30"/>
          <w:szCs w:val="30"/>
        </w:rPr>
        <w:t>02</w:t>
      </w:r>
      <w:r>
        <w:rPr>
          <w:rFonts w:hint="eastAsia"/>
          <w:sz w:val="30"/>
          <w:szCs w:val="30"/>
        </w:rPr>
        <w:t>X年XX月X日</w:t>
      </w: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rPr>
          <w:sz w:val="30"/>
          <w:szCs w:val="30"/>
        </w:rPr>
      </w:pPr>
    </w:p>
    <w:p>
      <w:pPr>
        <w:pStyle w:val="29"/>
        <w:spacing w:line="360" w:lineRule="auto"/>
        <w:ind w:firstLine="0" w:firstLineChars="0"/>
        <w:jc w:val="center"/>
        <w:rPr>
          <w:sz w:val="30"/>
          <w:szCs w:val="30"/>
        </w:rPr>
      </w:pPr>
      <w:r>
        <w:rPr>
          <w:rFonts w:hint="eastAsia"/>
          <w:sz w:val="30"/>
          <w:szCs w:val="30"/>
        </w:rPr>
        <w:t>冶金工业出版社</w:t>
      </w:r>
    </w:p>
    <w:p>
      <w:pPr>
        <w:pStyle w:val="29"/>
        <w:spacing w:line="360" w:lineRule="auto"/>
        <w:ind w:firstLine="0" w:firstLineChars="0"/>
        <w:jc w:val="center"/>
        <w:rPr>
          <w:sz w:val="30"/>
          <w:szCs w:val="30"/>
        </w:rPr>
      </w:pPr>
      <w:r>
        <w:rPr>
          <w:rFonts w:hint="eastAsia"/>
          <w:sz w:val="30"/>
          <w:szCs w:val="30"/>
        </w:rPr>
        <w:t>2</w:t>
      </w:r>
      <w:r>
        <w:rPr>
          <w:sz w:val="30"/>
          <w:szCs w:val="30"/>
        </w:rPr>
        <w:t>02</w:t>
      </w:r>
      <w:r>
        <w:rPr>
          <w:rFonts w:hint="eastAsia"/>
          <w:sz w:val="30"/>
          <w:szCs w:val="30"/>
        </w:rPr>
        <w:t>X</w:t>
      </w:r>
      <w:r>
        <w:rPr>
          <w:sz w:val="30"/>
          <w:szCs w:val="30"/>
        </w:rPr>
        <w:t xml:space="preserve">   </w:t>
      </w:r>
      <w:r>
        <w:rPr>
          <w:rFonts w:hint="eastAsia"/>
          <w:sz w:val="30"/>
          <w:szCs w:val="30"/>
        </w:rPr>
        <w:t xml:space="preserve">北 </w:t>
      </w:r>
      <w:r>
        <w:rPr>
          <w:sz w:val="30"/>
          <w:szCs w:val="30"/>
        </w:rPr>
        <w:t xml:space="preserve">  </w:t>
      </w:r>
      <w:r>
        <w:rPr>
          <w:rFonts w:hint="eastAsia"/>
          <w:sz w:val="30"/>
          <w:szCs w:val="30"/>
        </w:rPr>
        <w:t>京</w:t>
      </w:r>
    </w:p>
    <w:p>
      <w:pPr>
        <w:widowControl/>
        <w:jc w:val="left"/>
        <w:rPr>
          <w:rFonts w:eastAsia="黑体"/>
          <w:kern w:val="0"/>
          <w:sz w:val="32"/>
          <w:szCs w:val="20"/>
        </w:rPr>
      </w:pPr>
      <w:r>
        <w:br w:type="page"/>
      </w:r>
    </w:p>
    <w:p>
      <w:pPr>
        <w:pStyle w:val="126"/>
        <w:rPr>
          <w:rFonts w:ascii="Times New Roman"/>
        </w:rPr>
      </w:pPr>
      <w:r>
        <w:rPr>
          <w:rFonts w:ascii="Times New Roman"/>
        </w:rPr>
        <w:t>前</w:t>
      </w:r>
      <w:bookmarkStart w:id="12" w:name="BKQY"/>
      <w:r>
        <w:rPr>
          <w:rFonts w:ascii="Times New Roman"/>
        </w:rPr>
        <w:t>  言</w:t>
      </w:r>
      <w:bookmarkEnd w:id="10"/>
      <w:bookmarkEnd w:id="11"/>
      <w:bookmarkEnd w:id="12"/>
    </w:p>
    <w:p>
      <w:pPr>
        <w:pStyle w:val="29"/>
        <w:spacing w:line="360" w:lineRule="auto"/>
        <w:ind w:firstLine="440"/>
        <w:jc w:val="left"/>
        <w:rPr>
          <w:rFonts w:ascii="Times New Roman"/>
        </w:rPr>
      </w:pPr>
      <w:bookmarkStart w:id="13" w:name="_Hlk156309311"/>
      <w:r>
        <w:rPr>
          <w:rFonts w:hint="eastAsia" w:ascii="Times New Roman"/>
        </w:rPr>
        <w:t>本文件按照中华人民共和国工业和信息化部《关于印发2</w:t>
      </w:r>
      <w:r>
        <w:rPr>
          <w:rFonts w:ascii="Times New Roman"/>
        </w:rPr>
        <w:t>010</w:t>
      </w:r>
      <w:r>
        <w:rPr>
          <w:rFonts w:hint="eastAsia" w:ascii="Times New Roman"/>
        </w:rPr>
        <w:t>年第一批行业标准制修订计划的通知》要求，由中国冶金建设协会负责组织，由中冶焦耐（大连）工程技术有限公司为主编单位，经广泛调查研究，</w:t>
      </w:r>
      <w:bookmarkEnd w:id="13"/>
      <w:r>
        <w:rPr>
          <w:rFonts w:hint="eastAsia" w:ascii="Times New Roman"/>
        </w:rPr>
        <w:t>认真总结国内外焦炉烘炉技术及管理要求，</w:t>
      </w:r>
      <w:bookmarkStart w:id="14" w:name="_Hlk156311847"/>
      <w:r>
        <w:rPr>
          <w:rFonts w:hint="eastAsia" w:ascii="Times New Roman"/>
        </w:rPr>
        <w:t>在广泛征求意见的基础上，经反复讨论、修改、论证，审核定稿。</w:t>
      </w:r>
    </w:p>
    <w:bookmarkEnd w:id="14"/>
    <w:p>
      <w:pPr>
        <w:pStyle w:val="29"/>
        <w:spacing w:line="360" w:lineRule="auto"/>
        <w:ind w:firstLine="440"/>
        <w:jc w:val="left"/>
        <w:rPr>
          <w:rFonts w:ascii="Times New Roman"/>
        </w:rPr>
      </w:pPr>
      <w:bookmarkStart w:id="15" w:name="_Hlk156311875"/>
      <w:r>
        <w:rPr>
          <w:rFonts w:hint="eastAsia" w:ascii="Times New Roman"/>
        </w:rPr>
        <w:t>本规范主要包括总则、术语、基本规定、工艺原理、设施、技术要求、检测要求等内容和要求。</w:t>
      </w:r>
    </w:p>
    <w:bookmarkEnd w:id="15"/>
    <w:p>
      <w:pPr>
        <w:pStyle w:val="29"/>
        <w:spacing w:line="360" w:lineRule="auto"/>
        <w:ind w:firstLine="440"/>
        <w:jc w:val="left"/>
        <w:rPr>
          <w:rFonts w:ascii="Times New Roman"/>
        </w:rPr>
      </w:pPr>
      <w:r>
        <w:rPr>
          <w:rFonts w:hint="eastAsia" w:ascii="Times New Roman"/>
        </w:rPr>
        <w:t>本规范由</w:t>
      </w:r>
      <w:r>
        <w:rPr>
          <w:rFonts w:hint="eastAsia" w:ascii="Times New Roman"/>
          <w:lang w:val="en-US" w:eastAsia="zh-CN"/>
        </w:rPr>
        <w:t>中国冶金建设协会</w:t>
      </w:r>
      <w:r>
        <w:rPr>
          <w:rFonts w:hint="eastAsia" w:ascii="Times New Roman"/>
        </w:rPr>
        <w:t>归口，由中冶焦耐（大连）工程技术有限公司负责具体技术内容的解释。本规范在执行过程中如有意见或建议，请寄送中冶焦耐（大连）工程技术有限公司（地址：辽宁省大连市高新园区高能街128号，邮编：116085）。</w:t>
      </w:r>
    </w:p>
    <w:p>
      <w:pPr>
        <w:pStyle w:val="29"/>
        <w:spacing w:line="360" w:lineRule="auto"/>
        <w:ind w:firstLine="440"/>
        <w:jc w:val="left"/>
        <w:rPr>
          <w:rFonts w:ascii="Times New Roman"/>
        </w:rPr>
      </w:pPr>
      <w:r>
        <w:rPr>
          <w:rFonts w:hint="eastAsia" w:ascii="Times New Roman"/>
        </w:rPr>
        <w:t>本规范主编单位、参编单位、主要起草人、主要审查人：</w:t>
      </w:r>
    </w:p>
    <w:p>
      <w:pPr>
        <w:pStyle w:val="29"/>
        <w:spacing w:line="360" w:lineRule="auto"/>
        <w:ind w:firstLine="440"/>
        <w:jc w:val="left"/>
        <w:rPr>
          <w:rFonts w:ascii="Times New Roman"/>
        </w:rPr>
      </w:pPr>
      <w:r>
        <w:rPr>
          <w:rFonts w:hint="eastAsia" w:ascii="Times New Roman"/>
        </w:rPr>
        <w:t>主编单位：</w:t>
      </w:r>
    </w:p>
    <w:p>
      <w:pPr>
        <w:pStyle w:val="29"/>
        <w:spacing w:line="360" w:lineRule="auto"/>
        <w:ind w:firstLine="440"/>
        <w:jc w:val="left"/>
        <w:rPr>
          <w:rFonts w:ascii="Times New Roman"/>
        </w:rPr>
      </w:pPr>
      <w:r>
        <w:rPr>
          <w:rFonts w:hint="eastAsia" w:ascii="Times New Roman"/>
        </w:rPr>
        <w:t>参编单位：</w:t>
      </w:r>
      <w:bookmarkStart w:id="25" w:name="_GoBack"/>
      <w:bookmarkEnd w:id="25"/>
    </w:p>
    <w:p>
      <w:pPr>
        <w:pStyle w:val="29"/>
        <w:spacing w:line="360" w:lineRule="auto"/>
        <w:ind w:firstLine="440"/>
        <w:jc w:val="left"/>
        <w:rPr>
          <w:rFonts w:ascii="Times New Roman"/>
        </w:rPr>
      </w:pPr>
      <w:r>
        <w:rPr>
          <w:rFonts w:hint="eastAsia" w:ascii="Times New Roman"/>
        </w:rPr>
        <w:t>主要起草人：</w:t>
      </w:r>
    </w:p>
    <w:p>
      <w:pPr>
        <w:pStyle w:val="29"/>
        <w:spacing w:line="360" w:lineRule="auto"/>
        <w:ind w:firstLine="440"/>
        <w:jc w:val="left"/>
        <w:rPr>
          <w:rFonts w:ascii="Times New Roman"/>
        </w:rPr>
      </w:pPr>
      <w:r>
        <w:rPr>
          <w:rFonts w:hint="eastAsia" w:ascii="Times New Roman"/>
        </w:rPr>
        <w:t>主要审查人：</w:t>
      </w:r>
    </w:p>
    <w:p>
      <w:pPr>
        <w:pStyle w:val="29"/>
        <w:ind w:firstLine="440"/>
        <w:jc w:val="left"/>
        <w:rPr>
          <w:rFonts w:ascii="Times New Roman"/>
        </w:rPr>
      </w:pPr>
    </w:p>
    <w:p>
      <w:pPr>
        <w:pStyle w:val="29"/>
        <w:ind w:firstLine="440"/>
        <w:jc w:val="left"/>
        <w:rPr>
          <w:rFonts w:ascii="Times New Roman"/>
        </w:rPr>
      </w:pPr>
    </w:p>
    <w:p>
      <w:pPr>
        <w:pStyle w:val="29"/>
        <w:ind w:firstLine="440"/>
        <w:jc w:val="left"/>
        <w:rPr>
          <w:rFonts w:ascii="Times New Roman"/>
        </w:rPr>
        <w:sectPr>
          <w:headerReference r:id="rId3" w:type="default"/>
          <w:footerReference r:id="rId4" w:type="default"/>
          <w:pgSz w:w="11906" w:h="16838"/>
          <w:pgMar w:top="567" w:right="1134" w:bottom="1134" w:left="1418" w:header="1418" w:footer="1134" w:gutter="0"/>
          <w:pgNumType w:fmt="upperRoman"/>
          <w:cols w:space="425" w:num="1"/>
          <w:formProt w:val="0"/>
          <w:docGrid w:type="lines" w:linePitch="312" w:charSpace="0"/>
        </w:sectPr>
      </w:pPr>
    </w:p>
    <w:sdt>
      <w:sdtPr>
        <w:rPr>
          <w:rFonts w:ascii="Times New Roman" w:hAnsi="Times New Roman" w:eastAsia="宋体" w:cs="Times New Roman"/>
          <w:color w:val="auto"/>
          <w:kern w:val="2"/>
          <w:sz w:val="21"/>
          <w:szCs w:val="24"/>
          <w:lang w:val="zh-CN"/>
        </w:rPr>
        <w:id w:val="1319225608"/>
        <w:docPartObj>
          <w:docPartGallery w:val="Table of Contents"/>
          <w:docPartUnique/>
        </w:docPartObj>
      </w:sdtPr>
      <w:sdtEndPr>
        <w:rPr>
          <w:rFonts w:ascii="Times New Roman" w:hAnsi="Times New Roman" w:eastAsia="宋体" w:cs="Times New Roman"/>
          <w:color w:val="auto"/>
          <w:kern w:val="2"/>
          <w:sz w:val="21"/>
          <w:szCs w:val="24"/>
          <w:lang w:val="zh-CN"/>
        </w:rPr>
      </w:sdtEndPr>
      <w:sdtContent>
        <w:p>
          <w:pPr>
            <w:pStyle w:val="168"/>
            <w:jc w:val="center"/>
            <w:rPr>
              <w:color w:val="auto"/>
            </w:rPr>
          </w:pPr>
          <w:r>
            <w:rPr>
              <w:color w:val="auto"/>
              <w:lang w:val="zh-CN"/>
            </w:rPr>
            <w:t>目</w:t>
          </w:r>
          <w:r>
            <w:rPr>
              <w:rFonts w:hint="eastAsia"/>
              <w:color w:val="auto"/>
              <w:lang w:val="zh-CN"/>
            </w:rPr>
            <w:t>次</w:t>
          </w:r>
        </w:p>
        <w:p>
          <w:pPr>
            <w:pStyle w:val="25"/>
            <w:spacing w:line="360" w:lineRule="auto"/>
            <w:rPr>
              <w:sz w:val="24"/>
              <w:szCs w:val="24"/>
            </w:rPr>
          </w:pPr>
          <w:r>
            <w:rPr>
              <w:sz w:val="24"/>
              <w:szCs w:val="24"/>
            </w:rPr>
            <w:t>1</w:t>
          </w:r>
          <w:r>
            <w:rPr>
              <w:rFonts w:hint="eastAsia"/>
              <w:sz w:val="24"/>
              <w:szCs w:val="24"/>
            </w:rPr>
            <w:t>总则</w:t>
          </w:r>
          <w:r>
            <w:rPr>
              <w:sz w:val="24"/>
              <w:szCs w:val="24"/>
            </w:rPr>
            <w:ptab w:relativeTo="margin" w:alignment="right" w:leader="dot"/>
          </w:r>
          <w:r>
            <w:rPr>
              <w:sz w:val="24"/>
              <w:szCs w:val="24"/>
              <w:lang w:val="zh-CN"/>
            </w:rPr>
            <w:t>1</w:t>
          </w:r>
        </w:p>
        <w:p>
          <w:pPr>
            <w:pStyle w:val="25"/>
            <w:spacing w:line="360" w:lineRule="auto"/>
            <w:rPr>
              <w:sz w:val="24"/>
              <w:szCs w:val="24"/>
            </w:rPr>
          </w:pPr>
          <w:r>
            <w:rPr>
              <w:sz w:val="24"/>
              <w:szCs w:val="24"/>
            </w:rPr>
            <w:t>2</w:t>
          </w:r>
          <w:r>
            <w:rPr>
              <w:rFonts w:hint="eastAsia"/>
              <w:sz w:val="24"/>
              <w:szCs w:val="24"/>
            </w:rPr>
            <w:t>术语</w:t>
          </w:r>
          <w:r>
            <w:rPr>
              <w:sz w:val="24"/>
              <w:szCs w:val="24"/>
            </w:rPr>
            <w:ptab w:relativeTo="margin" w:alignment="right" w:leader="dot"/>
          </w:r>
          <w:r>
            <w:rPr>
              <w:sz w:val="24"/>
              <w:szCs w:val="24"/>
              <w:lang w:val="zh-CN"/>
            </w:rPr>
            <w:t>2</w:t>
          </w:r>
        </w:p>
        <w:p>
          <w:pPr>
            <w:pStyle w:val="25"/>
            <w:spacing w:line="360" w:lineRule="auto"/>
            <w:rPr>
              <w:sz w:val="24"/>
              <w:szCs w:val="24"/>
            </w:rPr>
          </w:pPr>
          <w:r>
            <w:rPr>
              <w:sz w:val="24"/>
              <w:szCs w:val="24"/>
            </w:rPr>
            <w:t>3</w:t>
          </w:r>
          <w:r>
            <w:rPr>
              <w:rFonts w:hint="eastAsia"/>
              <w:sz w:val="24"/>
              <w:szCs w:val="24"/>
            </w:rPr>
            <w:t>基本规定</w:t>
          </w:r>
          <w:r>
            <w:rPr>
              <w:sz w:val="24"/>
              <w:szCs w:val="24"/>
            </w:rPr>
            <w:ptab w:relativeTo="margin" w:alignment="right" w:leader="dot"/>
          </w:r>
          <w:r>
            <w:rPr>
              <w:sz w:val="24"/>
              <w:szCs w:val="24"/>
              <w:lang w:val="zh-CN"/>
            </w:rPr>
            <w:t>3</w:t>
          </w:r>
        </w:p>
        <w:p>
          <w:pPr>
            <w:pStyle w:val="25"/>
            <w:spacing w:line="360" w:lineRule="auto"/>
            <w:rPr>
              <w:sz w:val="24"/>
              <w:szCs w:val="24"/>
              <w:lang w:val="zh-CN"/>
            </w:rPr>
          </w:pPr>
          <w:r>
            <w:rPr>
              <w:sz w:val="24"/>
              <w:szCs w:val="24"/>
            </w:rPr>
            <w:t>4</w:t>
          </w:r>
          <w:r>
            <w:rPr>
              <w:rFonts w:hint="eastAsia"/>
              <w:sz w:val="24"/>
              <w:szCs w:val="24"/>
            </w:rPr>
            <w:t>工艺原理</w:t>
          </w:r>
          <w:r>
            <w:rPr>
              <w:sz w:val="24"/>
              <w:szCs w:val="24"/>
            </w:rPr>
            <w:ptab w:relativeTo="margin" w:alignment="right" w:leader="dot"/>
          </w:r>
          <w:r>
            <w:rPr>
              <w:sz w:val="24"/>
              <w:szCs w:val="24"/>
              <w:lang w:val="zh-CN"/>
            </w:rPr>
            <w:t>4</w:t>
          </w:r>
        </w:p>
        <w:p>
          <w:pPr>
            <w:pStyle w:val="25"/>
            <w:spacing w:line="360" w:lineRule="auto"/>
            <w:rPr>
              <w:sz w:val="24"/>
              <w:szCs w:val="24"/>
              <w:lang w:val="zh-CN"/>
            </w:rPr>
          </w:pPr>
          <w:r>
            <w:rPr>
              <w:sz w:val="24"/>
              <w:szCs w:val="24"/>
            </w:rPr>
            <w:t>5</w:t>
          </w:r>
          <w:r>
            <w:rPr>
              <w:rFonts w:hint="eastAsia"/>
              <w:sz w:val="24"/>
              <w:szCs w:val="24"/>
            </w:rPr>
            <w:t>设施</w:t>
          </w:r>
          <w:r>
            <w:rPr>
              <w:sz w:val="24"/>
              <w:szCs w:val="24"/>
            </w:rPr>
            <w:ptab w:relativeTo="margin" w:alignment="right" w:leader="dot"/>
          </w:r>
          <w:r>
            <w:rPr>
              <w:sz w:val="24"/>
              <w:szCs w:val="24"/>
              <w:lang w:val="zh-CN"/>
            </w:rPr>
            <w:t>5</w:t>
          </w:r>
        </w:p>
        <w:p>
          <w:pPr>
            <w:pStyle w:val="25"/>
            <w:spacing w:line="360" w:lineRule="auto"/>
            <w:rPr>
              <w:sz w:val="24"/>
              <w:szCs w:val="24"/>
              <w:lang w:val="zh-CN"/>
            </w:rPr>
          </w:pPr>
          <w:r>
            <w:rPr>
              <w:sz w:val="24"/>
              <w:szCs w:val="24"/>
            </w:rPr>
            <w:t>6</w:t>
          </w:r>
          <w:r>
            <w:rPr>
              <w:rFonts w:hint="eastAsia"/>
              <w:sz w:val="24"/>
              <w:szCs w:val="24"/>
            </w:rPr>
            <w:t>技术要求</w:t>
          </w:r>
          <w:r>
            <w:rPr>
              <w:sz w:val="24"/>
              <w:szCs w:val="24"/>
            </w:rPr>
            <w:ptab w:relativeTo="margin" w:alignment="right" w:leader="dot"/>
          </w:r>
          <w:r>
            <w:rPr>
              <w:sz w:val="24"/>
              <w:szCs w:val="24"/>
              <w:lang w:val="zh-CN"/>
            </w:rPr>
            <w:t>6</w:t>
          </w:r>
        </w:p>
        <w:p>
          <w:pPr>
            <w:pStyle w:val="35"/>
            <w:spacing w:line="360" w:lineRule="auto"/>
            <w:ind w:left="216"/>
            <w:rPr>
              <w:sz w:val="24"/>
              <w:szCs w:val="24"/>
              <w:lang w:val="zh-CN"/>
            </w:rPr>
          </w:pPr>
          <w:r>
            <w:rPr>
              <w:sz w:val="24"/>
              <w:szCs w:val="24"/>
            </w:rPr>
            <w:t>6.1</w:t>
          </w:r>
          <w:r>
            <w:rPr>
              <w:rFonts w:hint="eastAsia"/>
              <w:sz w:val="24"/>
              <w:szCs w:val="24"/>
            </w:rPr>
            <w:t>燃料</w:t>
          </w:r>
          <w:r>
            <w:rPr>
              <w:sz w:val="24"/>
              <w:szCs w:val="24"/>
            </w:rPr>
            <w:ptab w:relativeTo="margin" w:alignment="right" w:leader="dot"/>
          </w:r>
          <w:r>
            <w:rPr>
              <w:sz w:val="24"/>
              <w:szCs w:val="24"/>
              <w:lang w:val="zh-CN"/>
            </w:rPr>
            <w:t>6</w:t>
          </w:r>
        </w:p>
        <w:p>
          <w:pPr>
            <w:pStyle w:val="35"/>
            <w:spacing w:line="360" w:lineRule="auto"/>
            <w:ind w:left="216"/>
            <w:rPr>
              <w:sz w:val="24"/>
              <w:szCs w:val="24"/>
              <w:lang w:val="zh-CN"/>
            </w:rPr>
          </w:pPr>
          <w:r>
            <w:rPr>
              <w:sz w:val="24"/>
              <w:szCs w:val="24"/>
            </w:rPr>
            <w:t>6.2</w:t>
          </w:r>
          <w:r>
            <w:rPr>
              <w:rFonts w:hint="eastAsia"/>
              <w:sz w:val="24"/>
              <w:szCs w:val="24"/>
            </w:rPr>
            <w:t>升温计划制定</w:t>
          </w:r>
          <w:r>
            <w:rPr>
              <w:sz w:val="24"/>
              <w:szCs w:val="24"/>
            </w:rPr>
            <w:ptab w:relativeTo="margin" w:alignment="right" w:leader="dot"/>
          </w:r>
          <w:r>
            <w:rPr>
              <w:sz w:val="24"/>
              <w:szCs w:val="24"/>
              <w:lang w:val="zh-CN"/>
            </w:rPr>
            <w:t>6</w:t>
          </w:r>
        </w:p>
        <w:p>
          <w:pPr>
            <w:pStyle w:val="35"/>
            <w:spacing w:line="360" w:lineRule="auto"/>
            <w:ind w:left="216"/>
            <w:rPr>
              <w:sz w:val="24"/>
              <w:szCs w:val="24"/>
              <w:lang w:val="zh-CN"/>
            </w:rPr>
          </w:pPr>
          <w:r>
            <w:rPr>
              <w:sz w:val="24"/>
              <w:szCs w:val="24"/>
            </w:rPr>
            <w:t>6.3</w:t>
          </w:r>
          <w:r>
            <w:rPr>
              <w:rFonts w:hint="eastAsia"/>
              <w:sz w:val="24"/>
              <w:szCs w:val="24"/>
            </w:rPr>
            <w:t>烘炉准备工作验收</w:t>
          </w:r>
          <w:r>
            <w:rPr>
              <w:sz w:val="24"/>
              <w:szCs w:val="24"/>
            </w:rPr>
            <w:ptab w:relativeTo="margin" w:alignment="right" w:leader="dot"/>
          </w:r>
          <w:r>
            <w:rPr>
              <w:sz w:val="24"/>
              <w:szCs w:val="24"/>
              <w:lang w:val="zh-CN"/>
            </w:rPr>
            <w:t>6</w:t>
          </w:r>
        </w:p>
        <w:p>
          <w:pPr>
            <w:pStyle w:val="35"/>
            <w:spacing w:line="360" w:lineRule="auto"/>
            <w:ind w:left="216"/>
            <w:rPr>
              <w:sz w:val="24"/>
              <w:szCs w:val="24"/>
            </w:rPr>
          </w:pPr>
          <w:r>
            <w:rPr>
              <w:sz w:val="24"/>
              <w:szCs w:val="24"/>
            </w:rPr>
            <w:t>6.4</w:t>
          </w:r>
          <w:r>
            <w:rPr>
              <w:rFonts w:hint="eastAsia"/>
              <w:sz w:val="24"/>
              <w:szCs w:val="24"/>
            </w:rPr>
            <w:t>特殊规定</w:t>
          </w:r>
          <w:r>
            <w:rPr>
              <w:sz w:val="24"/>
              <w:szCs w:val="24"/>
            </w:rPr>
            <w:ptab w:relativeTo="margin" w:alignment="right" w:leader="dot"/>
          </w:r>
          <w:r>
            <w:rPr>
              <w:sz w:val="24"/>
              <w:szCs w:val="24"/>
              <w:lang w:val="zh-CN"/>
            </w:rPr>
            <w:t>6</w:t>
          </w:r>
        </w:p>
        <w:p>
          <w:pPr>
            <w:pStyle w:val="25"/>
            <w:spacing w:line="360" w:lineRule="auto"/>
            <w:rPr>
              <w:sz w:val="24"/>
              <w:szCs w:val="24"/>
              <w:lang w:val="zh-CN"/>
            </w:rPr>
          </w:pPr>
          <w:r>
            <w:rPr>
              <w:sz w:val="24"/>
              <w:szCs w:val="24"/>
            </w:rPr>
            <w:t>7</w:t>
          </w:r>
          <w:r>
            <w:rPr>
              <w:rFonts w:hint="eastAsia"/>
              <w:sz w:val="24"/>
              <w:szCs w:val="24"/>
            </w:rPr>
            <w:t>检测要求</w:t>
          </w:r>
          <w:r>
            <w:rPr>
              <w:sz w:val="24"/>
              <w:szCs w:val="24"/>
            </w:rPr>
            <w:ptab w:relativeTo="margin" w:alignment="right" w:leader="dot"/>
          </w:r>
          <w:r>
            <w:rPr>
              <w:sz w:val="24"/>
              <w:szCs w:val="24"/>
              <w:lang w:val="zh-CN"/>
            </w:rPr>
            <w:t>8</w:t>
          </w:r>
        </w:p>
        <w:p>
          <w:pPr>
            <w:pStyle w:val="35"/>
            <w:spacing w:line="360" w:lineRule="auto"/>
            <w:ind w:left="216"/>
            <w:rPr>
              <w:sz w:val="24"/>
              <w:szCs w:val="24"/>
              <w:lang w:val="zh-CN"/>
            </w:rPr>
          </w:pPr>
          <w:r>
            <w:rPr>
              <w:sz w:val="24"/>
              <w:szCs w:val="24"/>
            </w:rPr>
            <w:t>7.1</w:t>
          </w:r>
          <w:r>
            <w:rPr>
              <w:rFonts w:hint="eastAsia"/>
              <w:sz w:val="24"/>
              <w:szCs w:val="24"/>
            </w:rPr>
            <w:t>温度检测与管理</w:t>
          </w:r>
          <w:r>
            <w:rPr>
              <w:sz w:val="24"/>
              <w:szCs w:val="24"/>
            </w:rPr>
            <w:ptab w:relativeTo="margin" w:alignment="right" w:leader="dot"/>
          </w:r>
          <w:r>
            <w:rPr>
              <w:sz w:val="24"/>
              <w:szCs w:val="24"/>
              <w:lang w:val="zh-CN"/>
            </w:rPr>
            <w:t>8</w:t>
          </w:r>
        </w:p>
        <w:p>
          <w:pPr>
            <w:pStyle w:val="35"/>
            <w:spacing w:line="360" w:lineRule="auto"/>
            <w:ind w:left="216"/>
            <w:rPr>
              <w:sz w:val="24"/>
              <w:szCs w:val="24"/>
            </w:rPr>
          </w:pPr>
          <w:r>
            <w:rPr>
              <w:sz w:val="24"/>
              <w:szCs w:val="24"/>
            </w:rPr>
            <w:t>7.2</w:t>
          </w:r>
          <w:r>
            <w:rPr>
              <w:rFonts w:hint="eastAsia"/>
              <w:sz w:val="24"/>
              <w:szCs w:val="24"/>
            </w:rPr>
            <w:t>压力检测与管理</w:t>
          </w:r>
          <w:r>
            <w:rPr>
              <w:sz w:val="24"/>
              <w:szCs w:val="24"/>
            </w:rPr>
            <w:ptab w:relativeTo="margin" w:alignment="right" w:leader="dot"/>
          </w:r>
          <w:r>
            <w:rPr>
              <w:sz w:val="24"/>
              <w:szCs w:val="24"/>
              <w:lang w:val="zh-CN"/>
            </w:rPr>
            <w:t>8</w:t>
          </w:r>
        </w:p>
        <w:p>
          <w:pPr>
            <w:pStyle w:val="35"/>
            <w:spacing w:line="360" w:lineRule="auto"/>
            <w:ind w:left="216"/>
            <w:rPr>
              <w:sz w:val="24"/>
              <w:szCs w:val="24"/>
            </w:rPr>
          </w:pPr>
          <w:r>
            <w:rPr>
              <w:sz w:val="24"/>
              <w:szCs w:val="24"/>
            </w:rPr>
            <w:t>7.3</w:t>
          </w:r>
          <w:r>
            <w:rPr>
              <w:rFonts w:hint="eastAsia"/>
              <w:sz w:val="24"/>
              <w:szCs w:val="24"/>
            </w:rPr>
            <w:t>炉体膨胀</w:t>
          </w:r>
          <w:bookmarkStart w:id="16" w:name="_Hlk162528522"/>
          <w:r>
            <w:rPr>
              <w:rFonts w:hint="eastAsia"/>
              <w:sz w:val="24"/>
              <w:szCs w:val="24"/>
            </w:rPr>
            <w:t>检测与管理</w:t>
          </w:r>
          <w:bookmarkEnd w:id="16"/>
          <w:r>
            <w:rPr>
              <w:sz w:val="24"/>
              <w:szCs w:val="24"/>
            </w:rPr>
            <w:ptab w:relativeTo="margin" w:alignment="right" w:leader="dot"/>
          </w:r>
          <w:r>
            <w:rPr>
              <w:sz w:val="24"/>
              <w:szCs w:val="24"/>
              <w:lang w:val="zh-CN"/>
            </w:rPr>
            <w:t>9</w:t>
          </w:r>
        </w:p>
        <w:p>
          <w:pPr>
            <w:pStyle w:val="25"/>
            <w:spacing w:line="360" w:lineRule="auto"/>
            <w:rPr>
              <w:sz w:val="24"/>
              <w:szCs w:val="24"/>
            </w:rPr>
          </w:pPr>
          <w:r>
            <w:rPr>
              <w:rFonts w:hint="eastAsia"/>
              <w:sz w:val="24"/>
              <w:szCs w:val="24"/>
            </w:rPr>
            <w:t>本标准用词说明</w:t>
          </w:r>
          <w:r>
            <w:rPr>
              <w:sz w:val="24"/>
              <w:szCs w:val="24"/>
            </w:rPr>
            <w:ptab w:relativeTo="margin" w:alignment="right" w:leader="dot"/>
          </w:r>
          <w:r>
            <w:rPr>
              <w:sz w:val="24"/>
              <w:szCs w:val="24"/>
              <w:lang w:val="zh-CN"/>
            </w:rPr>
            <w:t>11</w:t>
          </w:r>
        </w:p>
        <w:p>
          <w:pPr>
            <w:pStyle w:val="25"/>
            <w:spacing w:line="360" w:lineRule="auto"/>
            <w:rPr>
              <w:sz w:val="24"/>
              <w:szCs w:val="24"/>
            </w:rPr>
          </w:pPr>
          <w:r>
            <w:rPr>
              <w:rFonts w:hint="eastAsia"/>
              <w:sz w:val="24"/>
              <w:szCs w:val="24"/>
            </w:rPr>
            <w:t>引用标准名录</w:t>
          </w:r>
          <w:r>
            <w:rPr>
              <w:sz w:val="24"/>
              <w:szCs w:val="24"/>
            </w:rPr>
            <w:ptab w:relativeTo="margin" w:alignment="right" w:leader="dot"/>
          </w:r>
          <w:r>
            <w:rPr>
              <w:sz w:val="24"/>
              <w:szCs w:val="24"/>
              <w:lang w:val="zh-CN"/>
            </w:rPr>
            <w:t>12</w:t>
          </w:r>
        </w:p>
        <w:p>
          <w:pPr>
            <w:rPr>
              <w:lang w:val="zh-CN"/>
            </w:rPr>
          </w:pPr>
        </w:p>
        <w:p>
          <w:pPr>
            <w:rPr>
              <w:lang w:val="zh-CN"/>
            </w:rPr>
          </w:pPr>
        </w:p>
      </w:sdtContent>
    </w:sdt>
    <w:p>
      <w:pPr>
        <w:widowControl/>
        <w:jc w:val="left"/>
        <w:rPr>
          <w:szCs w:val="32"/>
        </w:rPr>
      </w:pPr>
    </w:p>
    <w:p>
      <w:pPr>
        <w:widowControl/>
        <w:jc w:val="left"/>
        <w:rPr>
          <w:szCs w:val="32"/>
        </w:rPr>
        <w:sectPr>
          <w:headerReference r:id="rId6" w:type="first"/>
          <w:footerReference r:id="rId9" w:type="first"/>
          <w:footerReference r:id="rId7" w:type="default"/>
          <w:headerReference r:id="rId5" w:type="even"/>
          <w:footerReference r:id="rId8" w:type="even"/>
          <w:pgSz w:w="11906" w:h="16838"/>
          <w:pgMar w:top="1440" w:right="1134" w:bottom="1440" w:left="1418" w:header="1418" w:footer="1134" w:gutter="0"/>
          <w:pgNumType w:fmt="upperRoman" w:start="1"/>
          <w:cols w:space="425" w:num="1"/>
          <w:formProt w:val="0"/>
          <w:docGrid w:type="lines" w:linePitch="312" w:charSpace="0"/>
        </w:sectPr>
      </w:pPr>
    </w:p>
    <w:sdt>
      <w:sdtPr>
        <w:rPr>
          <w:rFonts w:ascii="Times New Roman" w:hAnsi="Times New Roman" w:eastAsia="宋体" w:cs="Times New Roman"/>
          <w:color w:val="auto"/>
          <w:kern w:val="2"/>
          <w:sz w:val="21"/>
          <w:szCs w:val="24"/>
          <w:lang w:val="zh-CN"/>
        </w:rPr>
        <w:id w:val="2047564823"/>
        <w:docPartObj>
          <w:docPartGallery w:val="Table of Contents"/>
          <w:docPartUnique/>
        </w:docPartObj>
      </w:sdtPr>
      <w:sdtEndPr>
        <w:rPr>
          <w:rFonts w:ascii="Times New Roman" w:hAnsi="Times New Roman" w:eastAsia="宋体" w:cs="Times New Roman"/>
          <w:color w:val="auto"/>
          <w:kern w:val="2"/>
          <w:sz w:val="21"/>
          <w:szCs w:val="24"/>
          <w:lang w:val="zh-CN"/>
        </w:rPr>
      </w:sdtEndPr>
      <w:sdtContent>
        <w:p>
          <w:pPr>
            <w:pStyle w:val="168"/>
            <w:spacing w:line="360" w:lineRule="auto"/>
            <w:jc w:val="center"/>
            <w:rPr>
              <w:color w:val="auto"/>
            </w:rPr>
          </w:pPr>
          <w:r>
            <w:rPr>
              <w:rFonts w:hint="eastAsia"/>
              <w:color w:val="auto"/>
            </w:rPr>
            <w:t>Contents</w:t>
          </w:r>
        </w:p>
        <w:p>
          <w:pPr>
            <w:pStyle w:val="25"/>
            <w:spacing w:line="360" w:lineRule="auto"/>
          </w:pPr>
          <w:r>
            <w:t>1 General provisions</w:t>
          </w:r>
          <w:r>
            <w:ptab w:relativeTo="margin" w:alignment="right" w:leader="dot"/>
          </w:r>
          <w:r>
            <w:t>1</w:t>
          </w:r>
        </w:p>
        <w:p>
          <w:pPr>
            <w:pStyle w:val="25"/>
            <w:spacing w:line="360" w:lineRule="auto"/>
          </w:pPr>
          <w:r>
            <w:t xml:space="preserve">2 </w:t>
          </w:r>
          <w:r>
            <w:rPr>
              <w:rFonts w:hint="eastAsia"/>
            </w:rPr>
            <w:t>T</w:t>
          </w:r>
          <w:r>
            <w:t>erms</w:t>
          </w:r>
          <w:r>
            <w:ptab w:relativeTo="margin" w:alignment="right" w:leader="dot"/>
          </w:r>
          <w:r>
            <w:t>2</w:t>
          </w:r>
        </w:p>
        <w:p>
          <w:pPr>
            <w:pStyle w:val="25"/>
            <w:spacing w:line="360" w:lineRule="auto"/>
          </w:pPr>
          <w:r>
            <w:t>3 Basic requirements</w:t>
          </w:r>
          <w:r>
            <w:ptab w:relativeTo="margin" w:alignment="right" w:leader="dot"/>
          </w:r>
          <w:r>
            <w:t>3</w:t>
          </w:r>
        </w:p>
        <w:p>
          <w:pPr>
            <w:pStyle w:val="25"/>
            <w:spacing w:line="360" w:lineRule="auto"/>
          </w:pPr>
          <w:r>
            <w:t xml:space="preserve">4 </w:t>
          </w:r>
          <w:r>
            <w:rPr>
              <w:rFonts w:hint="eastAsia"/>
            </w:rPr>
            <w:t>T</w:t>
          </w:r>
          <w:r>
            <w:t>echnology principle</w:t>
          </w:r>
          <w:r>
            <w:ptab w:relativeTo="margin" w:alignment="right" w:leader="dot"/>
          </w:r>
          <w:r>
            <w:t>4</w:t>
          </w:r>
        </w:p>
        <w:p>
          <w:pPr>
            <w:pStyle w:val="25"/>
            <w:spacing w:line="360" w:lineRule="auto"/>
          </w:pPr>
          <w:r>
            <w:t xml:space="preserve">5 </w:t>
          </w:r>
          <w:r>
            <w:rPr>
              <w:rFonts w:hint="eastAsia"/>
            </w:rPr>
            <w:t>F</w:t>
          </w:r>
          <w:r>
            <w:t>acility</w:t>
          </w:r>
          <w:r>
            <w:ptab w:relativeTo="margin" w:alignment="right" w:leader="dot"/>
          </w:r>
          <w:r>
            <w:t>5</w:t>
          </w:r>
        </w:p>
        <w:p>
          <w:pPr>
            <w:pStyle w:val="25"/>
            <w:spacing w:line="360" w:lineRule="auto"/>
          </w:pPr>
          <w:r>
            <w:t xml:space="preserve">6 </w:t>
          </w:r>
          <w:bookmarkStart w:id="17" w:name="_Hlk156312405"/>
          <w:r>
            <w:rPr>
              <w:rFonts w:hint="eastAsia"/>
            </w:rPr>
            <w:t>T</w:t>
          </w:r>
          <w:r>
            <w:t>echnical requirements</w:t>
          </w:r>
          <w:bookmarkEnd w:id="17"/>
          <w:r>
            <w:ptab w:relativeTo="margin" w:alignment="right" w:leader="dot"/>
          </w:r>
          <w:r>
            <w:t>6</w:t>
          </w:r>
        </w:p>
        <w:p>
          <w:pPr>
            <w:pStyle w:val="35"/>
            <w:spacing w:line="360" w:lineRule="auto"/>
            <w:ind w:left="216"/>
          </w:pPr>
          <w:r>
            <w:t xml:space="preserve">6.1 </w:t>
          </w:r>
          <w:r>
            <w:rPr>
              <w:rFonts w:hint="eastAsia"/>
            </w:rPr>
            <w:t>F</w:t>
          </w:r>
          <w:r>
            <w:t>uel</w:t>
          </w:r>
          <w:r>
            <w:ptab w:relativeTo="margin" w:alignment="right" w:leader="dot"/>
          </w:r>
          <w:r>
            <w:t>6</w:t>
          </w:r>
        </w:p>
        <w:p>
          <w:pPr>
            <w:pStyle w:val="35"/>
            <w:spacing w:line="360" w:lineRule="auto"/>
            <w:ind w:left="216"/>
          </w:pPr>
          <w:r>
            <w:t xml:space="preserve">6.2 </w:t>
          </w:r>
          <w:r>
            <w:rPr>
              <w:rFonts w:hint="eastAsia"/>
            </w:rPr>
            <w:t>Temperature</w:t>
          </w:r>
          <w:r>
            <w:t xml:space="preserve"> </w:t>
          </w:r>
          <w:r>
            <w:rPr>
              <w:rFonts w:hint="eastAsia"/>
            </w:rPr>
            <w:t>rising</w:t>
          </w:r>
          <w:r>
            <w:t xml:space="preserve"> </w:t>
          </w:r>
          <w:r>
            <w:rPr>
              <w:rFonts w:hint="eastAsia"/>
            </w:rPr>
            <w:t>plan</w:t>
          </w:r>
          <w:r>
            <w:ptab w:relativeTo="margin" w:alignment="right" w:leader="dot"/>
          </w:r>
          <w:r>
            <w:t>6</w:t>
          </w:r>
        </w:p>
        <w:p>
          <w:pPr>
            <w:pStyle w:val="35"/>
            <w:spacing w:line="360" w:lineRule="auto"/>
            <w:ind w:left="216"/>
          </w:pPr>
          <w:r>
            <w:t xml:space="preserve">6.3 </w:t>
          </w:r>
          <w:r>
            <w:rPr>
              <w:rFonts w:hint="eastAsia"/>
            </w:rPr>
            <w:t>A</w:t>
          </w:r>
          <w:r>
            <w:t>cceptance</w:t>
          </w:r>
          <w:r>
            <w:rPr>
              <w:rFonts w:hint="eastAsia"/>
            </w:rPr>
            <w:t xml:space="preserve"> of</w:t>
          </w:r>
          <w:r>
            <w:t xml:space="preserve"> preparatory work</w:t>
          </w:r>
          <w:r>
            <w:rPr>
              <w:rFonts w:hint="eastAsia"/>
            </w:rPr>
            <w:t>s for</w:t>
          </w:r>
          <w:r>
            <w:t xml:space="preserve"> coke oven battery heating-up</w:t>
          </w:r>
          <w:r>
            <w:ptab w:relativeTo="margin" w:alignment="right" w:leader="dot"/>
          </w:r>
          <w:r>
            <w:t>6</w:t>
          </w:r>
        </w:p>
        <w:p>
          <w:pPr>
            <w:pStyle w:val="35"/>
            <w:spacing w:line="360" w:lineRule="auto"/>
            <w:ind w:left="216"/>
          </w:pPr>
          <w:r>
            <w:t xml:space="preserve">6.4 </w:t>
          </w:r>
          <w:r>
            <w:rPr>
              <w:rFonts w:hint="eastAsia"/>
            </w:rPr>
            <w:t>S</w:t>
          </w:r>
          <w:r>
            <w:t>pecial provision</w:t>
          </w:r>
          <w:r>
            <w:rPr>
              <w:rFonts w:hint="eastAsia"/>
            </w:rPr>
            <w:t>s</w:t>
          </w:r>
          <w:r>
            <w:ptab w:relativeTo="margin" w:alignment="right" w:leader="dot"/>
          </w:r>
          <w:r>
            <w:t>6</w:t>
          </w:r>
        </w:p>
        <w:p>
          <w:pPr>
            <w:pStyle w:val="25"/>
            <w:spacing w:line="360" w:lineRule="auto"/>
          </w:pPr>
          <w:r>
            <w:t xml:space="preserve">7 </w:t>
          </w:r>
          <w:bookmarkStart w:id="18" w:name="_Hlk162528555"/>
          <w:r>
            <w:rPr>
              <w:rFonts w:hint="eastAsia"/>
            </w:rPr>
            <w:t>D</w:t>
          </w:r>
          <w:r>
            <w:t>etection</w:t>
          </w:r>
          <w:bookmarkEnd w:id="18"/>
          <w:r>
            <w:t xml:space="preserve"> requirement</w:t>
          </w:r>
          <w:r>
            <w:rPr>
              <w:rFonts w:hint="eastAsia"/>
            </w:rPr>
            <w:t>s</w:t>
          </w:r>
          <w:r>
            <w:ptab w:relativeTo="margin" w:alignment="right" w:leader="dot"/>
          </w:r>
          <w:r>
            <w:t>8</w:t>
          </w:r>
        </w:p>
        <w:p>
          <w:pPr>
            <w:pStyle w:val="35"/>
            <w:spacing w:line="360" w:lineRule="auto"/>
            <w:ind w:left="216"/>
          </w:pPr>
          <w:r>
            <w:t xml:space="preserve">7.1 </w:t>
          </w:r>
          <w:r>
            <w:rPr>
              <w:rFonts w:hint="eastAsia"/>
            </w:rPr>
            <w:t>T</w:t>
          </w:r>
          <w:r>
            <w:t xml:space="preserve">emperature </w:t>
          </w:r>
          <w:r>
            <w:rPr>
              <w:rFonts w:hint="eastAsia"/>
            </w:rPr>
            <w:t>d</w:t>
          </w:r>
          <w:r>
            <w:t>etection and management</w:t>
          </w:r>
          <w:r>
            <w:ptab w:relativeTo="margin" w:alignment="right" w:leader="dot"/>
          </w:r>
          <w:r>
            <w:t>8</w:t>
          </w:r>
        </w:p>
        <w:p>
          <w:pPr>
            <w:pStyle w:val="35"/>
            <w:spacing w:line="360" w:lineRule="auto"/>
            <w:ind w:left="216"/>
          </w:pPr>
          <w:r>
            <w:t xml:space="preserve">7.2 </w:t>
          </w:r>
          <w:r>
            <w:rPr>
              <w:rFonts w:hint="eastAsia"/>
            </w:rPr>
            <w:t>Pressure</w:t>
          </w:r>
          <w:r>
            <w:t xml:space="preserve"> </w:t>
          </w:r>
          <w:r>
            <w:rPr>
              <w:rFonts w:hint="eastAsia"/>
            </w:rPr>
            <w:t>d</w:t>
          </w:r>
          <w:r>
            <w:t>etection and management</w:t>
          </w:r>
          <w:r>
            <w:ptab w:relativeTo="margin" w:alignment="right" w:leader="dot"/>
          </w:r>
          <w:r>
            <w:t>8</w:t>
          </w:r>
        </w:p>
        <w:p>
          <w:pPr>
            <w:pStyle w:val="35"/>
            <w:spacing w:line="360" w:lineRule="auto"/>
            <w:ind w:left="216"/>
          </w:pPr>
          <w:r>
            <w:t>7.3 Coke oven expansion detection and management</w:t>
          </w:r>
          <w:r>
            <w:ptab w:relativeTo="margin" w:alignment="right" w:leader="dot"/>
          </w:r>
          <w:r>
            <w:t>9</w:t>
          </w:r>
        </w:p>
        <w:p>
          <w:pPr>
            <w:pStyle w:val="25"/>
            <w:spacing w:line="360" w:lineRule="auto"/>
          </w:pPr>
          <w:r>
            <w:rPr>
              <w:rFonts w:hint="eastAsia"/>
            </w:rPr>
            <w:t>E</w:t>
          </w:r>
          <w:r>
            <w:t>xplanation of wording in this specification</w:t>
          </w:r>
          <w:r>
            <w:ptab w:relativeTo="margin" w:alignment="right" w:leader="dot"/>
          </w:r>
          <w:r>
            <w:t>11</w:t>
          </w:r>
        </w:p>
        <w:p>
          <w:pPr>
            <w:pStyle w:val="25"/>
            <w:spacing w:line="360" w:lineRule="auto"/>
          </w:pPr>
          <w:r>
            <w:rPr>
              <w:rFonts w:hint="eastAsia"/>
            </w:rPr>
            <w:t>L</w:t>
          </w:r>
          <w:r>
            <w:t>ist of quoted standards</w:t>
          </w:r>
          <w:r>
            <w:ptab w:relativeTo="margin" w:alignment="right" w:leader="dot"/>
          </w:r>
          <w:r>
            <w:t>12</w:t>
          </w:r>
        </w:p>
        <w:p/>
        <w:p/>
        <w:p>
          <w:pPr>
            <w:rPr>
              <w:lang w:val="zh-CN"/>
            </w:rPr>
          </w:pPr>
        </w:p>
      </w:sdtContent>
    </w:sdt>
    <w:p>
      <w:pPr>
        <w:widowControl/>
        <w:jc w:val="left"/>
        <w:rPr>
          <w:szCs w:val="32"/>
        </w:rPr>
      </w:pPr>
    </w:p>
    <w:p>
      <w:pPr>
        <w:widowControl/>
        <w:jc w:val="left"/>
        <w:rPr>
          <w:szCs w:val="32"/>
        </w:rPr>
      </w:pPr>
    </w:p>
    <w:p>
      <w:pPr>
        <w:widowControl/>
        <w:jc w:val="left"/>
        <w:rPr>
          <w:szCs w:val="32"/>
        </w:rPr>
      </w:pPr>
    </w:p>
    <w:p>
      <w:pPr>
        <w:widowControl/>
        <w:jc w:val="left"/>
        <w:rPr>
          <w:szCs w:val="32"/>
        </w:rPr>
        <w:sectPr>
          <w:pgSz w:w="11906" w:h="16838"/>
          <w:pgMar w:top="1440" w:right="1134" w:bottom="1440" w:left="1418" w:header="1418" w:footer="1134" w:gutter="0"/>
          <w:pgNumType w:fmt="upperRoman"/>
          <w:cols w:space="425" w:num="1"/>
          <w:formProt w:val="0"/>
          <w:docGrid w:type="lines" w:linePitch="312" w:charSpace="0"/>
        </w:sectPr>
      </w:pPr>
    </w:p>
    <w:p>
      <w:pPr>
        <w:pStyle w:val="61"/>
        <w:rPr>
          <w:rFonts w:ascii="Times New Roman"/>
          <w:szCs w:val="32"/>
        </w:rPr>
      </w:pPr>
      <w:r>
        <w:rPr>
          <w:rFonts w:hint="eastAsia" w:ascii="Times New Roman"/>
          <w:szCs w:val="32"/>
        </w:rPr>
        <w:t>1总则</w:t>
      </w:r>
    </w:p>
    <w:p>
      <w:pPr>
        <w:pStyle w:val="29"/>
        <w:spacing w:line="360" w:lineRule="auto"/>
        <w:ind w:firstLine="0" w:firstLineChars="0"/>
      </w:pPr>
      <w:r>
        <w:rPr>
          <w:rFonts w:ascii="Times New Roman"/>
        </w:rPr>
        <w:t>1.0.1</w:t>
      </w:r>
      <w:r>
        <w:rPr>
          <w:rFonts w:hint="eastAsia"/>
        </w:rPr>
        <w:t xml:space="preserve"> 为规范焦炉负压烘炉技术及管理，提高焦炉烘炉质量，制定本标准。</w:t>
      </w:r>
    </w:p>
    <w:p>
      <w:pPr>
        <w:pStyle w:val="29"/>
        <w:spacing w:line="360" w:lineRule="auto"/>
        <w:ind w:firstLine="0" w:firstLineChars="0"/>
      </w:pPr>
      <w:r>
        <w:rPr>
          <w:rFonts w:hint="eastAsia" w:ascii="Times New Roman"/>
        </w:rPr>
        <w:t>1.0.2</w:t>
      </w:r>
      <w:r>
        <w:rPr>
          <w:rFonts w:hint="eastAsia"/>
        </w:rPr>
        <w:t xml:space="preserve"> 本标准适用于顶装焦炉和捣固焦炉负压烘炉。</w:t>
      </w:r>
    </w:p>
    <w:p>
      <w:pPr>
        <w:pStyle w:val="29"/>
        <w:spacing w:line="360" w:lineRule="auto"/>
        <w:ind w:firstLine="0" w:firstLineChars="0"/>
      </w:pPr>
      <w:r>
        <w:rPr>
          <w:rFonts w:hint="eastAsia" w:ascii="Times New Roman"/>
        </w:rPr>
        <w:t>1.0.3</w:t>
      </w:r>
      <w:r>
        <w:rPr>
          <w:rFonts w:hint="eastAsia"/>
        </w:rPr>
        <w:t xml:space="preserve"> </w:t>
      </w:r>
      <w:bookmarkStart w:id="19" w:name="_Hlk156313514"/>
      <w:r>
        <w:rPr>
          <w:rFonts w:hint="eastAsia"/>
        </w:rPr>
        <w:t>对焦炉烘炉过程中的技术检测及验收除应符合本标准的规定外，尚应符合国家现行有关标准的规定。</w:t>
      </w:r>
      <w:bookmarkEnd w:id="19"/>
    </w:p>
    <w:p>
      <w:pPr>
        <w:pStyle w:val="29"/>
        <w:spacing w:line="360" w:lineRule="auto"/>
        <w:ind w:firstLine="0" w:firstLineChars="0"/>
      </w:pPr>
    </w:p>
    <w:p>
      <w:pPr>
        <w:pStyle w:val="29"/>
        <w:ind w:firstLine="440"/>
      </w:pPr>
      <w:r>
        <w:br w:type="page"/>
      </w:r>
    </w:p>
    <w:p>
      <w:pPr>
        <w:pStyle w:val="61"/>
        <w:rPr>
          <w:rFonts w:ascii="Times New Roman"/>
          <w:szCs w:val="32"/>
        </w:rPr>
      </w:pPr>
      <w:r>
        <w:rPr>
          <w:rFonts w:ascii="Times New Roman"/>
          <w:szCs w:val="32"/>
        </w:rPr>
        <w:t>2</w:t>
      </w:r>
      <w:r>
        <w:rPr>
          <w:rFonts w:hint="eastAsia" w:ascii="Times New Roman"/>
          <w:szCs w:val="32"/>
        </w:rPr>
        <w:t>术语</w:t>
      </w:r>
    </w:p>
    <w:p>
      <w:pPr>
        <w:pStyle w:val="29"/>
        <w:spacing w:line="360" w:lineRule="auto"/>
        <w:ind w:firstLine="0" w:firstLineChars="0"/>
        <w:rPr>
          <w:rFonts w:ascii="Times New Roman" w:eastAsia="黑体"/>
          <w:sz w:val="21"/>
          <w:szCs w:val="21"/>
        </w:rPr>
      </w:pPr>
      <w:r>
        <w:rPr>
          <w:rFonts w:hint="eastAsia" w:ascii="Times New Roman"/>
        </w:rPr>
        <w:t>2</w:t>
      </w:r>
      <w:r>
        <w:rPr>
          <w:rFonts w:ascii="Times New Roman"/>
        </w:rPr>
        <w:t xml:space="preserve">.0.1 </w:t>
      </w:r>
      <w:r>
        <w:rPr>
          <w:rFonts w:hint="eastAsia" w:ascii="Times New Roman" w:eastAsia="黑体"/>
          <w:sz w:val="21"/>
          <w:szCs w:val="21"/>
        </w:rPr>
        <w:t xml:space="preserve">烘炉 </w:t>
      </w:r>
      <w:r>
        <w:rPr>
          <w:rFonts w:ascii="Times New Roman" w:eastAsia="黑体"/>
          <w:sz w:val="21"/>
          <w:szCs w:val="21"/>
        </w:rPr>
        <w:t xml:space="preserve"> heating</w:t>
      </w:r>
      <w:r>
        <w:rPr>
          <w:rFonts w:hint="eastAsia" w:ascii="Times New Roman" w:eastAsia="黑体"/>
          <w:sz w:val="21"/>
          <w:szCs w:val="21"/>
        </w:rPr>
        <w:t>-</w:t>
      </w:r>
      <w:r>
        <w:rPr>
          <w:rFonts w:ascii="Times New Roman" w:eastAsia="黑体"/>
          <w:sz w:val="21"/>
          <w:szCs w:val="21"/>
        </w:rPr>
        <w:t>up</w:t>
      </w:r>
    </w:p>
    <w:p>
      <w:pPr>
        <w:pStyle w:val="29"/>
        <w:spacing w:line="360" w:lineRule="auto"/>
        <w:ind w:firstLine="440"/>
        <w:rPr>
          <w:rFonts w:ascii="Times New Roman"/>
        </w:rPr>
      </w:pPr>
      <w:r>
        <w:rPr>
          <w:rFonts w:hint="eastAsia" w:ascii="Times New Roman"/>
        </w:rPr>
        <w:t>将焦炉由常温升温到转正常加热时温度的操作过程。</w:t>
      </w:r>
    </w:p>
    <w:p>
      <w:pPr>
        <w:pStyle w:val="29"/>
        <w:spacing w:line="360" w:lineRule="auto"/>
        <w:ind w:firstLine="0" w:firstLineChars="0"/>
        <w:rPr>
          <w:rFonts w:ascii="Times New Roman" w:eastAsia="黑体"/>
          <w:sz w:val="21"/>
          <w:szCs w:val="21"/>
        </w:rPr>
      </w:pPr>
      <w:r>
        <w:rPr>
          <w:rFonts w:hint="eastAsia" w:ascii="Times New Roman"/>
        </w:rPr>
        <w:t>2</w:t>
      </w:r>
      <w:r>
        <w:rPr>
          <w:rFonts w:ascii="Times New Roman"/>
        </w:rPr>
        <w:t xml:space="preserve">.0.2 </w:t>
      </w:r>
      <w:r>
        <w:rPr>
          <w:rFonts w:hint="eastAsia" w:ascii="Times New Roman" w:eastAsia="黑体"/>
          <w:sz w:val="21"/>
          <w:szCs w:val="21"/>
        </w:rPr>
        <w:t xml:space="preserve">转正常加热 </w:t>
      </w:r>
      <w:r>
        <w:rPr>
          <w:rFonts w:ascii="Times New Roman" w:eastAsia="黑体"/>
          <w:sz w:val="21"/>
          <w:szCs w:val="21"/>
        </w:rPr>
        <w:t xml:space="preserve"> switch to normal heating</w:t>
      </w:r>
    </w:p>
    <w:p>
      <w:pPr>
        <w:pStyle w:val="29"/>
        <w:spacing w:line="360" w:lineRule="auto"/>
        <w:ind w:firstLine="440"/>
        <w:rPr>
          <w:rFonts w:ascii="Times New Roman"/>
        </w:rPr>
      </w:pPr>
      <w:bookmarkStart w:id="20" w:name="_Hlk156221838"/>
      <w:r>
        <w:rPr>
          <w:rFonts w:hint="eastAsia" w:ascii="Times New Roman"/>
        </w:rPr>
        <w:t>烘炉期间临时加热系统改为使用焦炉设计的加热系统对焦炉进行加热的过程。</w:t>
      </w:r>
    </w:p>
    <w:bookmarkEnd w:id="20"/>
    <w:p>
      <w:pPr>
        <w:pStyle w:val="29"/>
        <w:spacing w:line="360" w:lineRule="auto"/>
        <w:ind w:firstLine="0" w:firstLineChars="0"/>
        <w:rPr>
          <w:rFonts w:ascii="Times New Roman" w:eastAsia="黑体"/>
          <w:sz w:val="21"/>
          <w:szCs w:val="21"/>
        </w:rPr>
      </w:pPr>
      <w:r>
        <w:rPr>
          <w:rFonts w:hint="eastAsia" w:ascii="Times New Roman"/>
        </w:rPr>
        <w:t>2</w:t>
      </w:r>
      <w:r>
        <w:rPr>
          <w:rFonts w:ascii="Times New Roman"/>
        </w:rPr>
        <w:t xml:space="preserve">.0.3 </w:t>
      </w:r>
      <w:r>
        <w:rPr>
          <w:rFonts w:hint="eastAsia" w:ascii="Times New Roman" w:eastAsia="黑体"/>
          <w:sz w:val="21"/>
          <w:szCs w:val="21"/>
        </w:rPr>
        <w:t xml:space="preserve">升温计划 </w:t>
      </w:r>
      <w:r>
        <w:rPr>
          <w:rFonts w:ascii="Times New Roman" w:eastAsia="黑体"/>
          <w:sz w:val="21"/>
          <w:szCs w:val="21"/>
        </w:rPr>
        <w:t xml:space="preserve"> </w:t>
      </w:r>
      <w:r>
        <w:rPr>
          <w:rFonts w:hint="eastAsia" w:ascii="Times New Roman" w:eastAsia="黑体"/>
          <w:sz w:val="21"/>
          <w:szCs w:val="21"/>
        </w:rPr>
        <w:t>heating up plan</w:t>
      </w:r>
    </w:p>
    <w:p>
      <w:pPr>
        <w:pStyle w:val="29"/>
        <w:spacing w:line="360" w:lineRule="auto"/>
        <w:ind w:firstLine="440"/>
        <w:rPr>
          <w:rFonts w:ascii="Times New Roman"/>
        </w:rPr>
      </w:pPr>
      <w:r>
        <w:rPr>
          <w:rFonts w:hint="eastAsia" w:ascii="Times New Roman"/>
        </w:rPr>
        <w:t>烘炉期间焦炉立火道温度的计划值，包括干燥期和升温期。</w:t>
      </w:r>
    </w:p>
    <w:p>
      <w:pPr>
        <w:pStyle w:val="29"/>
        <w:spacing w:line="360" w:lineRule="auto"/>
        <w:ind w:firstLine="0" w:firstLineChars="0"/>
        <w:rPr>
          <w:rFonts w:ascii="Times New Roman" w:eastAsia="黑体"/>
          <w:sz w:val="21"/>
          <w:szCs w:val="21"/>
        </w:rPr>
      </w:pPr>
      <w:r>
        <w:rPr>
          <w:rFonts w:hint="eastAsia" w:ascii="Times New Roman"/>
        </w:rPr>
        <w:t>2</w:t>
      </w:r>
      <w:r>
        <w:rPr>
          <w:rFonts w:ascii="Times New Roman"/>
        </w:rPr>
        <w:t xml:space="preserve">.0.4 </w:t>
      </w:r>
      <w:r>
        <w:rPr>
          <w:rFonts w:hint="eastAsia" w:ascii="Times New Roman" w:eastAsia="黑体"/>
          <w:sz w:val="21"/>
          <w:szCs w:val="21"/>
        </w:rPr>
        <w:t xml:space="preserve">干燥期 </w:t>
      </w:r>
      <w:r>
        <w:rPr>
          <w:rFonts w:ascii="Times New Roman" w:eastAsia="黑体"/>
          <w:sz w:val="21"/>
          <w:szCs w:val="21"/>
        </w:rPr>
        <w:t xml:space="preserve"> drying period</w:t>
      </w:r>
    </w:p>
    <w:p>
      <w:pPr>
        <w:pStyle w:val="29"/>
        <w:spacing w:line="360" w:lineRule="auto"/>
        <w:ind w:firstLine="440"/>
        <w:rPr>
          <w:rFonts w:ascii="Times New Roman"/>
        </w:rPr>
      </w:pPr>
      <w:r>
        <w:rPr>
          <w:rFonts w:hint="eastAsia"/>
        </w:rPr>
        <w:t>蓄热室</w:t>
      </w:r>
      <w:r>
        <w:rPr>
          <w:rFonts w:hint="eastAsia" w:ascii="Times New Roman"/>
        </w:rPr>
        <w:t>主墙沿长度方向产生的膨胀。</w:t>
      </w:r>
    </w:p>
    <w:p>
      <w:pPr>
        <w:pStyle w:val="29"/>
        <w:spacing w:line="360" w:lineRule="auto"/>
        <w:ind w:firstLine="0" w:firstLineChars="0"/>
        <w:rPr>
          <w:rFonts w:ascii="Times New Roman" w:eastAsia="黑体"/>
          <w:sz w:val="21"/>
          <w:szCs w:val="21"/>
        </w:rPr>
      </w:pPr>
      <w:r>
        <w:rPr>
          <w:rFonts w:hint="eastAsia" w:ascii="Times New Roman" w:eastAsia="黑体"/>
          <w:sz w:val="21"/>
          <w:szCs w:val="21"/>
        </w:rPr>
        <w:t>2</w:t>
      </w:r>
      <w:r>
        <w:rPr>
          <w:rFonts w:ascii="Times New Roman" w:eastAsia="黑体"/>
          <w:sz w:val="21"/>
          <w:szCs w:val="21"/>
        </w:rPr>
        <w:t xml:space="preserve">.0.5 </w:t>
      </w:r>
      <w:r>
        <w:rPr>
          <w:rFonts w:hint="eastAsia" w:ascii="Times New Roman" w:eastAsia="黑体"/>
          <w:sz w:val="21"/>
          <w:szCs w:val="21"/>
        </w:rPr>
        <w:t xml:space="preserve">升温期 </w:t>
      </w:r>
      <w:r>
        <w:rPr>
          <w:rFonts w:ascii="Times New Roman" w:eastAsia="黑体"/>
          <w:sz w:val="21"/>
          <w:szCs w:val="21"/>
        </w:rPr>
        <w:t xml:space="preserve"> </w:t>
      </w:r>
      <w:r>
        <w:rPr>
          <w:rFonts w:hint="eastAsia" w:ascii="Times New Roman" w:eastAsia="黑体"/>
          <w:sz w:val="21"/>
          <w:szCs w:val="21"/>
        </w:rPr>
        <w:t>temperature rising period</w:t>
      </w:r>
    </w:p>
    <w:p>
      <w:pPr>
        <w:pStyle w:val="29"/>
        <w:spacing w:line="360" w:lineRule="auto"/>
        <w:ind w:firstLine="440"/>
        <w:rPr>
          <w:rFonts w:ascii="Times New Roman"/>
        </w:rPr>
      </w:pPr>
      <w:r>
        <w:rPr>
          <w:rFonts w:hint="eastAsia" w:ascii="Times New Roman"/>
        </w:rPr>
        <w:t>立火道温度从100℃升高到可转正常加热温度的阶段。</w:t>
      </w:r>
    </w:p>
    <w:p>
      <w:pPr>
        <w:pStyle w:val="29"/>
        <w:spacing w:line="360" w:lineRule="auto"/>
        <w:ind w:firstLine="0" w:firstLineChars="0"/>
        <w:rPr>
          <w:rFonts w:ascii="Times New Roman" w:eastAsia="黑体"/>
          <w:sz w:val="21"/>
          <w:szCs w:val="21"/>
        </w:rPr>
      </w:pPr>
      <w:r>
        <w:rPr>
          <w:rFonts w:hint="eastAsia" w:ascii="Times New Roman"/>
        </w:rPr>
        <w:t>2</w:t>
      </w:r>
      <w:r>
        <w:rPr>
          <w:rFonts w:ascii="Times New Roman"/>
        </w:rPr>
        <w:t xml:space="preserve">.0.6 </w:t>
      </w:r>
      <w:r>
        <w:rPr>
          <w:rFonts w:hint="eastAsia" w:ascii="Times New Roman" w:eastAsia="黑体"/>
          <w:sz w:val="21"/>
          <w:szCs w:val="21"/>
        </w:rPr>
        <w:t xml:space="preserve">管理火道温度 </w:t>
      </w:r>
      <w:r>
        <w:rPr>
          <w:rFonts w:ascii="Times New Roman" w:eastAsia="黑体"/>
          <w:sz w:val="21"/>
          <w:szCs w:val="21"/>
        </w:rPr>
        <w:t xml:space="preserve"> management flue temperatur</w:t>
      </w:r>
      <w:r>
        <w:rPr>
          <w:rFonts w:hint="eastAsia" w:ascii="Times New Roman" w:eastAsia="黑体"/>
          <w:sz w:val="21"/>
          <w:szCs w:val="21"/>
        </w:rPr>
        <w:t>e</w:t>
      </w:r>
      <w:r>
        <w:rPr>
          <w:rFonts w:ascii="Times New Roman" w:eastAsia="黑体"/>
          <w:sz w:val="21"/>
          <w:szCs w:val="21"/>
        </w:rPr>
        <w:t xml:space="preserve"> </w:t>
      </w:r>
    </w:p>
    <w:p>
      <w:pPr>
        <w:pStyle w:val="29"/>
        <w:spacing w:line="360" w:lineRule="auto"/>
        <w:ind w:firstLine="440"/>
      </w:pPr>
      <w:r>
        <w:rPr>
          <w:rFonts w:hint="eastAsia" w:ascii="Times New Roman"/>
          <w:szCs w:val="21"/>
        </w:rPr>
        <w:t>所选取的具有代表性的部分立火道温度。</w:t>
      </w:r>
    </w:p>
    <w:p>
      <w:pPr>
        <w:pStyle w:val="29"/>
        <w:spacing w:line="360" w:lineRule="auto"/>
        <w:ind w:firstLine="0" w:firstLineChars="0"/>
        <w:rPr>
          <w:rFonts w:ascii="Times New Roman" w:eastAsia="黑体"/>
          <w:sz w:val="21"/>
          <w:szCs w:val="21"/>
        </w:rPr>
      </w:pPr>
      <w:r>
        <w:rPr>
          <w:rFonts w:hint="eastAsia" w:ascii="Times New Roman"/>
        </w:rPr>
        <w:t>2</w:t>
      </w:r>
      <w:r>
        <w:rPr>
          <w:rFonts w:ascii="Times New Roman"/>
        </w:rPr>
        <w:t xml:space="preserve">.0.7 </w:t>
      </w:r>
      <w:r>
        <w:rPr>
          <w:rFonts w:hint="eastAsia" w:ascii="Times New Roman" w:eastAsia="黑体"/>
          <w:sz w:val="21"/>
          <w:szCs w:val="21"/>
        </w:rPr>
        <w:t xml:space="preserve">冷态 </w:t>
      </w:r>
      <w:r>
        <w:rPr>
          <w:rFonts w:ascii="Times New Roman" w:eastAsia="黑体"/>
          <w:sz w:val="21"/>
          <w:szCs w:val="21"/>
        </w:rPr>
        <w:t xml:space="preserve"> cold state</w:t>
      </w:r>
    </w:p>
    <w:p>
      <w:pPr>
        <w:pStyle w:val="29"/>
        <w:spacing w:line="360" w:lineRule="auto"/>
        <w:ind w:firstLine="440"/>
        <w:rPr>
          <w:rFonts w:ascii="Times New Roman"/>
          <w:szCs w:val="21"/>
        </w:rPr>
      </w:pPr>
      <w:r>
        <w:rPr>
          <w:rFonts w:hint="eastAsia" w:ascii="Times New Roman"/>
          <w:szCs w:val="21"/>
        </w:rPr>
        <w:t>焦炉烘炉点火之前的状态。</w:t>
      </w:r>
    </w:p>
    <w:p>
      <w:pPr>
        <w:pStyle w:val="29"/>
        <w:ind w:firstLine="0" w:firstLineChars="0"/>
        <w:rPr>
          <w:rFonts w:ascii="Times New Roman"/>
          <w:szCs w:val="21"/>
        </w:rPr>
      </w:pPr>
    </w:p>
    <w:p>
      <w:pPr>
        <w:pStyle w:val="29"/>
        <w:ind w:firstLine="0" w:firstLineChars="0"/>
        <w:rPr>
          <w:rFonts w:ascii="Times New Roman"/>
          <w:szCs w:val="21"/>
        </w:rPr>
      </w:pPr>
    </w:p>
    <w:p>
      <w:pPr>
        <w:pStyle w:val="29"/>
        <w:ind w:firstLine="0" w:firstLineChars="0"/>
        <w:rPr>
          <w:rFonts w:ascii="Times New Roman"/>
          <w:szCs w:val="21"/>
        </w:rPr>
      </w:pPr>
      <w:r>
        <w:rPr>
          <w:rFonts w:ascii="Times New Roman"/>
          <w:szCs w:val="21"/>
        </w:rPr>
        <w:br w:type="page"/>
      </w:r>
    </w:p>
    <w:p>
      <w:pPr>
        <w:pStyle w:val="61"/>
        <w:rPr>
          <w:rFonts w:ascii="Times New Roman"/>
          <w:szCs w:val="32"/>
        </w:rPr>
      </w:pPr>
      <w:r>
        <w:rPr>
          <w:rFonts w:ascii="Times New Roman"/>
          <w:szCs w:val="32"/>
        </w:rPr>
        <w:t>3</w:t>
      </w:r>
      <w:r>
        <w:rPr>
          <w:rFonts w:hint="eastAsia" w:ascii="Times New Roman"/>
          <w:szCs w:val="32"/>
        </w:rPr>
        <w:t>基本规定</w:t>
      </w:r>
    </w:p>
    <w:p>
      <w:pPr>
        <w:pStyle w:val="29"/>
        <w:spacing w:line="360" w:lineRule="auto"/>
        <w:ind w:firstLine="0" w:firstLineChars="0"/>
        <w:rPr>
          <w:rFonts w:ascii="Times New Roman" w:hAnsi="宋体"/>
          <w:kern w:val="2"/>
          <w:sz w:val="21"/>
          <w:szCs w:val="21"/>
        </w:rPr>
      </w:pPr>
      <w:r>
        <w:rPr>
          <w:rFonts w:hint="eastAsia" w:ascii="Times New Roman" w:hAnsi="宋体"/>
          <w:kern w:val="2"/>
          <w:sz w:val="21"/>
          <w:szCs w:val="21"/>
        </w:rPr>
        <w:t>3</w:t>
      </w:r>
      <w:r>
        <w:rPr>
          <w:rFonts w:ascii="Times New Roman" w:hAnsi="宋体"/>
          <w:kern w:val="2"/>
          <w:sz w:val="21"/>
          <w:szCs w:val="21"/>
        </w:rPr>
        <w:t xml:space="preserve">.0.1  </w:t>
      </w:r>
      <w:r>
        <w:rPr>
          <w:rFonts w:hint="eastAsia" w:ascii="Times New Roman" w:hAnsi="宋体"/>
          <w:kern w:val="2"/>
          <w:sz w:val="21"/>
          <w:szCs w:val="21"/>
        </w:rPr>
        <w:t>烘炉前要制定烘炉升温计划，建立烘炉机构，在严密的科学管理下使焦炉炉温按计划升到期望值，保持焦炉砌体的严密性，过渡到生产状态。</w:t>
      </w:r>
    </w:p>
    <w:p>
      <w:pPr>
        <w:pStyle w:val="29"/>
        <w:spacing w:line="360" w:lineRule="auto"/>
        <w:ind w:firstLine="0" w:firstLineChars="0"/>
        <w:rPr>
          <w:rFonts w:ascii="Times New Roman" w:hAnsi="宋体"/>
          <w:kern w:val="2"/>
          <w:sz w:val="21"/>
          <w:szCs w:val="21"/>
        </w:rPr>
      </w:pPr>
      <w:r>
        <w:rPr>
          <w:rFonts w:ascii="Times New Roman" w:hAnsi="宋体"/>
          <w:kern w:val="2"/>
          <w:sz w:val="21"/>
          <w:szCs w:val="21"/>
        </w:rPr>
        <w:t xml:space="preserve">3.0.2  </w:t>
      </w:r>
      <w:r>
        <w:rPr>
          <w:rFonts w:hint="eastAsia" w:ascii="Times New Roman" w:hAnsi="宋体"/>
          <w:kern w:val="2"/>
          <w:sz w:val="21"/>
          <w:szCs w:val="21"/>
        </w:rPr>
        <w:t>烘炉升温计划应依据所用硅砖的热膨胀性质。</w:t>
      </w:r>
    </w:p>
    <w:p>
      <w:pPr>
        <w:pStyle w:val="29"/>
        <w:spacing w:line="360" w:lineRule="auto"/>
        <w:ind w:firstLine="0" w:firstLineChars="0"/>
        <w:rPr>
          <w:rFonts w:ascii="Times New Roman" w:hAnsi="宋体"/>
          <w:kern w:val="2"/>
          <w:sz w:val="21"/>
          <w:szCs w:val="21"/>
        </w:rPr>
      </w:pPr>
      <w:r>
        <w:rPr>
          <w:rFonts w:hint="eastAsia" w:ascii="Times New Roman" w:hAnsi="宋体"/>
          <w:kern w:val="2"/>
          <w:sz w:val="21"/>
          <w:szCs w:val="21"/>
        </w:rPr>
        <w:t>3</w:t>
      </w:r>
      <w:r>
        <w:rPr>
          <w:rFonts w:ascii="Times New Roman" w:hAnsi="宋体"/>
          <w:kern w:val="2"/>
          <w:sz w:val="21"/>
          <w:szCs w:val="21"/>
        </w:rPr>
        <w:t xml:space="preserve">.0.3  </w:t>
      </w:r>
      <w:r>
        <w:rPr>
          <w:rFonts w:hint="eastAsia" w:ascii="Times New Roman" w:hAnsi="宋体"/>
          <w:kern w:val="2"/>
          <w:sz w:val="21"/>
          <w:szCs w:val="21"/>
        </w:rPr>
        <w:t>需要在冷态下完成的工作以及无法在热态下施工的工作应在点火前完成。</w:t>
      </w:r>
    </w:p>
    <w:p>
      <w:pPr>
        <w:pStyle w:val="29"/>
        <w:spacing w:line="360" w:lineRule="auto"/>
        <w:ind w:firstLine="0" w:firstLineChars="0"/>
        <w:rPr>
          <w:rFonts w:ascii="Times New Roman" w:hAnsi="宋体"/>
          <w:kern w:val="2"/>
          <w:sz w:val="21"/>
          <w:szCs w:val="21"/>
        </w:rPr>
      </w:pPr>
      <w:r>
        <w:rPr>
          <w:rFonts w:hint="eastAsia" w:ascii="Times New Roman" w:hAnsi="宋体"/>
          <w:kern w:val="2"/>
          <w:sz w:val="21"/>
          <w:szCs w:val="21"/>
        </w:rPr>
        <w:t>3</w:t>
      </w:r>
      <w:r>
        <w:rPr>
          <w:rFonts w:ascii="Times New Roman" w:hAnsi="宋体"/>
          <w:kern w:val="2"/>
          <w:sz w:val="21"/>
          <w:szCs w:val="21"/>
        </w:rPr>
        <w:t xml:space="preserve">.0.4  </w:t>
      </w:r>
      <w:r>
        <w:rPr>
          <w:rFonts w:hint="eastAsia" w:ascii="Times New Roman" w:hAnsi="宋体"/>
          <w:kern w:val="2"/>
          <w:sz w:val="21"/>
          <w:szCs w:val="21"/>
        </w:rPr>
        <w:t>烘炉期间应对炉体各部位施加合理的负荷，并及时对炉体表面、烘炉小灶进行维护，保持其严密性。</w:t>
      </w:r>
    </w:p>
    <w:p>
      <w:pPr>
        <w:pStyle w:val="29"/>
        <w:spacing w:line="360" w:lineRule="auto"/>
        <w:ind w:firstLine="0" w:firstLineChars="0"/>
        <w:rPr>
          <w:rFonts w:ascii="Times New Roman" w:hAnsi="宋体"/>
          <w:kern w:val="2"/>
          <w:sz w:val="21"/>
          <w:szCs w:val="21"/>
        </w:rPr>
      </w:pPr>
      <w:r>
        <w:rPr>
          <w:rFonts w:hint="eastAsia" w:ascii="Times New Roman" w:hAnsi="宋体"/>
          <w:kern w:val="2"/>
          <w:sz w:val="21"/>
          <w:szCs w:val="21"/>
        </w:rPr>
        <w:t>3</w:t>
      </w:r>
      <w:r>
        <w:rPr>
          <w:rFonts w:ascii="Times New Roman" w:hAnsi="宋体"/>
          <w:kern w:val="2"/>
          <w:sz w:val="21"/>
          <w:szCs w:val="21"/>
        </w:rPr>
        <w:t xml:space="preserve">.0.5 </w:t>
      </w:r>
      <w:r>
        <w:rPr>
          <w:rFonts w:hint="eastAsia" w:ascii="Times New Roman" w:hAnsi="宋体"/>
          <w:kern w:val="2"/>
          <w:sz w:val="21"/>
          <w:szCs w:val="21"/>
        </w:rPr>
        <w:t>烘炉过程中禁止降低炉温。</w:t>
      </w:r>
    </w:p>
    <w:p>
      <w:pPr>
        <w:pStyle w:val="29"/>
        <w:spacing w:line="360" w:lineRule="auto"/>
        <w:ind w:firstLine="0" w:firstLineChars="0"/>
        <w:rPr>
          <w:rFonts w:ascii="Times New Roman" w:hAnsi="宋体"/>
          <w:kern w:val="2"/>
          <w:sz w:val="21"/>
          <w:szCs w:val="21"/>
          <w:highlight w:val="yellow"/>
        </w:rPr>
      </w:pPr>
    </w:p>
    <w:p>
      <w:pPr>
        <w:pStyle w:val="29"/>
        <w:ind w:firstLine="0" w:firstLineChars="0"/>
        <w:rPr>
          <w:rFonts w:ascii="Times New Roman"/>
          <w:szCs w:val="21"/>
        </w:rPr>
      </w:pPr>
      <w:r>
        <w:rPr>
          <w:rFonts w:ascii="Times New Roman"/>
          <w:szCs w:val="21"/>
        </w:rPr>
        <w:br w:type="page"/>
      </w:r>
    </w:p>
    <w:p>
      <w:pPr>
        <w:pStyle w:val="61"/>
        <w:rPr>
          <w:rFonts w:ascii="Times New Roman"/>
          <w:szCs w:val="32"/>
        </w:rPr>
      </w:pPr>
      <w:r>
        <w:rPr>
          <w:rFonts w:ascii="Times New Roman"/>
          <w:szCs w:val="32"/>
        </w:rPr>
        <w:t>4</w:t>
      </w:r>
      <w:r>
        <w:rPr>
          <w:rFonts w:hint="eastAsia" w:ascii="Times New Roman"/>
          <w:szCs w:val="32"/>
        </w:rPr>
        <w:t>工艺原理</w:t>
      </w:r>
    </w:p>
    <w:p>
      <w:pPr>
        <w:spacing w:line="360" w:lineRule="auto"/>
        <w:rPr>
          <w:kern w:val="0"/>
          <w:sz w:val="22"/>
          <w:szCs w:val="22"/>
        </w:rPr>
      </w:pPr>
      <w:r>
        <w:rPr>
          <w:kern w:val="0"/>
          <w:sz w:val="22"/>
          <w:szCs w:val="22"/>
        </w:rPr>
        <w:t>4</w:t>
      </w:r>
      <w:r>
        <w:rPr>
          <w:rFonts w:hint="eastAsia"/>
          <w:kern w:val="0"/>
          <w:sz w:val="22"/>
          <w:szCs w:val="22"/>
        </w:rPr>
        <w:t>.</w:t>
      </w:r>
      <w:r>
        <w:rPr>
          <w:kern w:val="0"/>
          <w:sz w:val="22"/>
          <w:szCs w:val="22"/>
        </w:rPr>
        <w:t>0</w:t>
      </w:r>
      <w:r>
        <w:rPr>
          <w:rFonts w:hint="eastAsia"/>
          <w:kern w:val="0"/>
          <w:sz w:val="22"/>
          <w:szCs w:val="22"/>
        </w:rPr>
        <w:t xml:space="preserve">.1 </w:t>
      </w:r>
      <w:bookmarkStart w:id="21" w:name="_Hlk162257120"/>
      <w:r>
        <w:rPr>
          <w:rFonts w:hint="eastAsia"/>
          <w:kern w:val="0"/>
          <w:sz w:val="22"/>
          <w:szCs w:val="22"/>
        </w:rPr>
        <w:t>助燃空气依靠燃烧后热烟气产生的浮力吸入炭化室</w:t>
      </w:r>
      <w:bookmarkEnd w:id="21"/>
      <w:r>
        <w:rPr>
          <w:rFonts w:hint="eastAsia"/>
          <w:kern w:val="0"/>
          <w:sz w:val="22"/>
          <w:szCs w:val="22"/>
        </w:rPr>
        <w:t>。</w:t>
      </w:r>
    </w:p>
    <w:p>
      <w:pPr>
        <w:spacing w:line="360" w:lineRule="auto"/>
        <w:rPr>
          <w:kern w:val="0"/>
          <w:sz w:val="22"/>
          <w:szCs w:val="22"/>
        </w:rPr>
      </w:pPr>
      <w:r>
        <w:rPr>
          <w:kern w:val="0"/>
          <w:sz w:val="22"/>
          <w:szCs w:val="22"/>
        </w:rPr>
        <w:t>4</w:t>
      </w:r>
      <w:r>
        <w:rPr>
          <w:rFonts w:hint="eastAsia"/>
          <w:kern w:val="0"/>
          <w:sz w:val="22"/>
          <w:szCs w:val="22"/>
        </w:rPr>
        <w:t>.</w:t>
      </w:r>
      <w:r>
        <w:rPr>
          <w:kern w:val="0"/>
          <w:sz w:val="22"/>
          <w:szCs w:val="22"/>
        </w:rPr>
        <w:t>0</w:t>
      </w:r>
      <w:r>
        <w:rPr>
          <w:rFonts w:hint="eastAsia"/>
          <w:kern w:val="0"/>
          <w:sz w:val="22"/>
          <w:szCs w:val="22"/>
        </w:rPr>
        <w:t xml:space="preserve">.2 </w:t>
      </w:r>
      <w:bookmarkStart w:id="22" w:name="_Hlk162257610"/>
      <w:r>
        <w:rPr>
          <w:rFonts w:hint="eastAsia" w:hAnsi="宋体"/>
          <w:szCs w:val="21"/>
        </w:rPr>
        <w:t>燃烧产生的热烟气流经炭化室、燃烧室、蓄热室、烟道等部位后从烟囱排出，使焦炉升温至转正常加热温度。</w:t>
      </w:r>
      <w:bookmarkEnd w:id="22"/>
    </w:p>
    <w:p>
      <w:pPr>
        <w:pStyle w:val="61"/>
        <w:rPr>
          <w:rFonts w:ascii="Times New Roman"/>
          <w:szCs w:val="32"/>
        </w:rPr>
      </w:pPr>
      <w:r>
        <w:rPr>
          <w:rFonts w:ascii="Times New Roman"/>
          <w:szCs w:val="32"/>
        </w:rPr>
        <w:t>5</w:t>
      </w:r>
      <w:r>
        <w:rPr>
          <w:rFonts w:hint="eastAsia" w:ascii="Times New Roman"/>
          <w:szCs w:val="32"/>
        </w:rPr>
        <w:t>设施</w:t>
      </w:r>
    </w:p>
    <w:p>
      <w:pPr>
        <w:spacing w:line="360" w:lineRule="auto"/>
        <w:rPr>
          <w:kern w:val="0"/>
          <w:sz w:val="22"/>
          <w:szCs w:val="22"/>
        </w:rPr>
      </w:pPr>
      <w:r>
        <w:rPr>
          <w:rFonts w:hint="eastAsia"/>
          <w:kern w:val="0"/>
          <w:sz w:val="22"/>
          <w:szCs w:val="22"/>
        </w:rPr>
        <w:t>5</w:t>
      </w:r>
      <w:r>
        <w:rPr>
          <w:kern w:val="0"/>
          <w:sz w:val="22"/>
          <w:szCs w:val="22"/>
        </w:rPr>
        <w:t xml:space="preserve">.0.1 </w:t>
      </w:r>
      <w:r>
        <w:rPr>
          <w:rFonts w:hint="eastAsia"/>
          <w:kern w:val="0"/>
          <w:sz w:val="22"/>
          <w:szCs w:val="22"/>
        </w:rPr>
        <w:t>火床应符合下列规定：</w:t>
      </w:r>
    </w:p>
    <w:p>
      <w:pPr>
        <w:spacing w:line="360" w:lineRule="auto"/>
        <w:ind w:firstLine="440" w:firstLineChars="200"/>
        <w:rPr>
          <w:kern w:val="0"/>
          <w:sz w:val="22"/>
          <w:szCs w:val="22"/>
        </w:rPr>
      </w:pPr>
      <w:r>
        <w:rPr>
          <w:rFonts w:hint="eastAsia"/>
          <w:kern w:val="0"/>
          <w:sz w:val="22"/>
          <w:szCs w:val="22"/>
        </w:rPr>
        <w:t>1 宜采用粘土砖材质；</w:t>
      </w:r>
    </w:p>
    <w:p>
      <w:pPr>
        <w:spacing w:line="360" w:lineRule="auto"/>
        <w:ind w:firstLine="440" w:firstLineChars="200"/>
        <w:rPr>
          <w:kern w:val="0"/>
          <w:sz w:val="22"/>
          <w:szCs w:val="22"/>
        </w:rPr>
      </w:pPr>
      <w:r>
        <w:rPr>
          <w:kern w:val="0"/>
          <w:sz w:val="22"/>
          <w:szCs w:val="22"/>
        </w:rPr>
        <w:t>2</w:t>
      </w:r>
      <w:r>
        <w:rPr>
          <w:rFonts w:hint="eastAsia"/>
          <w:kern w:val="0"/>
          <w:sz w:val="22"/>
          <w:szCs w:val="22"/>
        </w:rPr>
        <w:t xml:space="preserve"> 火床与炭化室墙面间宜放置硅酸铝纤维毡；</w:t>
      </w:r>
    </w:p>
    <w:p>
      <w:pPr>
        <w:spacing w:line="360" w:lineRule="auto"/>
        <w:ind w:firstLine="440" w:firstLineChars="200"/>
        <w:rPr>
          <w:kern w:val="0"/>
          <w:sz w:val="22"/>
          <w:szCs w:val="22"/>
        </w:rPr>
      </w:pPr>
      <w:r>
        <w:rPr>
          <w:kern w:val="0"/>
          <w:sz w:val="22"/>
          <w:szCs w:val="22"/>
        </w:rPr>
        <w:t xml:space="preserve">3 </w:t>
      </w:r>
      <w:r>
        <w:rPr>
          <w:rFonts w:hint="eastAsia"/>
          <w:kern w:val="0"/>
          <w:sz w:val="22"/>
          <w:szCs w:val="22"/>
        </w:rPr>
        <w:t>火床铺底砖下部宜铺设石英砂或天然砂，长度应与火床长度一致。</w:t>
      </w:r>
    </w:p>
    <w:p>
      <w:pPr>
        <w:spacing w:line="360" w:lineRule="auto"/>
        <w:rPr>
          <w:kern w:val="0"/>
          <w:sz w:val="22"/>
          <w:szCs w:val="22"/>
        </w:rPr>
      </w:pPr>
      <w:r>
        <w:rPr>
          <w:rFonts w:hint="eastAsia"/>
          <w:kern w:val="0"/>
          <w:sz w:val="22"/>
          <w:szCs w:val="22"/>
        </w:rPr>
        <w:t>5</w:t>
      </w:r>
      <w:r>
        <w:rPr>
          <w:kern w:val="0"/>
          <w:sz w:val="22"/>
          <w:szCs w:val="22"/>
        </w:rPr>
        <w:t xml:space="preserve">.0.2 </w:t>
      </w:r>
      <w:r>
        <w:rPr>
          <w:rFonts w:hint="eastAsia"/>
          <w:kern w:val="0"/>
          <w:sz w:val="22"/>
          <w:szCs w:val="22"/>
        </w:rPr>
        <w:t>烘炉燃气管道系统应符合下列规定：</w:t>
      </w:r>
    </w:p>
    <w:p>
      <w:pPr>
        <w:spacing w:line="360" w:lineRule="auto"/>
        <w:ind w:firstLine="440" w:firstLineChars="200"/>
        <w:rPr>
          <w:kern w:val="0"/>
          <w:sz w:val="22"/>
          <w:szCs w:val="22"/>
        </w:rPr>
      </w:pPr>
      <w:r>
        <w:rPr>
          <w:kern w:val="0"/>
          <w:sz w:val="22"/>
          <w:szCs w:val="22"/>
        </w:rPr>
        <w:t>1</w:t>
      </w:r>
      <w:r>
        <w:rPr>
          <w:rFonts w:hint="eastAsia"/>
          <w:kern w:val="0"/>
          <w:sz w:val="22"/>
          <w:szCs w:val="22"/>
        </w:rPr>
        <w:t xml:space="preserve"> 机、焦侧主管中燃气的最大流速不应大于10m/s，总管中燃气流速不应大于12m/s；</w:t>
      </w:r>
    </w:p>
    <w:p>
      <w:pPr>
        <w:spacing w:line="360" w:lineRule="auto"/>
        <w:ind w:firstLine="440" w:firstLineChars="200"/>
        <w:rPr>
          <w:kern w:val="0"/>
          <w:sz w:val="22"/>
          <w:szCs w:val="22"/>
        </w:rPr>
      </w:pPr>
      <w:r>
        <w:rPr>
          <w:kern w:val="0"/>
          <w:sz w:val="22"/>
          <w:szCs w:val="22"/>
        </w:rPr>
        <w:t>2</w:t>
      </w:r>
      <w:r>
        <w:rPr>
          <w:rFonts w:hint="eastAsia"/>
          <w:kern w:val="0"/>
          <w:sz w:val="22"/>
          <w:szCs w:val="22"/>
        </w:rPr>
        <w:t xml:space="preserve"> 燃气管道系统应设置末端放散管、气体置换用吹扫管、冷凝液排放装置、取样管、测压管及末端泄爆装置等；</w:t>
      </w:r>
    </w:p>
    <w:p>
      <w:pPr>
        <w:spacing w:line="360" w:lineRule="auto"/>
        <w:ind w:firstLine="440" w:firstLineChars="200"/>
        <w:rPr>
          <w:kern w:val="0"/>
          <w:sz w:val="22"/>
          <w:szCs w:val="22"/>
        </w:rPr>
      </w:pPr>
      <w:r>
        <w:rPr>
          <w:kern w:val="0"/>
          <w:sz w:val="22"/>
          <w:szCs w:val="22"/>
        </w:rPr>
        <w:t>3</w:t>
      </w:r>
      <w:r>
        <w:rPr>
          <w:rFonts w:hint="eastAsia"/>
          <w:kern w:val="0"/>
          <w:sz w:val="22"/>
          <w:szCs w:val="22"/>
        </w:rPr>
        <w:t xml:space="preserve"> 热值低于5000kJ/m</w:t>
      </w:r>
      <w:r>
        <w:rPr>
          <w:kern w:val="0"/>
          <w:sz w:val="22"/>
          <w:szCs w:val="22"/>
          <w:vertAlign w:val="superscript"/>
        </w:rPr>
        <w:t>3</w:t>
      </w:r>
      <w:r>
        <w:rPr>
          <w:rFonts w:hint="eastAsia"/>
          <w:kern w:val="0"/>
          <w:sz w:val="22"/>
          <w:szCs w:val="22"/>
        </w:rPr>
        <w:t>的燃气燃烧器应有防灭火措施。</w:t>
      </w:r>
    </w:p>
    <w:p>
      <w:pPr>
        <w:spacing w:line="360" w:lineRule="auto"/>
        <w:rPr>
          <w:kern w:val="0"/>
          <w:sz w:val="22"/>
          <w:szCs w:val="22"/>
        </w:rPr>
      </w:pPr>
      <w:r>
        <w:rPr>
          <w:kern w:val="0"/>
          <w:sz w:val="22"/>
          <w:szCs w:val="22"/>
        </w:rPr>
        <w:t>5.0</w:t>
      </w:r>
      <w:r>
        <w:rPr>
          <w:rFonts w:hint="eastAsia"/>
          <w:kern w:val="0"/>
          <w:sz w:val="22"/>
          <w:szCs w:val="22"/>
        </w:rPr>
        <w:t>.</w:t>
      </w:r>
      <w:r>
        <w:rPr>
          <w:kern w:val="0"/>
          <w:sz w:val="22"/>
          <w:szCs w:val="22"/>
        </w:rPr>
        <w:t>3</w:t>
      </w:r>
      <w:r>
        <w:rPr>
          <w:rFonts w:hint="eastAsia"/>
          <w:kern w:val="0"/>
          <w:sz w:val="22"/>
          <w:szCs w:val="22"/>
        </w:rPr>
        <w:t xml:space="preserve"> 烘炉测调走台应符合下列规定：</w:t>
      </w:r>
    </w:p>
    <w:p>
      <w:pPr>
        <w:spacing w:line="360" w:lineRule="auto"/>
        <w:ind w:firstLine="440" w:firstLineChars="200"/>
        <w:rPr>
          <w:kern w:val="0"/>
          <w:sz w:val="22"/>
          <w:szCs w:val="22"/>
        </w:rPr>
      </w:pPr>
      <w:r>
        <w:rPr>
          <w:rFonts w:hint="eastAsia"/>
          <w:kern w:val="0"/>
          <w:sz w:val="22"/>
          <w:szCs w:val="22"/>
        </w:rPr>
        <w:t>1 应在机、焦侧安装测调走台和梯子；</w:t>
      </w:r>
    </w:p>
    <w:p>
      <w:pPr>
        <w:spacing w:line="360" w:lineRule="auto"/>
        <w:ind w:firstLine="440" w:firstLineChars="200"/>
        <w:rPr>
          <w:kern w:val="0"/>
          <w:sz w:val="22"/>
          <w:szCs w:val="22"/>
        </w:rPr>
      </w:pPr>
      <w:r>
        <w:rPr>
          <w:kern w:val="0"/>
          <w:sz w:val="22"/>
          <w:szCs w:val="22"/>
        </w:rPr>
        <w:t>2</w:t>
      </w:r>
      <w:r>
        <w:rPr>
          <w:rFonts w:hint="eastAsia"/>
          <w:kern w:val="0"/>
          <w:sz w:val="22"/>
          <w:szCs w:val="22"/>
        </w:rPr>
        <w:t xml:space="preserve"> 测调走台和梯子应符合《固定式钢梯及平台安全要求第1部分：钢直梯》GB</w:t>
      </w:r>
      <w:r>
        <w:rPr>
          <w:kern w:val="0"/>
          <w:sz w:val="22"/>
          <w:szCs w:val="22"/>
        </w:rPr>
        <w:t>4053</w:t>
      </w:r>
      <w:r>
        <w:rPr>
          <w:rFonts w:hint="eastAsia"/>
          <w:kern w:val="0"/>
          <w:sz w:val="22"/>
          <w:szCs w:val="22"/>
        </w:rPr>
        <w:t>.1和《固定式钢梯及平台安全要求第3部分：工业防护栏杆及钢平台》GB</w:t>
      </w:r>
      <w:r>
        <w:rPr>
          <w:kern w:val="0"/>
          <w:sz w:val="22"/>
          <w:szCs w:val="22"/>
        </w:rPr>
        <w:t>4053</w:t>
      </w:r>
      <w:r>
        <w:rPr>
          <w:rFonts w:hint="eastAsia"/>
          <w:kern w:val="0"/>
          <w:sz w:val="22"/>
          <w:szCs w:val="22"/>
        </w:rPr>
        <w:t>.</w:t>
      </w:r>
      <w:r>
        <w:rPr>
          <w:kern w:val="0"/>
          <w:sz w:val="22"/>
          <w:szCs w:val="22"/>
        </w:rPr>
        <w:t>3</w:t>
      </w:r>
      <w:r>
        <w:rPr>
          <w:rFonts w:hint="eastAsia"/>
          <w:kern w:val="0"/>
          <w:sz w:val="22"/>
          <w:szCs w:val="22"/>
        </w:rPr>
        <w:t>。</w:t>
      </w:r>
    </w:p>
    <w:p>
      <w:pPr>
        <w:spacing w:line="360" w:lineRule="auto"/>
        <w:rPr>
          <w:kern w:val="0"/>
          <w:sz w:val="22"/>
          <w:szCs w:val="22"/>
        </w:rPr>
      </w:pPr>
      <w:r>
        <w:rPr>
          <w:rFonts w:hint="eastAsia"/>
          <w:kern w:val="0"/>
          <w:sz w:val="22"/>
          <w:szCs w:val="22"/>
        </w:rPr>
        <w:t>5</w:t>
      </w:r>
      <w:r>
        <w:rPr>
          <w:kern w:val="0"/>
          <w:sz w:val="22"/>
          <w:szCs w:val="22"/>
        </w:rPr>
        <w:t xml:space="preserve">.0.4 </w:t>
      </w:r>
      <w:r>
        <w:rPr>
          <w:rFonts w:hint="eastAsia"/>
          <w:kern w:val="0"/>
          <w:sz w:val="22"/>
          <w:szCs w:val="22"/>
        </w:rPr>
        <w:t>燃烧控制系统和炉温监测系统应符合下列规定：</w:t>
      </w:r>
    </w:p>
    <w:p>
      <w:pPr>
        <w:spacing w:line="360" w:lineRule="auto"/>
        <w:ind w:firstLine="440" w:firstLineChars="200"/>
        <w:rPr>
          <w:kern w:val="0"/>
          <w:sz w:val="22"/>
          <w:szCs w:val="22"/>
        </w:rPr>
      </w:pPr>
      <w:r>
        <w:rPr>
          <w:kern w:val="0"/>
          <w:sz w:val="22"/>
          <w:szCs w:val="22"/>
        </w:rPr>
        <w:t xml:space="preserve">1 </w:t>
      </w:r>
      <w:r>
        <w:rPr>
          <w:rFonts w:hint="eastAsia"/>
          <w:kern w:val="0"/>
          <w:sz w:val="22"/>
          <w:szCs w:val="22"/>
        </w:rPr>
        <w:t>燃烧控制系统应具备燃气低压连锁切断功能；</w:t>
      </w:r>
    </w:p>
    <w:p>
      <w:pPr>
        <w:spacing w:line="360" w:lineRule="auto"/>
        <w:ind w:firstLine="440" w:firstLineChars="200"/>
        <w:rPr>
          <w:kern w:val="0"/>
          <w:sz w:val="22"/>
          <w:szCs w:val="22"/>
        </w:rPr>
      </w:pPr>
      <w:r>
        <w:rPr>
          <w:kern w:val="0"/>
          <w:sz w:val="22"/>
          <w:szCs w:val="22"/>
        </w:rPr>
        <w:t xml:space="preserve">2 </w:t>
      </w:r>
      <w:r>
        <w:rPr>
          <w:rFonts w:hint="eastAsia"/>
          <w:kern w:val="0"/>
          <w:sz w:val="22"/>
          <w:szCs w:val="22"/>
        </w:rPr>
        <w:t>燃烧控制系统和炉温监测系统应设置操作员站进行集中监视和控制。</w:t>
      </w:r>
    </w:p>
    <w:p>
      <w:pPr>
        <w:spacing w:line="360" w:lineRule="auto"/>
        <w:rPr>
          <w:kern w:val="0"/>
          <w:sz w:val="22"/>
          <w:szCs w:val="22"/>
        </w:rPr>
      </w:pPr>
      <w:r>
        <w:rPr>
          <w:rFonts w:hint="eastAsia"/>
          <w:kern w:val="0"/>
          <w:sz w:val="22"/>
          <w:szCs w:val="22"/>
        </w:rPr>
        <w:t>5</w:t>
      </w:r>
      <w:r>
        <w:rPr>
          <w:kern w:val="0"/>
          <w:sz w:val="22"/>
          <w:szCs w:val="22"/>
        </w:rPr>
        <w:t xml:space="preserve">.0.5 </w:t>
      </w:r>
      <w:r>
        <w:rPr>
          <w:rFonts w:hint="eastAsia"/>
          <w:kern w:val="0"/>
          <w:sz w:val="22"/>
          <w:szCs w:val="22"/>
        </w:rPr>
        <w:t>烘炉燃烧器应集成火焰检测装置。</w:t>
      </w:r>
    </w:p>
    <w:p>
      <w:pPr>
        <w:spacing w:line="360" w:lineRule="auto"/>
        <w:rPr>
          <w:kern w:val="0"/>
          <w:sz w:val="22"/>
          <w:szCs w:val="22"/>
        </w:rPr>
      </w:pPr>
      <w:r>
        <w:rPr>
          <w:rFonts w:hint="eastAsia"/>
          <w:kern w:val="0"/>
          <w:sz w:val="22"/>
          <w:szCs w:val="22"/>
        </w:rPr>
        <w:t>5</w:t>
      </w:r>
      <w:r>
        <w:rPr>
          <w:kern w:val="0"/>
          <w:sz w:val="22"/>
          <w:szCs w:val="22"/>
        </w:rPr>
        <w:t xml:space="preserve">.0.6 </w:t>
      </w:r>
      <w:r>
        <w:rPr>
          <w:rFonts w:hint="eastAsia"/>
          <w:kern w:val="0"/>
          <w:sz w:val="22"/>
          <w:szCs w:val="22"/>
        </w:rPr>
        <w:t>烘炉设施可配备应急电源。</w:t>
      </w:r>
    </w:p>
    <w:p>
      <w:pPr>
        <w:spacing w:line="360" w:lineRule="auto"/>
        <w:rPr>
          <w:kern w:val="0"/>
          <w:sz w:val="22"/>
          <w:szCs w:val="22"/>
        </w:rPr>
      </w:pPr>
      <w:r>
        <w:rPr>
          <w:kern w:val="0"/>
          <w:sz w:val="22"/>
          <w:szCs w:val="22"/>
        </w:rPr>
        <w:t xml:space="preserve">5.0.7 </w:t>
      </w:r>
      <w:r>
        <w:rPr>
          <w:rFonts w:hint="eastAsia"/>
          <w:kern w:val="0"/>
          <w:sz w:val="22"/>
          <w:szCs w:val="22"/>
        </w:rPr>
        <w:t>烘端墙时，应砌筑烘炉小炉。</w:t>
      </w:r>
    </w:p>
    <w:p>
      <w:pPr>
        <w:spacing w:line="360" w:lineRule="auto"/>
        <w:rPr>
          <w:rFonts w:hint="eastAsia"/>
          <w:kern w:val="0"/>
          <w:sz w:val="22"/>
          <w:szCs w:val="22"/>
        </w:rPr>
      </w:pPr>
      <w:r>
        <w:rPr>
          <w:rFonts w:hint="eastAsia"/>
          <w:kern w:val="0"/>
          <w:sz w:val="22"/>
          <w:szCs w:val="22"/>
        </w:rPr>
        <w:t>5</w:t>
      </w:r>
      <w:r>
        <w:rPr>
          <w:kern w:val="0"/>
          <w:sz w:val="22"/>
          <w:szCs w:val="22"/>
        </w:rPr>
        <w:t xml:space="preserve">.0.8 </w:t>
      </w:r>
      <w:r>
        <w:rPr>
          <w:rFonts w:hint="eastAsia"/>
          <w:kern w:val="0"/>
          <w:sz w:val="22"/>
          <w:szCs w:val="22"/>
        </w:rPr>
        <w:t>烘烟囱燃烧器应具备防吹灭功能。</w:t>
      </w:r>
    </w:p>
    <w:p>
      <w:pPr>
        <w:pStyle w:val="61"/>
        <w:rPr>
          <w:rFonts w:ascii="Times New Roman"/>
          <w:szCs w:val="32"/>
        </w:rPr>
      </w:pPr>
      <w:r>
        <w:rPr>
          <w:rFonts w:ascii="Times New Roman"/>
          <w:szCs w:val="32"/>
        </w:rPr>
        <w:t>6</w:t>
      </w:r>
      <w:r>
        <w:rPr>
          <w:rFonts w:hint="eastAsia" w:ascii="Times New Roman"/>
          <w:szCs w:val="32"/>
        </w:rPr>
        <w:t>技术要求</w:t>
      </w:r>
    </w:p>
    <w:p>
      <w:pPr>
        <w:pStyle w:val="53"/>
        <w:numPr>
          <w:ilvl w:val="0"/>
          <w:numId w:val="0"/>
        </w:numPr>
        <w:spacing w:before="156" w:after="156"/>
        <w:jc w:val="center"/>
        <w:rPr>
          <w:sz w:val="28"/>
          <w:szCs w:val="28"/>
        </w:rPr>
      </w:pPr>
      <w:r>
        <w:rPr>
          <w:rFonts w:ascii="Times New Roman" w:hAnsi="黑体"/>
          <w:sz w:val="28"/>
          <w:szCs w:val="28"/>
        </w:rPr>
        <w:t>6.1</w:t>
      </w:r>
      <w:r>
        <w:rPr>
          <w:rFonts w:hint="eastAsia" w:ascii="Times New Roman" w:hAnsi="黑体"/>
          <w:sz w:val="28"/>
          <w:szCs w:val="28"/>
        </w:rPr>
        <w:t>燃料</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1</w:t>
      </w:r>
      <w:r>
        <w:rPr>
          <w:rFonts w:hint="eastAsia"/>
          <w:kern w:val="0"/>
          <w:sz w:val="22"/>
          <w:szCs w:val="22"/>
        </w:rPr>
        <w:t>.1 不应采用固体燃料烘炉。</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1</w:t>
      </w:r>
      <w:r>
        <w:rPr>
          <w:rFonts w:hint="eastAsia"/>
          <w:kern w:val="0"/>
          <w:sz w:val="22"/>
          <w:szCs w:val="22"/>
        </w:rPr>
        <w:t>.2 不宜采用液体燃料烘炉。</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1</w:t>
      </w:r>
      <w:r>
        <w:rPr>
          <w:rFonts w:hint="eastAsia"/>
          <w:kern w:val="0"/>
          <w:sz w:val="22"/>
          <w:szCs w:val="22"/>
        </w:rPr>
        <w:t>.3 宜采用气体燃料烘炉，可采用的燃气有焦炉煤气、天然气等。</w:t>
      </w:r>
    </w:p>
    <w:p>
      <w:pPr>
        <w:pStyle w:val="53"/>
        <w:numPr>
          <w:ilvl w:val="0"/>
          <w:numId w:val="0"/>
        </w:numPr>
        <w:spacing w:before="156" w:after="156"/>
        <w:jc w:val="center"/>
        <w:rPr>
          <w:sz w:val="28"/>
          <w:szCs w:val="28"/>
        </w:rPr>
      </w:pPr>
      <w:r>
        <w:rPr>
          <w:rFonts w:hint="eastAsia" w:ascii="Times New Roman" w:hAnsi="黑体"/>
          <w:sz w:val="28"/>
          <w:szCs w:val="28"/>
        </w:rPr>
        <w:t>6</w:t>
      </w:r>
      <w:r>
        <w:rPr>
          <w:rFonts w:ascii="Times New Roman" w:hAnsi="黑体"/>
          <w:sz w:val="28"/>
          <w:szCs w:val="28"/>
        </w:rPr>
        <w:t>.2</w:t>
      </w:r>
      <w:r>
        <w:rPr>
          <w:rFonts w:hint="eastAsia" w:ascii="Times New Roman" w:hAnsi="黑体"/>
          <w:sz w:val="28"/>
          <w:szCs w:val="28"/>
        </w:rPr>
        <w:t>升温计划制定</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2</w:t>
      </w:r>
      <w:r>
        <w:rPr>
          <w:rFonts w:hint="eastAsia"/>
          <w:kern w:val="0"/>
          <w:sz w:val="22"/>
          <w:szCs w:val="22"/>
        </w:rPr>
        <w:t>.1</w:t>
      </w:r>
      <w:r>
        <w:rPr>
          <w:kern w:val="0"/>
          <w:sz w:val="22"/>
          <w:szCs w:val="22"/>
        </w:rPr>
        <w:t xml:space="preserve"> </w:t>
      </w:r>
      <w:r>
        <w:rPr>
          <w:rFonts w:hint="eastAsia"/>
          <w:kern w:val="0"/>
          <w:sz w:val="22"/>
          <w:szCs w:val="22"/>
        </w:rPr>
        <w:t>烘炉升温计划的计算应依据砌筑用硅砖代表砖样的线膨胀数据以及各区域温度比例。</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2</w:t>
      </w:r>
      <w:r>
        <w:rPr>
          <w:rFonts w:hint="eastAsia"/>
          <w:kern w:val="0"/>
          <w:sz w:val="22"/>
          <w:szCs w:val="22"/>
        </w:rPr>
        <w:t>.2 烘炉升温计划的最终温度可设定为800℃。</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2</w:t>
      </w:r>
      <w:r>
        <w:rPr>
          <w:rFonts w:hint="eastAsia"/>
          <w:kern w:val="0"/>
          <w:sz w:val="22"/>
          <w:szCs w:val="22"/>
        </w:rPr>
        <w:t>.3 测定线膨胀数据的代表砖样选自焦炉施工现场，应从燃烧室、斜道和蓄热室3个区域用砖中选取砖样，每个区域内应选取用量最大的3个砖号。</w:t>
      </w:r>
    </w:p>
    <w:p>
      <w:pPr>
        <w:spacing w:line="360" w:lineRule="auto"/>
        <w:rPr>
          <w:kern w:val="0"/>
          <w:sz w:val="22"/>
          <w:szCs w:val="22"/>
        </w:rPr>
      </w:pPr>
      <w:r>
        <w:rPr>
          <w:kern w:val="0"/>
          <w:sz w:val="22"/>
          <w:szCs w:val="22"/>
        </w:rPr>
        <w:t xml:space="preserve">6.2.4 </w:t>
      </w:r>
      <w:r>
        <w:rPr>
          <w:rFonts w:hint="eastAsia"/>
          <w:kern w:val="0"/>
          <w:sz w:val="22"/>
          <w:szCs w:val="22"/>
        </w:rPr>
        <w:t>测定砖样线膨胀数据时，常温至300℃区间宜每25℃测量一个数据，300℃~500℃区间宜每50℃测量一个数据，500℃~800℃区间宜每100℃测量一个数据。</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2</w:t>
      </w:r>
      <w:r>
        <w:rPr>
          <w:rFonts w:hint="eastAsia"/>
          <w:kern w:val="0"/>
          <w:sz w:val="22"/>
          <w:szCs w:val="22"/>
        </w:rPr>
        <w:t>.</w:t>
      </w:r>
      <w:r>
        <w:rPr>
          <w:kern w:val="0"/>
          <w:sz w:val="22"/>
          <w:szCs w:val="22"/>
        </w:rPr>
        <w:t>5</w:t>
      </w:r>
      <w:r>
        <w:rPr>
          <w:rFonts w:hint="eastAsia"/>
          <w:kern w:val="0"/>
          <w:sz w:val="22"/>
          <w:szCs w:val="22"/>
        </w:rPr>
        <w:t xml:space="preserve"> 计算烘炉天数时，最大日膨胀率宜采用0.035%。</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2</w:t>
      </w:r>
      <w:r>
        <w:rPr>
          <w:rFonts w:hint="eastAsia"/>
          <w:kern w:val="0"/>
          <w:sz w:val="22"/>
          <w:szCs w:val="22"/>
        </w:rPr>
        <w:t>.</w:t>
      </w:r>
      <w:r>
        <w:rPr>
          <w:kern w:val="0"/>
          <w:sz w:val="22"/>
          <w:szCs w:val="22"/>
        </w:rPr>
        <w:t>6</w:t>
      </w:r>
      <w:r>
        <w:rPr>
          <w:rFonts w:hint="eastAsia"/>
          <w:kern w:val="0"/>
          <w:sz w:val="22"/>
          <w:szCs w:val="22"/>
        </w:rPr>
        <w:t xml:space="preserve"> 根据计算结果确定升温计划时，还应考虑各升温阶段的特点以及热态工程量。</w:t>
      </w:r>
    </w:p>
    <w:p>
      <w:pPr>
        <w:spacing w:line="360" w:lineRule="auto"/>
        <w:rPr>
          <w:kern w:val="0"/>
          <w:sz w:val="22"/>
          <w:szCs w:val="22"/>
        </w:rPr>
      </w:pPr>
      <w:r>
        <w:rPr>
          <w:rFonts w:hint="eastAsia"/>
          <w:kern w:val="0"/>
          <w:sz w:val="22"/>
          <w:szCs w:val="22"/>
        </w:rPr>
        <w:t>6</w:t>
      </w:r>
      <w:r>
        <w:rPr>
          <w:kern w:val="0"/>
          <w:sz w:val="22"/>
          <w:szCs w:val="22"/>
        </w:rPr>
        <w:t xml:space="preserve">.2.7 </w:t>
      </w:r>
      <w:r>
        <w:rPr>
          <w:rFonts w:hint="eastAsia"/>
          <w:kern w:val="0"/>
          <w:sz w:val="22"/>
          <w:szCs w:val="22"/>
        </w:rPr>
        <w:t>干燥期宜采用</w:t>
      </w:r>
      <w:r>
        <w:rPr>
          <w:kern w:val="0"/>
          <w:sz w:val="22"/>
          <w:szCs w:val="22"/>
        </w:rPr>
        <w:t>8</w:t>
      </w:r>
      <w:r>
        <w:rPr>
          <w:rFonts w:hint="eastAsia"/>
          <w:kern w:val="0"/>
          <w:sz w:val="22"/>
          <w:szCs w:val="22"/>
        </w:rPr>
        <w:t>~12天。</w:t>
      </w:r>
    </w:p>
    <w:p>
      <w:pPr>
        <w:pStyle w:val="53"/>
        <w:numPr>
          <w:ilvl w:val="0"/>
          <w:numId w:val="0"/>
        </w:numPr>
        <w:spacing w:before="156" w:after="156"/>
        <w:jc w:val="center"/>
        <w:rPr>
          <w:rFonts w:ascii="Times New Roman" w:hAnsi="黑体"/>
          <w:sz w:val="28"/>
          <w:szCs w:val="28"/>
        </w:rPr>
      </w:pPr>
      <w:r>
        <w:rPr>
          <w:rFonts w:hint="eastAsia" w:ascii="Times New Roman" w:hAnsi="黑体"/>
          <w:sz w:val="28"/>
          <w:szCs w:val="28"/>
        </w:rPr>
        <w:t>6</w:t>
      </w:r>
      <w:r>
        <w:rPr>
          <w:rFonts w:ascii="Times New Roman" w:hAnsi="黑体"/>
          <w:sz w:val="28"/>
          <w:szCs w:val="28"/>
        </w:rPr>
        <w:t>.3</w:t>
      </w:r>
      <w:r>
        <w:rPr>
          <w:rFonts w:hint="eastAsia" w:ascii="Times New Roman" w:hAnsi="黑体"/>
          <w:sz w:val="28"/>
          <w:szCs w:val="28"/>
        </w:rPr>
        <w:t>烘炉准备工作验收</w:t>
      </w:r>
    </w:p>
    <w:p>
      <w:pPr>
        <w:spacing w:line="360" w:lineRule="auto"/>
        <w:rPr>
          <w:kern w:val="0"/>
          <w:sz w:val="22"/>
          <w:szCs w:val="22"/>
        </w:rPr>
      </w:pPr>
      <w:r>
        <w:rPr>
          <w:kern w:val="0"/>
          <w:sz w:val="22"/>
          <w:szCs w:val="22"/>
        </w:rPr>
        <w:t>6.3</w:t>
      </w:r>
      <w:r>
        <w:rPr>
          <w:rFonts w:hint="eastAsia"/>
          <w:kern w:val="0"/>
          <w:sz w:val="22"/>
          <w:szCs w:val="22"/>
        </w:rPr>
        <w:t>.1 烘炉设备、设施应准备齐全，安装完毕。</w:t>
      </w:r>
    </w:p>
    <w:p>
      <w:pPr>
        <w:spacing w:line="360" w:lineRule="auto"/>
        <w:rPr>
          <w:kern w:val="0"/>
          <w:sz w:val="22"/>
          <w:szCs w:val="22"/>
        </w:rPr>
      </w:pPr>
      <w:r>
        <w:rPr>
          <w:kern w:val="0"/>
          <w:sz w:val="22"/>
          <w:szCs w:val="22"/>
        </w:rPr>
        <w:t>6.3</w:t>
      </w:r>
      <w:r>
        <w:rPr>
          <w:rFonts w:hint="eastAsia"/>
          <w:kern w:val="0"/>
          <w:sz w:val="22"/>
          <w:szCs w:val="22"/>
        </w:rPr>
        <w:t>.2 燃烧后热废气的流经通道应保持严密、通畅。</w:t>
      </w:r>
    </w:p>
    <w:p>
      <w:pPr>
        <w:spacing w:line="360" w:lineRule="auto"/>
        <w:rPr>
          <w:kern w:val="0"/>
          <w:sz w:val="22"/>
          <w:szCs w:val="22"/>
        </w:rPr>
      </w:pPr>
      <w:r>
        <w:rPr>
          <w:kern w:val="0"/>
          <w:sz w:val="22"/>
          <w:szCs w:val="22"/>
        </w:rPr>
        <w:t>6.3</w:t>
      </w:r>
      <w:r>
        <w:rPr>
          <w:rFonts w:hint="eastAsia"/>
          <w:kern w:val="0"/>
          <w:sz w:val="22"/>
          <w:szCs w:val="22"/>
        </w:rPr>
        <w:t>.3 与炉体膨胀有关的金属结构、管道等应断开，待焦炉膨胀基本结束后再连接。</w:t>
      </w:r>
    </w:p>
    <w:p>
      <w:pPr>
        <w:spacing w:line="360" w:lineRule="auto"/>
        <w:rPr>
          <w:kern w:val="0"/>
          <w:sz w:val="22"/>
          <w:szCs w:val="22"/>
        </w:rPr>
      </w:pPr>
      <w:r>
        <w:rPr>
          <w:kern w:val="0"/>
          <w:sz w:val="22"/>
          <w:szCs w:val="22"/>
        </w:rPr>
        <w:t>6.3</w:t>
      </w:r>
      <w:r>
        <w:rPr>
          <w:rFonts w:hint="eastAsia"/>
          <w:kern w:val="0"/>
          <w:sz w:val="22"/>
          <w:szCs w:val="22"/>
        </w:rPr>
        <w:t>.4 点火烘炉前，可采取对烟囱进行点火烘烤等方法，确保总烟道吸力应大于100Pa。</w:t>
      </w:r>
    </w:p>
    <w:p>
      <w:pPr>
        <w:pStyle w:val="53"/>
        <w:numPr>
          <w:ilvl w:val="0"/>
          <w:numId w:val="0"/>
        </w:numPr>
        <w:spacing w:before="156" w:after="156"/>
        <w:jc w:val="center"/>
        <w:rPr>
          <w:sz w:val="28"/>
          <w:szCs w:val="28"/>
        </w:rPr>
      </w:pPr>
      <w:r>
        <w:rPr>
          <w:rFonts w:ascii="Times New Roman" w:hAnsi="黑体"/>
          <w:sz w:val="28"/>
          <w:szCs w:val="28"/>
        </w:rPr>
        <w:t>6.4</w:t>
      </w:r>
      <w:r>
        <w:rPr>
          <w:rFonts w:hint="eastAsia" w:ascii="Times New Roman" w:hAnsi="黑体"/>
          <w:sz w:val="28"/>
          <w:szCs w:val="28"/>
        </w:rPr>
        <w:t>特殊规定</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 xml:space="preserve">4.1 </w:t>
      </w:r>
      <w:r>
        <w:rPr>
          <w:rFonts w:hint="eastAsia"/>
          <w:kern w:val="0"/>
          <w:sz w:val="22"/>
          <w:szCs w:val="22"/>
        </w:rPr>
        <w:t>炭化室烘炉点火宜分两批进行。分两批点火时，首批应点燃机侧单号（或双号）炭化室的燃烧器及焦侧双号（或单号）炭化室的燃烧器。</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 xml:space="preserve">4.2 </w:t>
      </w:r>
      <w:r>
        <w:rPr>
          <w:rFonts w:hint="eastAsia"/>
          <w:kern w:val="0"/>
          <w:sz w:val="22"/>
          <w:szCs w:val="22"/>
        </w:rPr>
        <w:t>点火时，应先送空气，后送燃气。</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 xml:space="preserve">4.3 </w:t>
      </w:r>
      <w:r>
        <w:rPr>
          <w:rFonts w:hint="eastAsia"/>
          <w:kern w:val="0"/>
          <w:sz w:val="22"/>
          <w:szCs w:val="22"/>
        </w:rPr>
        <w:t>端墙燃烧器可延后点火。</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 xml:space="preserve">4.4 </w:t>
      </w:r>
      <w:r>
        <w:rPr>
          <w:rFonts w:hint="eastAsia"/>
          <w:kern w:val="0"/>
          <w:sz w:val="22"/>
          <w:szCs w:val="22"/>
        </w:rPr>
        <w:t>停止加热时，应对焦炉采取保温措施。</w:t>
      </w:r>
    </w:p>
    <w:p>
      <w:pPr>
        <w:spacing w:line="360" w:lineRule="auto"/>
        <w:rPr>
          <w:kern w:val="0"/>
          <w:sz w:val="22"/>
          <w:szCs w:val="22"/>
        </w:rPr>
      </w:pPr>
      <w:r>
        <w:rPr>
          <w:kern w:val="0"/>
          <w:sz w:val="22"/>
          <w:szCs w:val="22"/>
        </w:rPr>
        <w:t>6</w:t>
      </w:r>
      <w:r>
        <w:rPr>
          <w:rFonts w:hint="eastAsia"/>
          <w:kern w:val="0"/>
          <w:sz w:val="22"/>
          <w:szCs w:val="22"/>
        </w:rPr>
        <w:t>.</w:t>
      </w:r>
      <w:r>
        <w:rPr>
          <w:kern w:val="0"/>
          <w:sz w:val="22"/>
          <w:szCs w:val="22"/>
        </w:rPr>
        <w:t xml:space="preserve">4.5 </w:t>
      </w:r>
      <w:r>
        <w:rPr>
          <w:rFonts w:hint="eastAsia"/>
          <w:kern w:val="0"/>
          <w:sz w:val="22"/>
          <w:szCs w:val="22"/>
        </w:rPr>
        <w:t>可监测基础沉降。</w:t>
      </w:r>
    </w:p>
    <w:p>
      <w:pPr>
        <w:pStyle w:val="61"/>
        <w:rPr>
          <w:rFonts w:ascii="Times New Roman"/>
          <w:szCs w:val="32"/>
        </w:rPr>
      </w:pPr>
      <w:r>
        <w:rPr>
          <w:rFonts w:ascii="Times New Roman"/>
          <w:szCs w:val="32"/>
        </w:rPr>
        <w:t>7</w:t>
      </w:r>
      <w:r>
        <w:rPr>
          <w:rFonts w:hint="eastAsia" w:ascii="Times New Roman"/>
          <w:szCs w:val="32"/>
        </w:rPr>
        <w:t>检测要求</w:t>
      </w:r>
    </w:p>
    <w:p>
      <w:pPr>
        <w:pStyle w:val="53"/>
        <w:numPr>
          <w:ilvl w:val="0"/>
          <w:numId w:val="0"/>
        </w:numPr>
        <w:spacing w:before="156" w:after="156"/>
        <w:jc w:val="center"/>
        <w:rPr>
          <w:sz w:val="28"/>
          <w:szCs w:val="28"/>
        </w:rPr>
      </w:pPr>
      <w:r>
        <w:rPr>
          <w:rFonts w:ascii="Times New Roman" w:hAnsi="黑体"/>
          <w:sz w:val="28"/>
          <w:szCs w:val="28"/>
        </w:rPr>
        <w:t>7.1</w:t>
      </w:r>
      <w:r>
        <w:rPr>
          <w:rFonts w:hint="eastAsia" w:ascii="Times New Roman" w:hAnsi="黑体"/>
          <w:sz w:val="28"/>
          <w:szCs w:val="28"/>
        </w:rPr>
        <w:t>温度检测与管理</w:t>
      </w:r>
    </w:p>
    <w:p>
      <w:pPr>
        <w:spacing w:line="360" w:lineRule="auto"/>
        <w:rPr>
          <w:kern w:val="0"/>
          <w:sz w:val="22"/>
          <w:szCs w:val="22"/>
        </w:rPr>
      </w:pPr>
      <w:bookmarkStart w:id="23" w:name="_Hlk161132343"/>
      <w:r>
        <w:rPr>
          <w:rFonts w:hint="eastAsia"/>
          <w:kern w:val="0"/>
          <w:sz w:val="22"/>
          <w:szCs w:val="22"/>
        </w:rPr>
        <w:t>7</w:t>
      </w:r>
      <w:r>
        <w:rPr>
          <w:kern w:val="0"/>
          <w:sz w:val="22"/>
          <w:szCs w:val="22"/>
        </w:rPr>
        <w:t xml:space="preserve">.1.1 </w:t>
      </w:r>
      <w:r>
        <w:rPr>
          <w:rFonts w:hint="eastAsia"/>
          <w:kern w:val="0"/>
          <w:sz w:val="22"/>
          <w:szCs w:val="22"/>
        </w:rPr>
        <w:t>温度监测</w:t>
      </w:r>
    </w:p>
    <w:bookmarkEnd w:id="23"/>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1</w:t>
      </w:r>
      <w:r>
        <w:rPr>
          <w:rFonts w:hint="eastAsia"/>
          <w:kern w:val="0"/>
          <w:sz w:val="22"/>
          <w:szCs w:val="22"/>
        </w:rPr>
        <w:t>.</w:t>
      </w:r>
      <w:r>
        <w:rPr>
          <w:kern w:val="0"/>
          <w:sz w:val="22"/>
          <w:szCs w:val="22"/>
        </w:rPr>
        <w:t xml:space="preserve">1.1 </w:t>
      </w:r>
      <w:r>
        <w:rPr>
          <w:rFonts w:hint="eastAsia"/>
          <w:kern w:val="0"/>
          <w:sz w:val="22"/>
          <w:szCs w:val="22"/>
        </w:rPr>
        <w:t>烘炉期间监测焦炉各部位温度时，宜对该部位的气流进行监测。</w:t>
      </w:r>
    </w:p>
    <w:p>
      <w:pPr>
        <w:spacing w:line="360" w:lineRule="auto"/>
      </w:pPr>
      <w:r>
        <w:rPr>
          <w:kern w:val="0"/>
          <w:sz w:val="22"/>
          <w:szCs w:val="22"/>
        </w:rPr>
        <w:t>7</w:t>
      </w:r>
      <w:r>
        <w:rPr>
          <w:rFonts w:hint="eastAsia"/>
          <w:kern w:val="0"/>
          <w:sz w:val="22"/>
          <w:szCs w:val="22"/>
        </w:rPr>
        <w:t>.</w:t>
      </w:r>
      <w:r>
        <w:rPr>
          <w:kern w:val="0"/>
          <w:sz w:val="22"/>
          <w:szCs w:val="22"/>
        </w:rPr>
        <w:t>1.1</w:t>
      </w:r>
      <w:r>
        <w:rPr>
          <w:rFonts w:hint="eastAsia"/>
          <w:kern w:val="0"/>
          <w:sz w:val="22"/>
          <w:szCs w:val="22"/>
        </w:rPr>
        <w:t>.2 烘炉期间应监测管理火道温度、直行温度、端墙温度、蓄热室顶部处温度、蓄热室底部温度、小烟道温度、总分烟道温度，宜监测横排温度、大气温度。</w:t>
      </w:r>
    </w:p>
    <w:p>
      <w:pPr>
        <w:spacing w:line="360" w:lineRule="auto"/>
      </w:pPr>
      <w:r>
        <w:rPr>
          <w:kern w:val="0"/>
          <w:sz w:val="22"/>
          <w:szCs w:val="22"/>
        </w:rPr>
        <w:t>7</w:t>
      </w:r>
      <w:r>
        <w:rPr>
          <w:rFonts w:hint="eastAsia"/>
          <w:kern w:val="0"/>
          <w:sz w:val="22"/>
          <w:szCs w:val="22"/>
        </w:rPr>
        <w:t>.</w:t>
      </w:r>
      <w:r>
        <w:rPr>
          <w:kern w:val="0"/>
          <w:sz w:val="22"/>
          <w:szCs w:val="22"/>
        </w:rPr>
        <w:t>1.1</w:t>
      </w:r>
      <w:r>
        <w:rPr>
          <w:rFonts w:hint="eastAsia"/>
          <w:kern w:val="0"/>
          <w:sz w:val="22"/>
          <w:szCs w:val="22"/>
        </w:rPr>
        <w:t>.3 管理火道温度、直行温度、端墙温度、蓄热室顶部处温度、蓄热室底部温度应采用自动测温，横排温度、总分烟道温度宜采用自动测温，小烟道温度、大气温度可人工测温</w:t>
      </w:r>
      <w:r>
        <w:rPr>
          <w:rFonts w:hint="eastAsia"/>
        </w:rPr>
        <w:t>。</w:t>
      </w:r>
    </w:p>
    <w:p>
      <w:pPr>
        <w:spacing w:line="360" w:lineRule="auto"/>
        <w:rPr>
          <w:kern w:val="0"/>
          <w:sz w:val="22"/>
          <w:szCs w:val="22"/>
        </w:rPr>
      </w:pPr>
      <w:r>
        <w:rPr>
          <w:rFonts w:hint="eastAsia"/>
          <w:kern w:val="0"/>
          <w:sz w:val="22"/>
          <w:szCs w:val="22"/>
        </w:rPr>
        <w:t>7</w:t>
      </w:r>
      <w:r>
        <w:rPr>
          <w:kern w:val="0"/>
          <w:sz w:val="22"/>
          <w:szCs w:val="22"/>
        </w:rPr>
        <w:t xml:space="preserve">.1.2 </w:t>
      </w:r>
      <w:r>
        <w:rPr>
          <w:rFonts w:hint="eastAsia"/>
          <w:kern w:val="0"/>
          <w:sz w:val="22"/>
          <w:szCs w:val="22"/>
        </w:rPr>
        <w:t>升温控制</w:t>
      </w:r>
    </w:p>
    <w:p>
      <w:pPr>
        <w:spacing w:line="360" w:lineRule="auto"/>
        <w:rPr>
          <w:rFonts w:ascii="宋体" w:hAnsi="宋体"/>
          <w:sz w:val="24"/>
        </w:rPr>
      </w:pPr>
      <w:r>
        <w:rPr>
          <w:kern w:val="0"/>
          <w:sz w:val="22"/>
          <w:szCs w:val="22"/>
        </w:rPr>
        <w:t>7</w:t>
      </w:r>
      <w:r>
        <w:rPr>
          <w:rFonts w:hint="eastAsia"/>
          <w:kern w:val="0"/>
          <w:sz w:val="22"/>
          <w:szCs w:val="22"/>
        </w:rPr>
        <w:t>.</w:t>
      </w:r>
      <w:r>
        <w:rPr>
          <w:kern w:val="0"/>
          <w:sz w:val="22"/>
          <w:szCs w:val="22"/>
        </w:rPr>
        <w:t>1</w:t>
      </w:r>
      <w:r>
        <w:rPr>
          <w:rFonts w:hint="eastAsia"/>
          <w:kern w:val="0"/>
          <w:sz w:val="22"/>
          <w:szCs w:val="22"/>
        </w:rPr>
        <w:t>.2.1 管理火道的平均温度应按升温计划进行控制，控制范围宜符合表</w:t>
      </w:r>
      <w:r>
        <w:rPr>
          <w:kern w:val="0"/>
          <w:sz w:val="22"/>
          <w:szCs w:val="22"/>
        </w:rPr>
        <w:t>7.1.2.1</w:t>
      </w:r>
      <w:r>
        <w:rPr>
          <w:rFonts w:hint="eastAsia"/>
          <w:kern w:val="0"/>
          <w:sz w:val="22"/>
          <w:szCs w:val="22"/>
        </w:rPr>
        <w:t>规定。</w:t>
      </w:r>
    </w:p>
    <w:p>
      <w:pPr>
        <w:spacing w:line="360" w:lineRule="auto"/>
        <w:jc w:val="center"/>
        <w:rPr>
          <w:kern w:val="0"/>
          <w:sz w:val="22"/>
          <w:szCs w:val="22"/>
        </w:rPr>
      </w:pPr>
      <w:r>
        <w:rPr>
          <w:rFonts w:hint="eastAsia"/>
          <w:kern w:val="0"/>
          <w:sz w:val="22"/>
          <w:szCs w:val="22"/>
        </w:rPr>
        <w:t>表</w:t>
      </w:r>
      <w:r>
        <w:rPr>
          <w:kern w:val="0"/>
          <w:sz w:val="22"/>
          <w:szCs w:val="22"/>
        </w:rPr>
        <w:t xml:space="preserve">7.1.2.1 </w:t>
      </w:r>
      <w:r>
        <w:rPr>
          <w:rFonts w:hint="eastAsia"/>
          <w:kern w:val="0"/>
          <w:sz w:val="22"/>
          <w:szCs w:val="22"/>
        </w:rPr>
        <w:t xml:space="preserve"> 管理火道平均温度控制范围表</w:t>
      </w:r>
    </w:p>
    <w:tbl>
      <w:tblPr>
        <w:tblStyle w:val="39"/>
        <w:tblW w:w="50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6"/>
        <w:gridCol w:w="2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2376" w:type="dxa"/>
          </w:tcPr>
          <w:p>
            <w:pPr>
              <w:jc w:val="center"/>
              <w:rPr>
                <w:kern w:val="0"/>
                <w:sz w:val="22"/>
                <w:szCs w:val="22"/>
              </w:rPr>
            </w:pPr>
            <w:r>
              <w:rPr>
                <w:rFonts w:hint="eastAsia"/>
                <w:kern w:val="0"/>
                <w:sz w:val="22"/>
                <w:szCs w:val="22"/>
              </w:rPr>
              <w:t>计划温度（℃）</w:t>
            </w:r>
          </w:p>
        </w:tc>
        <w:tc>
          <w:tcPr>
            <w:tcW w:w="2694" w:type="dxa"/>
          </w:tcPr>
          <w:p>
            <w:pPr>
              <w:jc w:val="center"/>
              <w:rPr>
                <w:kern w:val="0"/>
                <w:sz w:val="22"/>
                <w:szCs w:val="22"/>
              </w:rPr>
            </w:pPr>
            <w:r>
              <w:rPr>
                <w:rFonts w:hint="eastAsia"/>
                <w:kern w:val="0"/>
                <w:sz w:val="22"/>
                <w:szCs w:val="22"/>
              </w:rPr>
              <w:t>与升温计划偏差（℃）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2376" w:type="dxa"/>
          </w:tcPr>
          <w:p>
            <w:pPr>
              <w:jc w:val="center"/>
              <w:rPr>
                <w:kern w:val="0"/>
                <w:sz w:val="22"/>
                <w:szCs w:val="22"/>
              </w:rPr>
            </w:pPr>
            <w:r>
              <w:rPr>
                <w:rFonts w:hint="eastAsia"/>
                <w:kern w:val="0"/>
                <w:sz w:val="22"/>
                <w:szCs w:val="22"/>
              </w:rPr>
              <w:t>≤300</w:t>
            </w:r>
          </w:p>
        </w:tc>
        <w:tc>
          <w:tcPr>
            <w:tcW w:w="2694" w:type="dxa"/>
          </w:tcPr>
          <w:p>
            <w:pPr>
              <w:jc w:val="center"/>
              <w:rPr>
                <w:kern w:val="0"/>
                <w:sz w:val="22"/>
                <w:szCs w:val="22"/>
              </w:rPr>
            </w:pPr>
            <w:r>
              <w:rPr>
                <w:rFonts w:hint="eastAsia"/>
                <w:kern w:val="0"/>
                <w:sz w:val="22"/>
                <w:szCs w:val="2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2376" w:type="dxa"/>
          </w:tcPr>
          <w:p>
            <w:pPr>
              <w:jc w:val="center"/>
              <w:rPr>
                <w:kern w:val="0"/>
                <w:sz w:val="22"/>
                <w:szCs w:val="22"/>
              </w:rPr>
            </w:pPr>
            <w:r>
              <w:rPr>
                <w:rFonts w:hint="eastAsia"/>
                <w:kern w:val="0"/>
                <w:sz w:val="22"/>
                <w:szCs w:val="22"/>
              </w:rPr>
              <w:t>＞300，≤500</w:t>
            </w:r>
          </w:p>
        </w:tc>
        <w:tc>
          <w:tcPr>
            <w:tcW w:w="2694" w:type="dxa"/>
          </w:tcPr>
          <w:p>
            <w:pPr>
              <w:jc w:val="center"/>
              <w:rPr>
                <w:kern w:val="0"/>
                <w:sz w:val="22"/>
                <w:szCs w:val="22"/>
              </w:rPr>
            </w:pPr>
            <w:r>
              <w:rPr>
                <w:rFonts w:hint="eastAsia"/>
                <w:kern w:val="0"/>
                <w:sz w:val="22"/>
                <w:szCs w:val="2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2376" w:type="dxa"/>
          </w:tcPr>
          <w:p>
            <w:pPr>
              <w:jc w:val="center"/>
              <w:rPr>
                <w:kern w:val="0"/>
                <w:sz w:val="22"/>
                <w:szCs w:val="22"/>
              </w:rPr>
            </w:pPr>
            <w:r>
              <w:rPr>
                <w:rFonts w:hint="eastAsia"/>
                <w:kern w:val="0"/>
                <w:sz w:val="22"/>
                <w:szCs w:val="22"/>
              </w:rPr>
              <w:t>＞500，≤700</w:t>
            </w:r>
          </w:p>
        </w:tc>
        <w:tc>
          <w:tcPr>
            <w:tcW w:w="2694" w:type="dxa"/>
          </w:tcPr>
          <w:p>
            <w:pPr>
              <w:jc w:val="center"/>
              <w:rPr>
                <w:kern w:val="0"/>
                <w:sz w:val="22"/>
                <w:szCs w:val="22"/>
              </w:rPr>
            </w:pPr>
            <w:r>
              <w:rPr>
                <w:rFonts w:hint="eastAsia"/>
                <w:kern w:val="0"/>
                <w:sz w:val="22"/>
                <w:szCs w:val="2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2376" w:type="dxa"/>
          </w:tcPr>
          <w:p>
            <w:pPr>
              <w:jc w:val="center"/>
              <w:rPr>
                <w:kern w:val="0"/>
                <w:sz w:val="22"/>
                <w:szCs w:val="22"/>
              </w:rPr>
            </w:pPr>
            <w:r>
              <w:rPr>
                <w:rFonts w:hint="eastAsia"/>
                <w:kern w:val="0"/>
                <w:sz w:val="22"/>
                <w:szCs w:val="22"/>
              </w:rPr>
              <w:t>＞700</w:t>
            </w:r>
          </w:p>
        </w:tc>
        <w:tc>
          <w:tcPr>
            <w:tcW w:w="2694" w:type="dxa"/>
          </w:tcPr>
          <w:p>
            <w:pPr>
              <w:jc w:val="center"/>
              <w:rPr>
                <w:kern w:val="0"/>
                <w:sz w:val="22"/>
                <w:szCs w:val="22"/>
              </w:rPr>
            </w:pPr>
            <w:r>
              <w:rPr>
                <w:rFonts w:hint="eastAsia"/>
                <w:kern w:val="0"/>
                <w:sz w:val="22"/>
                <w:szCs w:val="22"/>
              </w:rPr>
              <w:t>±5</w:t>
            </w:r>
          </w:p>
        </w:tc>
      </w:tr>
    </w:tbl>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 xml:space="preserve">1.2.2 </w:t>
      </w:r>
      <w:r>
        <w:rPr>
          <w:rFonts w:hint="eastAsia"/>
          <w:kern w:val="0"/>
          <w:sz w:val="22"/>
          <w:szCs w:val="22"/>
        </w:rPr>
        <w:t>当管理火道平均温度偏离升温计划超过表</w:t>
      </w:r>
      <w:r>
        <w:rPr>
          <w:kern w:val="0"/>
          <w:sz w:val="22"/>
          <w:szCs w:val="22"/>
        </w:rPr>
        <w:t>7.1.2.1</w:t>
      </w:r>
      <w:r>
        <w:rPr>
          <w:rFonts w:hint="eastAsia"/>
          <w:kern w:val="0"/>
          <w:sz w:val="22"/>
          <w:szCs w:val="22"/>
        </w:rPr>
        <w:t>规定的范围上限时，应降低升温速度，使其缓慢接近预定计划；当管理火道平均温度偏离升温计划低于表</w:t>
      </w:r>
      <w:r>
        <w:rPr>
          <w:kern w:val="0"/>
          <w:sz w:val="22"/>
          <w:szCs w:val="22"/>
        </w:rPr>
        <w:t>7.1.2.1</w:t>
      </w:r>
      <w:r>
        <w:rPr>
          <w:rFonts w:hint="eastAsia"/>
          <w:kern w:val="0"/>
          <w:sz w:val="22"/>
          <w:szCs w:val="22"/>
        </w:rPr>
        <w:t>规定的范围下限时，应调整升温计划，不宜提高升温速度追赶预定计划。</w:t>
      </w:r>
    </w:p>
    <w:p>
      <w:pPr>
        <w:spacing w:line="360" w:lineRule="auto"/>
        <w:rPr>
          <w:kern w:val="0"/>
          <w:sz w:val="22"/>
          <w:szCs w:val="22"/>
        </w:rPr>
      </w:pPr>
      <w:r>
        <w:rPr>
          <w:kern w:val="0"/>
          <w:sz w:val="22"/>
          <w:szCs w:val="22"/>
        </w:rPr>
        <w:t>7.1.2.3</w:t>
      </w:r>
      <w:r>
        <w:rPr>
          <w:rFonts w:hint="eastAsia"/>
          <w:kern w:val="0"/>
          <w:sz w:val="22"/>
          <w:szCs w:val="22"/>
        </w:rPr>
        <w:t xml:space="preserve">  管理火道平均温度的升温速度宜采用自动控制。</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1</w:t>
      </w:r>
      <w:r>
        <w:rPr>
          <w:rFonts w:hint="eastAsia"/>
          <w:kern w:val="0"/>
          <w:sz w:val="22"/>
          <w:szCs w:val="22"/>
        </w:rPr>
        <w:t>.2.</w:t>
      </w:r>
      <w:r>
        <w:rPr>
          <w:kern w:val="0"/>
          <w:sz w:val="22"/>
          <w:szCs w:val="22"/>
        </w:rPr>
        <w:t xml:space="preserve">4  </w:t>
      </w:r>
      <w:r>
        <w:rPr>
          <w:rFonts w:hint="eastAsia"/>
          <w:kern w:val="0"/>
          <w:sz w:val="22"/>
          <w:szCs w:val="22"/>
        </w:rPr>
        <w:t>应保持直行温度的均匀性。</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1</w:t>
      </w:r>
      <w:r>
        <w:rPr>
          <w:rFonts w:hint="eastAsia"/>
          <w:kern w:val="0"/>
          <w:sz w:val="22"/>
          <w:szCs w:val="22"/>
        </w:rPr>
        <w:t>.2.</w:t>
      </w:r>
      <w:r>
        <w:rPr>
          <w:kern w:val="0"/>
          <w:sz w:val="22"/>
          <w:szCs w:val="22"/>
        </w:rPr>
        <w:t>5</w:t>
      </w:r>
      <w:r>
        <w:rPr>
          <w:rFonts w:hint="eastAsia"/>
          <w:kern w:val="0"/>
          <w:sz w:val="22"/>
          <w:szCs w:val="22"/>
        </w:rPr>
        <w:t xml:space="preserve"> </w:t>
      </w:r>
      <w:r>
        <w:rPr>
          <w:kern w:val="0"/>
          <w:sz w:val="22"/>
          <w:szCs w:val="22"/>
        </w:rPr>
        <w:t xml:space="preserve"> </w:t>
      </w:r>
      <w:r>
        <w:rPr>
          <w:rFonts w:hint="eastAsia"/>
          <w:kern w:val="0"/>
          <w:sz w:val="22"/>
          <w:szCs w:val="22"/>
        </w:rPr>
        <w:t>蓄热室顶部温度与管理火道温度的比例宜控制在8</w:t>
      </w:r>
      <w:r>
        <w:rPr>
          <w:kern w:val="0"/>
          <w:sz w:val="22"/>
          <w:szCs w:val="22"/>
        </w:rPr>
        <w:t>5</w:t>
      </w:r>
      <w:r>
        <w:rPr>
          <w:rFonts w:hint="eastAsia"/>
          <w:kern w:val="0"/>
          <w:sz w:val="22"/>
          <w:szCs w:val="22"/>
        </w:rPr>
        <w:t>%~</w:t>
      </w:r>
      <w:r>
        <w:rPr>
          <w:kern w:val="0"/>
          <w:sz w:val="22"/>
          <w:szCs w:val="22"/>
        </w:rPr>
        <w:t>95</w:t>
      </w:r>
      <w:r>
        <w:rPr>
          <w:rFonts w:hint="eastAsia"/>
          <w:kern w:val="0"/>
          <w:sz w:val="22"/>
          <w:szCs w:val="22"/>
        </w:rPr>
        <w:t>%范围内。</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1</w:t>
      </w:r>
      <w:r>
        <w:rPr>
          <w:rFonts w:hint="eastAsia"/>
          <w:kern w:val="0"/>
          <w:sz w:val="22"/>
          <w:szCs w:val="22"/>
        </w:rPr>
        <w:t>.2.</w:t>
      </w:r>
      <w:r>
        <w:rPr>
          <w:kern w:val="0"/>
          <w:sz w:val="22"/>
          <w:szCs w:val="22"/>
        </w:rPr>
        <w:t>6</w:t>
      </w:r>
      <w:r>
        <w:rPr>
          <w:rFonts w:hint="eastAsia"/>
          <w:kern w:val="0"/>
          <w:sz w:val="22"/>
          <w:szCs w:val="22"/>
        </w:rPr>
        <w:t xml:space="preserve">  烘炉期间小烟道出口温度不宜超过</w:t>
      </w:r>
      <w:r>
        <w:rPr>
          <w:kern w:val="0"/>
          <w:sz w:val="22"/>
          <w:szCs w:val="22"/>
        </w:rPr>
        <w:t>350</w:t>
      </w:r>
      <w:r>
        <w:rPr>
          <w:rFonts w:hint="eastAsia"/>
          <w:kern w:val="0"/>
          <w:sz w:val="22"/>
          <w:szCs w:val="22"/>
        </w:rPr>
        <w:t>度。</w:t>
      </w:r>
    </w:p>
    <w:p>
      <w:pPr>
        <w:pStyle w:val="53"/>
        <w:numPr>
          <w:ilvl w:val="0"/>
          <w:numId w:val="0"/>
        </w:numPr>
        <w:spacing w:before="156" w:after="156"/>
        <w:jc w:val="center"/>
        <w:rPr>
          <w:sz w:val="28"/>
          <w:szCs w:val="28"/>
        </w:rPr>
      </w:pPr>
      <w:r>
        <w:rPr>
          <w:rFonts w:ascii="Times New Roman" w:hAnsi="黑体"/>
          <w:sz w:val="28"/>
          <w:szCs w:val="28"/>
        </w:rPr>
        <w:t>7.2</w:t>
      </w:r>
      <w:r>
        <w:rPr>
          <w:rFonts w:hint="eastAsia" w:ascii="Times New Roman" w:hAnsi="黑体"/>
          <w:sz w:val="28"/>
          <w:szCs w:val="28"/>
        </w:rPr>
        <w:t>压力检测与管理</w:t>
      </w:r>
    </w:p>
    <w:p>
      <w:pPr>
        <w:spacing w:line="360" w:lineRule="auto"/>
        <w:rPr>
          <w:kern w:val="0"/>
          <w:sz w:val="22"/>
          <w:szCs w:val="22"/>
        </w:rPr>
      </w:pPr>
      <w:r>
        <w:rPr>
          <w:rFonts w:hint="eastAsia"/>
          <w:kern w:val="0"/>
          <w:sz w:val="22"/>
          <w:szCs w:val="22"/>
        </w:rPr>
        <w:t>7.</w:t>
      </w:r>
      <w:r>
        <w:rPr>
          <w:kern w:val="0"/>
          <w:sz w:val="22"/>
          <w:szCs w:val="22"/>
        </w:rPr>
        <w:t>2</w:t>
      </w:r>
      <w:r>
        <w:rPr>
          <w:rFonts w:hint="eastAsia"/>
          <w:kern w:val="0"/>
          <w:sz w:val="22"/>
          <w:szCs w:val="22"/>
        </w:rPr>
        <w:t>.1  压力监测</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2</w:t>
      </w:r>
      <w:r>
        <w:rPr>
          <w:rFonts w:hint="eastAsia"/>
          <w:kern w:val="0"/>
          <w:sz w:val="22"/>
          <w:szCs w:val="22"/>
        </w:rPr>
        <w:t>.1.1  烘炉期间应监测看火孔压力、烟道吸力、燃气压力。</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2</w:t>
      </w:r>
      <w:r>
        <w:rPr>
          <w:rFonts w:hint="eastAsia"/>
          <w:kern w:val="0"/>
          <w:sz w:val="22"/>
          <w:szCs w:val="22"/>
        </w:rPr>
        <w:t>.1.2  烟道吸力、燃气压力宜采用自动测量，看火孔压力可人工测量。</w:t>
      </w:r>
    </w:p>
    <w:p>
      <w:pPr>
        <w:spacing w:line="360" w:lineRule="auto"/>
        <w:rPr>
          <w:kern w:val="0"/>
          <w:sz w:val="22"/>
          <w:szCs w:val="22"/>
        </w:rPr>
      </w:pPr>
      <w:r>
        <w:rPr>
          <w:rFonts w:hint="eastAsia"/>
          <w:kern w:val="0"/>
          <w:sz w:val="22"/>
          <w:szCs w:val="22"/>
        </w:rPr>
        <w:t>7.</w:t>
      </w:r>
      <w:r>
        <w:rPr>
          <w:kern w:val="0"/>
          <w:sz w:val="22"/>
          <w:szCs w:val="22"/>
        </w:rPr>
        <w:t>2</w:t>
      </w:r>
      <w:r>
        <w:rPr>
          <w:rFonts w:hint="eastAsia"/>
          <w:kern w:val="0"/>
          <w:sz w:val="22"/>
          <w:szCs w:val="22"/>
        </w:rPr>
        <w:t>.</w:t>
      </w:r>
      <w:r>
        <w:rPr>
          <w:kern w:val="0"/>
          <w:sz w:val="22"/>
          <w:szCs w:val="22"/>
        </w:rPr>
        <w:t>2</w:t>
      </w:r>
      <w:r>
        <w:rPr>
          <w:rFonts w:hint="eastAsia"/>
          <w:kern w:val="0"/>
          <w:sz w:val="22"/>
          <w:szCs w:val="22"/>
        </w:rPr>
        <w:t xml:space="preserve">  压力控制</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2</w:t>
      </w:r>
      <w:r>
        <w:rPr>
          <w:rFonts w:hint="eastAsia"/>
          <w:kern w:val="0"/>
          <w:sz w:val="22"/>
          <w:szCs w:val="22"/>
        </w:rPr>
        <w:t>.2.1  首次烘炉点火前，分烟道压力宜控制在-</w:t>
      </w:r>
      <w:r>
        <w:rPr>
          <w:kern w:val="0"/>
          <w:sz w:val="22"/>
          <w:szCs w:val="22"/>
        </w:rPr>
        <w:t>50~-70</w:t>
      </w:r>
      <w:r>
        <w:rPr>
          <w:rFonts w:hint="eastAsia"/>
          <w:kern w:val="0"/>
          <w:sz w:val="22"/>
          <w:szCs w:val="22"/>
        </w:rPr>
        <w:t>Pa。</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2</w:t>
      </w:r>
      <w:r>
        <w:rPr>
          <w:rFonts w:hint="eastAsia"/>
          <w:kern w:val="0"/>
          <w:sz w:val="22"/>
          <w:szCs w:val="22"/>
        </w:rPr>
        <w:t>.2.2  焦炉大棚拆除前，看火孔压力宜大于零。</w:t>
      </w:r>
    </w:p>
    <w:p>
      <w:pPr>
        <w:pStyle w:val="53"/>
        <w:numPr>
          <w:ilvl w:val="0"/>
          <w:numId w:val="0"/>
        </w:numPr>
        <w:spacing w:before="156" w:after="156"/>
        <w:jc w:val="center"/>
        <w:rPr>
          <w:sz w:val="28"/>
          <w:szCs w:val="28"/>
        </w:rPr>
      </w:pPr>
      <w:r>
        <w:rPr>
          <w:rFonts w:ascii="Times New Roman" w:hAnsi="黑体"/>
          <w:sz w:val="28"/>
          <w:szCs w:val="28"/>
        </w:rPr>
        <w:t>7.3</w:t>
      </w:r>
      <w:bookmarkStart w:id="24" w:name="_Hlk162528513"/>
      <w:r>
        <w:rPr>
          <w:rFonts w:hint="eastAsia" w:ascii="Times New Roman" w:hAnsi="黑体"/>
          <w:sz w:val="28"/>
          <w:szCs w:val="28"/>
        </w:rPr>
        <w:t>炉体膨胀检测与管理</w:t>
      </w:r>
      <w:bookmarkEnd w:id="24"/>
    </w:p>
    <w:p>
      <w:pPr>
        <w:spacing w:line="360" w:lineRule="auto"/>
        <w:rPr>
          <w:kern w:val="0"/>
          <w:sz w:val="22"/>
          <w:szCs w:val="22"/>
        </w:rPr>
      </w:pPr>
      <w:r>
        <w:rPr>
          <w:kern w:val="0"/>
          <w:sz w:val="22"/>
          <w:szCs w:val="22"/>
        </w:rPr>
        <w:t>7</w:t>
      </w:r>
      <w:r>
        <w:rPr>
          <w:rFonts w:hint="eastAsia"/>
          <w:kern w:val="0"/>
          <w:sz w:val="22"/>
          <w:szCs w:val="22"/>
        </w:rPr>
        <w:t>.3</w:t>
      </w:r>
      <w:r>
        <w:rPr>
          <w:kern w:val="0"/>
          <w:sz w:val="22"/>
          <w:szCs w:val="22"/>
        </w:rPr>
        <w:t xml:space="preserve">.1  </w:t>
      </w:r>
      <w:r>
        <w:rPr>
          <w:rFonts w:hint="eastAsia"/>
          <w:kern w:val="0"/>
          <w:sz w:val="22"/>
          <w:szCs w:val="22"/>
        </w:rPr>
        <w:t>烘炉点火前炉体膨胀及护炉设备监测和管理</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3</w:t>
      </w:r>
      <w:r>
        <w:rPr>
          <w:rFonts w:hint="eastAsia"/>
          <w:kern w:val="0"/>
          <w:sz w:val="22"/>
          <w:szCs w:val="22"/>
        </w:rPr>
        <w:t>.1.1  冷态炉长、炉高的测点应标记完毕并测量原始数据。</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3</w:t>
      </w:r>
      <w:r>
        <w:rPr>
          <w:rFonts w:hint="eastAsia"/>
          <w:kern w:val="0"/>
          <w:sz w:val="22"/>
          <w:szCs w:val="22"/>
        </w:rPr>
        <w:t>.1.2  测量抵抗墙偏移量的标记点应标记完毕并测量原始数据。</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3</w:t>
      </w:r>
      <w:r>
        <w:rPr>
          <w:rFonts w:hint="eastAsia"/>
          <w:kern w:val="0"/>
          <w:sz w:val="22"/>
          <w:szCs w:val="22"/>
        </w:rPr>
        <w:t xml:space="preserve">.1.3  抵抗墙垂直度宜测量完毕。 </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3</w:t>
      </w:r>
      <w:r>
        <w:rPr>
          <w:rFonts w:hint="eastAsia"/>
          <w:kern w:val="0"/>
          <w:sz w:val="22"/>
          <w:szCs w:val="22"/>
        </w:rPr>
        <w:t>.1.4  弹簧负荷应调节到规定吨位。</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3</w:t>
      </w:r>
      <w:r>
        <w:rPr>
          <w:rFonts w:hint="eastAsia"/>
          <w:kern w:val="0"/>
          <w:sz w:val="22"/>
          <w:szCs w:val="22"/>
        </w:rPr>
        <w:t>.1.5  炉柱曲度应在弹簧调节后测量完毕。</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3</w:t>
      </w:r>
      <w:r>
        <w:rPr>
          <w:rFonts w:hint="eastAsia"/>
          <w:kern w:val="0"/>
          <w:sz w:val="22"/>
          <w:szCs w:val="22"/>
        </w:rPr>
        <w:t>.1.6  测量炉柱与保护板间隙的标记点应标记完毕。</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3</w:t>
      </w:r>
      <w:r>
        <w:rPr>
          <w:rFonts w:hint="eastAsia"/>
          <w:kern w:val="0"/>
          <w:sz w:val="22"/>
          <w:szCs w:val="22"/>
        </w:rPr>
        <w:t>.1.7  测量保护板上移的标记点应标记完毕。</w:t>
      </w:r>
    </w:p>
    <w:p>
      <w:pPr>
        <w:spacing w:line="360" w:lineRule="auto"/>
        <w:rPr>
          <w:kern w:val="0"/>
          <w:sz w:val="22"/>
          <w:szCs w:val="22"/>
        </w:rPr>
      </w:pPr>
      <w:r>
        <w:rPr>
          <w:kern w:val="0"/>
          <w:sz w:val="22"/>
          <w:szCs w:val="22"/>
        </w:rPr>
        <w:t>7</w:t>
      </w:r>
      <w:r>
        <w:rPr>
          <w:rFonts w:hint="eastAsia"/>
          <w:kern w:val="0"/>
          <w:sz w:val="22"/>
          <w:szCs w:val="22"/>
        </w:rPr>
        <w:t>.</w:t>
      </w:r>
      <w:r>
        <w:rPr>
          <w:kern w:val="0"/>
          <w:sz w:val="22"/>
          <w:szCs w:val="22"/>
        </w:rPr>
        <w:t>3</w:t>
      </w:r>
      <w:r>
        <w:rPr>
          <w:rFonts w:hint="eastAsia"/>
          <w:kern w:val="0"/>
          <w:sz w:val="22"/>
          <w:szCs w:val="22"/>
        </w:rPr>
        <w:t>.1.8  设计中应滑动部位的滑动标记点应标记完毕。</w:t>
      </w:r>
    </w:p>
    <w:p>
      <w:pPr>
        <w:spacing w:line="360" w:lineRule="auto"/>
        <w:rPr>
          <w:kern w:val="0"/>
          <w:sz w:val="22"/>
          <w:szCs w:val="22"/>
        </w:rPr>
      </w:pPr>
      <w:r>
        <w:rPr>
          <w:kern w:val="0"/>
          <w:sz w:val="22"/>
          <w:szCs w:val="22"/>
        </w:rPr>
        <w:t>7</w:t>
      </w:r>
      <w:r>
        <w:rPr>
          <w:rFonts w:hint="eastAsia"/>
          <w:kern w:val="0"/>
          <w:sz w:val="22"/>
          <w:szCs w:val="22"/>
        </w:rPr>
        <w:t>.3</w:t>
      </w:r>
      <w:r>
        <w:rPr>
          <w:kern w:val="0"/>
          <w:sz w:val="22"/>
          <w:szCs w:val="22"/>
        </w:rPr>
        <w:t xml:space="preserve">.2  </w:t>
      </w:r>
      <w:r>
        <w:rPr>
          <w:rFonts w:hint="eastAsia"/>
          <w:kern w:val="0"/>
          <w:sz w:val="22"/>
          <w:szCs w:val="22"/>
        </w:rPr>
        <w:t>烘炉点火后炉体膨胀及护炉设备监测和管理</w:t>
      </w:r>
    </w:p>
    <w:p>
      <w:pPr>
        <w:spacing w:line="360" w:lineRule="auto"/>
        <w:rPr>
          <w:kern w:val="0"/>
          <w:sz w:val="22"/>
          <w:szCs w:val="22"/>
        </w:rPr>
      </w:pPr>
      <w:r>
        <w:rPr>
          <w:kern w:val="0"/>
          <w:sz w:val="22"/>
          <w:szCs w:val="22"/>
        </w:rPr>
        <w:t>7</w:t>
      </w:r>
      <w:r>
        <w:rPr>
          <w:rFonts w:hint="eastAsia"/>
          <w:kern w:val="0"/>
          <w:sz w:val="22"/>
          <w:szCs w:val="22"/>
        </w:rPr>
        <w:t>.3.2.1  应测量炉长膨胀，测量频率宜每2天1次。</w:t>
      </w:r>
    </w:p>
    <w:p>
      <w:pPr>
        <w:spacing w:line="360" w:lineRule="auto"/>
        <w:rPr>
          <w:kern w:val="0"/>
          <w:sz w:val="22"/>
          <w:szCs w:val="22"/>
        </w:rPr>
      </w:pPr>
      <w:r>
        <w:rPr>
          <w:kern w:val="0"/>
          <w:sz w:val="22"/>
          <w:szCs w:val="22"/>
        </w:rPr>
        <w:t>7</w:t>
      </w:r>
      <w:r>
        <w:rPr>
          <w:rFonts w:hint="eastAsia"/>
          <w:kern w:val="0"/>
          <w:sz w:val="22"/>
          <w:szCs w:val="22"/>
        </w:rPr>
        <w:t>.3.2.2  应测量炉高膨胀，测量宜在150℃、300℃、500℃以及烘炉结束时进行。</w:t>
      </w:r>
    </w:p>
    <w:p>
      <w:pPr>
        <w:spacing w:line="360" w:lineRule="auto"/>
        <w:rPr>
          <w:kern w:val="0"/>
          <w:sz w:val="22"/>
          <w:szCs w:val="22"/>
        </w:rPr>
      </w:pPr>
      <w:r>
        <w:rPr>
          <w:kern w:val="0"/>
          <w:sz w:val="22"/>
          <w:szCs w:val="22"/>
        </w:rPr>
        <w:t>7</w:t>
      </w:r>
      <w:r>
        <w:rPr>
          <w:rFonts w:hint="eastAsia"/>
          <w:kern w:val="0"/>
          <w:sz w:val="22"/>
          <w:szCs w:val="22"/>
        </w:rPr>
        <w:t>.3.2.3  应测量抵抗墙偏移量，测量频率宜每周1次。</w:t>
      </w:r>
    </w:p>
    <w:p>
      <w:pPr>
        <w:spacing w:line="360" w:lineRule="auto"/>
        <w:rPr>
          <w:kern w:val="0"/>
          <w:sz w:val="22"/>
          <w:szCs w:val="22"/>
        </w:rPr>
      </w:pPr>
      <w:r>
        <w:rPr>
          <w:kern w:val="0"/>
          <w:sz w:val="22"/>
          <w:szCs w:val="22"/>
        </w:rPr>
        <w:t>7</w:t>
      </w:r>
      <w:r>
        <w:rPr>
          <w:rFonts w:hint="eastAsia"/>
          <w:kern w:val="0"/>
          <w:sz w:val="22"/>
          <w:szCs w:val="22"/>
        </w:rPr>
        <w:t>.3.2.4  宜测量抵抗墙垂直度宜，测量频率宜每周1次。</w:t>
      </w:r>
    </w:p>
    <w:p>
      <w:pPr>
        <w:spacing w:line="360" w:lineRule="auto"/>
        <w:rPr>
          <w:kern w:val="0"/>
          <w:sz w:val="22"/>
          <w:szCs w:val="22"/>
        </w:rPr>
      </w:pPr>
      <w:r>
        <w:rPr>
          <w:kern w:val="0"/>
          <w:sz w:val="22"/>
          <w:szCs w:val="22"/>
        </w:rPr>
        <w:t>7</w:t>
      </w:r>
      <w:r>
        <w:rPr>
          <w:rFonts w:hint="eastAsia"/>
          <w:kern w:val="0"/>
          <w:sz w:val="22"/>
          <w:szCs w:val="22"/>
        </w:rPr>
        <w:t>.3.2.5  炉柱上下部大弹簧负荷应每天测调1次。</w:t>
      </w:r>
    </w:p>
    <w:p>
      <w:pPr>
        <w:spacing w:line="360" w:lineRule="auto"/>
        <w:rPr>
          <w:kern w:val="0"/>
          <w:sz w:val="22"/>
          <w:szCs w:val="22"/>
        </w:rPr>
      </w:pPr>
      <w:r>
        <w:rPr>
          <w:kern w:val="0"/>
          <w:sz w:val="22"/>
          <w:szCs w:val="22"/>
        </w:rPr>
        <w:t>7</w:t>
      </w:r>
      <w:r>
        <w:rPr>
          <w:rFonts w:hint="eastAsia"/>
          <w:kern w:val="0"/>
          <w:sz w:val="22"/>
          <w:szCs w:val="22"/>
        </w:rPr>
        <w:t>.3.2.6  滑动层部位弹簧负荷应每天测调1次。</w:t>
      </w:r>
    </w:p>
    <w:p>
      <w:pPr>
        <w:spacing w:line="360" w:lineRule="auto"/>
        <w:rPr>
          <w:kern w:val="0"/>
          <w:sz w:val="22"/>
          <w:szCs w:val="22"/>
        </w:rPr>
      </w:pPr>
      <w:r>
        <w:rPr>
          <w:kern w:val="0"/>
          <w:sz w:val="22"/>
          <w:szCs w:val="22"/>
        </w:rPr>
        <w:t>7</w:t>
      </w:r>
      <w:r>
        <w:rPr>
          <w:rFonts w:hint="eastAsia"/>
          <w:kern w:val="0"/>
          <w:sz w:val="22"/>
          <w:szCs w:val="22"/>
        </w:rPr>
        <w:t>.3.2.7  小弹簧负荷应至少在100℃，大弹簧吨位变更时和烘炉结束时测调1次。</w:t>
      </w:r>
    </w:p>
    <w:p>
      <w:pPr>
        <w:spacing w:line="360" w:lineRule="auto"/>
        <w:rPr>
          <w:kern w:val="0"/>
          <w:sz w:val="22"/>
          <w:szCs w:val="22"/>
        </w:rPr>
      </w:pPr>
      <w:r>
        <w:rPr>
          <w:kern w:val="0"/>
          <w:sz w:val="22"/>
          <w:szCs w:val="22"/>
        </w:rPr>
        <w:t>7</w:t>
      </w:r>
      <w:r>
        <w:rPr>
          <w:rFonts w:hint="eastAsia"/>
          <w:kern w:val="0"/>
          <w:sz w:val="22"/>
          <w:szCs w:val="22"/>
        </w:rPr>
        <w:t>.3.2.8  纵拉条弹簧负荷测调应在抵抗墙偏移量测量结束后进行，测调宜每周1次。</w:t>
      </w:r>
    </w:p>
    <w:p>
      <w:pPr>
        <w:spacing w:line="360" w:lineRule="auto"/>
        <w:rPr>
          <w:kern w:val="0"/>
          <w:sz w:val="22"/>
          <w:szCs w:val="22"/>
        </w:rPr>
      </w:pPr>
      <w:r>
        <w:rPr>
          <w:kern w:val="0"/>
          <w:sz w:val="22"/>
          <w:szCs w:val="22"/>
        </w:rPr>
        <w:t>7</w:t>
      </w:r>
      <w:r>
        <w:rPr>
          <w:rFonts w:hint="eastAsia"/>
          <w:kern w:val="0"/>
          <w:sz w:val="22"/>
          <w:szCs w:val="22"/>
        </w:rPr>
        <w:t>.3.2.9  应测量炉柱曲度，测量频率宜每2天1次。</w:t>
      </w:r>
    </w:p>
    <w:p>
      <w:pPr>
        <w:spacing w:line="360" w:lineRule="auto"/>
        <w:rPr>
          <w:kern w:val="0"/>
          <w:sz w:val="22"/>
          <w:szCs w:val="22"/>
        </w:rPr>
      </w:pPr>
      <w:r>
        <w:rPr>
          <w:kern w:val="0"/>
          <w:sz w:val="22"/>
          <w:szCs w:val="22"/>
        </w:rPr>
        <w:t>7</w:t>
      </w:r>
      <w:r>
        <w:rPr>
          <w:rFonts w:hint="eastAsia"/>
          <w:kern w:val="0"/>
          <w:sz w:val="22"/>
          <w:szCs w:val="22"/>
        </w:rPr>
        <w:t>.3.2.10 应测量炉柱与保护板间隙，测量频率宜每周1次。</w:t>
      </w:r>
    </w:p>
    <w:p>
      <w:pPr>
        <w:spacing w:line="360" w:lineRule="auto"/>
        <w:rPr>
          <w:kern w:val="0"/>
          <w:sz w:val="22"/>
          <w:szCs w:val="22"/>
        </w:rPr>
      </w:pPr>
      <w:r>
        <w:rPr>
          <w:kern w:val="0"/>
          <w:sz w:val="22"/>
          <w:szCs w:val="22"/>
        </w:rPr>
        <w:t>7</w:t>
      </w:r>
      <w:r>
        <w:rPr>
          <w:rFonts w:hint="eastAsia"/>
          <w:kern w:val="0"/>
          <w:sz w:val="22"/>
          <w:szCs w:val="22"/>
        </w:rPr>
        <w:t>.3.2.11 应测量保护板上移情况，测量频率宜每周1次。</w:t>
      </w:r>
    </w:p>
    <w:p>
      <w:pPr>
        <w:spacing w:line="360" w:lineRule="auto"/>
        <w:rPr>
          <w:kern w:val="0"/>
          <w:sz w:val="22"/>
          <w:szCs w:val="22"/>
        </w:rPr>
      </w:pPr>
      <w:r>
        <w:rPr>
          <w:kern w:val="0"/>
          <w:sz w:val="22"/>
          <w:szCs w:val="22"/>
        </w:rPr>
        <w:t>7</w:t>
      </w:r>
      <w:r>
        <w:rPr>
          <w:rFonts w:hint="eastAsia"/>
          <w:kern w:val="0"/>
          <w:sz w:val="22"/>
          <w:szCs w:val="22"/>
        </w:rPr>
        <w:t>.3.2.12 应检查设计中应滑动的部位处于滑动状态。</w:t>
      </w:r>
    </w:p>
    <w:p>
      <w:pPr>
        <w:pStyle w:val="32"/>
        <w:ind w:left="0" w:leftChars="0"/>
        <w:rPr>
          <w:sz w:val="21"/>
          <w:szCs w:val="21"/>
        </w:rPr>
      </w:pPr>
    </w:p>
    <w:p>
      <w:pPr>
        <w:pStyle w:val="32"/>
        <w:ind w:left="0" w:leftChars="0"/>
        <w:rPr>
          <w:sz w:val="21"/>
          <w:szCs w:val="21"/>
        </w:rPr>
      </w:pPr>
    </w:p>
    <w:p>
      <w:pPr>
        <w:pStyle w:val="32"/>
        <w:ind w:left="0" w:leftChars="0"/>
        <w:rPr>
          <w:sz w:val="21"/>
          <w:szCs w:val="21"/>
        </w:rPr>
        <w:sectPr>
          <w:pgSz w:w="11906" w:h="16838"/>
          <w:pgMar w:top="1440" w:right="1134" w:bottom="1440" w:left="1418" w:header="1418" w:footer="1134" w:gutter="0"/>
          <w:pgNumType w:start="1"/>
          <w:cols w:space="425" w:num="1"/>
          <w:formProt w:val="0"/>
          <w:docGrid w:type="lines" w:linePitch="312" w:charSpace="0"/>
        </w:sectPr>
      </w:pPr>
    </w:p>
    <w:p>
      <w:pPr>
        <w:pStyle w:val="61"/>
        <w:rPr>
          <w:rFonts w:ascii="Times New Roman"/>
          <w:szCs w:val="32"/>
        </w:rPr>
      </w:pPr>
      <w:r>
        <w:rPr>
          <w:rFonts w:hint="eastAsia" w:ascii="Times New Roman"/>
          <w:szCs w:val="32"/>
        </w:rPr>
        <w:t>本标准用词说明</w:t>
      </w:r>
    </w:p>
    <w:p>
      <w:pPr>
        <w:spacing w:line="360" w:lineRule="auto"/>
      </w:pPr>
      <w:r>
        <w:rPr>
          <w:rFonts w:hint="eastAsia"/>
        </w:rPr>
        <w:t>1</w:t>
      </w:r>
      <w:r>
        <w:t xml:space="preserve"> </w:t>
      </w:r>
      <w:r>
        <w:rPr>
          <w:rFonts w:hint="eastAsia"/>
        </w:rPr>
        <w:t>为便于执行本标准条文时区别对待，对要求严格程度不同的用词说明如下：</w:t>
      </w:r>
    </w:p>
    <w:p>
      <w:pPr>
        <w:spacing w:line="360" w:lineRule="auto"/>
        <w:ind w:firstLine="420" w:firstLineChars="200"/>
      </w:pPr>
      <w:r>
        <w:t>1</w:t>
      </w:r>
      <w:r>
        <w:rPr>
          <w:rFonts w:hint="eastAsia"/>
        </w:rPr>
        <w:t>）表示很严格，非这样做不可的：</w:t>
      </w:r>
    </w:p>
    <w:p>
      <w:pPr>
        <w:spacing w:line="360" w:lineRule="auto"/>
        <w:ind w:firstLine="420" w:firstLineChars="200"/>
      </w:pPr>
      <w:r>
        <w:rPr>
          <w:rFonts w:hint="eastAsia"/>
        </w:rPr>
        <w:t>正面词采用“必须”，反面词采用“禁止”；</w:t>
      </w:r>
    </w:p>
    <w:p>
      <w:pPr>
        <w:spacing w:line="360" w:lineRule="auto"/>
        <w:ind w:firstLine="420" w:firstLineChars="200"/>
      </w:pPr>
      <w:r>
        <w:rPr>
          <w:rFonts w:hint="eastAsia"/>
        </w:rPr>
        <w:t>2）表示严格，在正常情况下均应这样做的：</w:t>
      </w:r>
    </w:p>
    <w:p>
      <w:pPr>
        <w:spacing w:line="360" w:lineRule="auto"/>
        <w:ind w:firstLine="420" w:firstLineChars="200"/>
      </w:pPr>
      <w:r>
        <w:rPr>
          <w:rFonts w:hint="eastAsia"/>
        </w:rPr>
        <w:t>正面词采用“应”，反面词采用“不应”或“不得”；</w:t>
      </w:r>
    </w:p>
    <w:p>
      <w:pPr>
        <w:spacing w:line="360" w:lineRule="auto"/>
        <w:ind w:firstLine="420" w:firstLineChars="200"/>
      </w:pPr>
      <w:r>
        <w:rPr>
          <w:rFonts w:hint="eastAsia"/>
        </w:rPr>
        <w:t>3）表示允许稍有选择，在条件许可时首先应这样做的：</w:t>
      </w:r>
    </w:p>
    <w:p>
      <w:pPr>
        <w:spacing w:line="360" w:lineRule="auto"/>
        <w:ind w:firstLine="420" w:firstLineChars="200"/>
      </w:pPr>
      <w:r>
        <w:rPr>
          <w:rFonts w:hint="eastAsia"/>
        </w:rPr>
        <w:t>正面词采用“宜”，反面词采用“不宜”；</w:t>
      </w:r>
    </w:p>
    <w:p>
      <w:pPr>
        <w:spacing w:line="360" w:lineRule="auto"/>
        <w:ind w:firstLine="420" w:firstLineChars="200"/>
      </w:pPr>
      <w:r>
        <w:rPr>
          <w:rFonts w:hint="eastAsia"/>
        </w:rPr>
        <w:t>4）表示有选择，在一定条件下可以这样做的，采用“可”。</w:t>
      </w:r>
    </w:p>
    <w:p>
      <w:pPr>
        <w:spacing w:line="360" w:lineRule="auto"/>
      </w:pPr>
      <w:r>
        <w:rPr>
          <w:rFonts w:hint="eastAsia"/>
        </w:rPr>
        <w:t>2</w:t>
      </w:r>
      <w:r>
        <w:t xml:space="preserve"> </w:t>
      </w:r>
      <w:r>
        <w:rPr>
          <w:rFonts w:hint="eastAsia"/>
        </w:rPr>
        <w:t>条文中指明应按其他有关标准执行的写法为：“应符合……的规定”或“应按……执行”。</w:t>
      </w:r>
    </w:p>
    <w:p>
      <w:pPr>
        <w:spacing w:line="360" w:lineRule="auto"/>
      </w:pPr>
    </w:p>
    <w:p>
      <w:pPr>
        <w:spacing w:line="360" w:lineRule="auto"/>
      </w:pPr>
    </w:p>
    <w:p>
      <w:pPr>
        <w:spacing w:line="360" w:lineRule="auto"/>
      </w:pPr>
    </w:p>
    <w:p>
      <w:pPr>
        <w:spacing w:line="360" w:lineRule="auto"/>
      </w:pPr>
      <w:r>
        <w:br w:type="page"/>
      </w:r>
    </w:p>
    <w:p>
      <w:pPr>
        <w:pStyle w:val="61"/>
        <w:rPr>
          <w:rFonts w:ascii="Times New Roman"/>
          <w:szCs w:val="32"/>
        </w:rPr>
      </w:pPr>
      <w:r>
        <w:rPr>
          <w:rFonts w:hint="eastAsia" w:ascii="Times New Roman"/>
          <w:szCs w:val="32"/>
        </w:rPr>
        <w:t>引用标准名录</w:t>
      </w:r>
    </w:p>
    <w:p>
      <w:pPr>
        <w:pStyle w:val="29"/>
        <w:spacing w:line="360" w:lineRule="auto"/>
        <w:ind w:firstLine="440"/>
        <w:rPr>
          <w:rFonts w:ascii="Times New Roman"/>
          <w:szCs w:val="21"/>
        </w:rPr>
      </w:pPr>
      <w:r>
        <w:rPr>
          <w:rFonts w:hint="eastAsia" w:ascii="Times New Roman"/>
          <w:szCs w:val="21"/>
        </w:rPr>
        <w:t xml:space="preserve">《炼焦工艺设计规范》 </w:t>
      </w:r>
      <w:r>
        <w:rPr>
          <w:rFonts w:ascii="Times New Roman"/>
          <w:szCs w:val="21"/>
        </w:rPr>
        <w:t xml:space="preserve"> GB </w:t>
      </w:r>
      <w:r>
        <w:rPr>
          <w:rFonts w:hint="eastAsia" w:ascii="Times New Roman"/>
          <w:szCs w:val="21"/>
        </w:rPr>
        <w:t>50432</w:t>
      </w:r>
    </w:p>
    <w:p>
      <w:pPr>
        <w:pStyle w:val="29"/>
        <w:spacing w:line="360" w:lineRule="auto"/>
        <w:ind w:firstLine="440"/>
        <w:rPr>
          <w:rFonts w:ascii="Times New Roman"/>
          <w:szCs w:val="21"/>
        </w:rPr>
      </w:pPr>
      <w:r>
        <w:rPr>
          <w:rFonts w:hint="eastAsia" w:ascii="Times New Roman"/>
          <w:szCs w:val="21"/>
        </w:rPr>
        <w:t xml:space="preserve">《焦化安全规程》  </w:t>
      </w:r>
      <w:r>
        <w:rPr>
          <w:rFonts w:ascii="Times New Roman"/>
          <w:szCs w:val="21"/>
        </w:rPr>
        <w:t>GB 12</w:t>
      </w:r>
      <w:r>
        <w:rPr>
          <w:rFonts w:hint="eastAsia" w:ascii="Times New Roman"/>
          <w:szCs w:val="21"/>
        </w:rPr>
        <w:t>710</w:t>
      </w:r>
    </w:p>
    <w:p>
      <w:pPr>
        <w:pStyle w:val="29"/>
        <w:spacing w:line="360" w:lineRule="auto"/>
        <w:ind w:firstLine="440"/>
        <w:textAlignment w:val="center"/>
      </w:pPr>
      <w:r>
        <w:rPr>
          <w:rFonts w:hint="eastAsia"/>
        </w:rPr>
        <w:t xml:space="preserve">《固定式钢梯及平台安全要求第1部分：钢直梯》 </w:t>
      </w:r>
      <w:r>
        <w:t xml:space="preserve"> </w:t>
      </w:r>
      <w:r>
        <w:rPr>
          <w:rFonts w:hint="eastAsia"/>
        </w:rPr>
        <w:t>GB</w:t>
      </w:r>
      <w:r>
        <w:t>4053</w:t>
      </w:r>
      <w:r>
        <w:rPr>
          <w:rFonts w:hint="eastAsia"/>
        </w:rPr>
        <w:t>.1</w:t>
      </w:r>
    </w:p>
    <w:p>
      <w:pPr>
        <w:pStyle w:val="29"/>
        <w:spacing w:line="360" w:lineRule="auto"/>
        <w:ind w:firstLine="440"/>
        <w:textAlignment w:val="center"/>
        <w:rPr>
          <w:rFonts w:ascii="Times New Roman"/>
        </w:rPr>
      </w:pPr>
      <w:r>
        <w:rPr>
          <w:rFonts w:hint="eastAsia"/>
        </w:rPr>
        <w:t xml:space="preserve">《固定式钢梯及平台安全要求第3部分：工业防护栏杆及钢平台》 </w:t>
      </w:r>
      <w:r>
        <w:t xml:space="preserve"> </w:t>
      </w:r>
      <w:r>
        <w:rPr>
          <w:rFonts w:hint="eastAsia"/>
        </w:rPr>
        <w:t>GB</w:t>
      </w:r>
      <w:r>
        <w:t>4053</w:t>
      </w:r>
      <w:r>
        <w:rPr>
          <w:rFonts w:hint="eastAsia"/>
        </w:rPr>
        <w:t>.</w:t>
      </w:r>
      <w:r>
        <w:t>3</w:t>
      </w:r>
    </w:p>
    <w:p>
      <w:pPr>
        <w:pStyle w:val="29"/>
        <w:spacing w:line="360" w:lineRule="auto"/>
        <w:ind w:firstLine="0" w:firstLineChars="0"/>
        <w:textAlignment w:val="center"/>
        <w:rPr>
          <w:rFonts w:ascii="Times New Roman"/>
        </w:rPr>
      </w:pPr>
    </w:p>
    <w:p>
      <w:pPr>
        <w:pStyle w:val="29"/>
        <w:spacing w:line="360" w:lineRule="auto"/>
        <w:ind w:firstLine="0" w:firstLineChars="0"/>
        <w:textAlignment w:val="center"/>
        <w:rPr>
          <w:rFonts w:ascii="Times New Roman"/>
        </w:rPr>
      </w:pPr>
    </w:p>
    <w:sectPr>
      <w:pgSz w:w="11906" w:h="16838"/>
      <w:pgMar w:top="1440" w:right="1134" w:bottom="1440" w:left="1418" w:header="1418" w:footer="1134" w:gutter="0"/>
      <w:cols w:space="425" w:num="1"/>
      <w:formProt w:val="0"/>
      <w:docGrid w:type="lines"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pPr>
    <w:r>
      <w:fldChar w:fldCharType="begin"/>
    </w:r>
    <w:r>
      <w:instrText xml:space="preserve">PAGE   \* MERGEFORMAT</w:instrText>
    </w:r>
    <w:r>
      <w:fldChar w:fldCharType="separate"/>
    </w:r>
    <w:r>
      <w:rPr>
        <w:lang w:val="zh-CN"/>
      </w:rPr>
      <w:t>12</w:t>
    </w:r>
    <w:r>
      <w:rPr>
        <w:lang w:val="zh-CN"/>
      </w:rPr>
      <w:fldChar w:fldCharType="end"/>
    </w:r>
  </w:p>
  <w:p>
    <w:pPr>
      <w:pStyle w:val="54"/>
      <w:jc w:val="center"/>
      <w:rPr>
        <w:sz w:val="21"/>
        <w:szCs w:val="21"/>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9102AD"/>
    <w:multiLevelType w:val="multilevel"/>
    <w:tmpl w:val="079102AD"/>
    <w:lvl w:ilvl="0" w:tentative="0">
      <w:start w:val="1"/>
      <w:numFmt w:val="decimal"/>
      <w:pStyle w:val="71"/>
      <w:suff w:val="nothing"/>
      <w:lvlText w:val="注%1："/>
      <w:lvlJc w:val="left"/>
      <w:pPr>
        <w:ind w:left="811" w:hanging="448"/>
      </w:pPr>
      <w:rPr>
        <w:rFonts w:hint="eastAsia" w:ascii="黑体" w:eastAsia="黑体" w:cs="Times New Roman"/>
        <w:b w:val="0"/>
        <w:i w:val="0"/>
        <w:sz w:val="18"/>
      </w:rPr>
    </w:lvl>
    <w:lvl w:ilvl="1" w:tentative="0">
      <w:start w:val="1"/>
      <w:numFmt w:val="lowerLetter"/>
      <w:lvlText w:val="%2)"/>
      <w:lvlJc w:val="left"/>
      <w:pPr>
        <w:tabs>
          <w:tab w:val="left" w:pos="0"/>
        </w:tabs>
        <w:ind w:left="992" w:hanging="629"/>
      </w:pPr>
      <w:rPr>
        <w:rFonts w:hint="eastAsia" w:cs="Times New Roman"/>
      </w:rPr>
    </w:lvl>
    <w:lvl w:ilvl="2" w:tentative="0">
      <w:start w:val="1"/>
      <w:numFmt w:val="lowerRoman"/>
      <w:lvlText w:val="%3."/>
      <w:lvlJc w:val="right"/>
      <w:pPr>
        <w:tabs>
          <w:tab w:val="left" w:pos="0"/>
        </w:tabs>
        <w:ind w:left="992" w:hanging="629"/>
      </w:pPr>
      <w:rPr>
        <w:rFonts w:hint="eastAsia" w:cs="Times New Roman"/>
      </w:rPr>
    </w:lvl>
    <w:lvl w:ilvl="3" w:tentative="0">
      <w:start w:val="1"/>
      <w:numFmt w:val="decimal"/>
      <w:lvlText w:val="%4."/>
      <w:lvlJc w:val="left"/>
      <w:pPr>
        <w:tabs>
          <w:tab w:val="left" w:pos="0"/>
        </w:tabs>
        <w:ind w:left="992" w:hanging="629"/>
      </w:pPr>
      <w:rPr>
        <w:rFonts w:hint="eastAsia" w:cs="Times New Roman"/>
      </w:rPr>
    </w:lvl>
    <w:lvl w:ilvl="4" w:tentative="0">
      <w:start w:val="1"/>
      <w:numFmt w:val="lowerLetter"/>
      <w:lvlText w:val="%5)"/>
      <w:lvlJc w:val="left"/>
      <w:pPr>
        <w:tabs>
          <w:tab w:val="left" w:pos="0"/>
        </w:tabs>
        <w:ind w:left="992" w:hanging="629"/>
      </w:pPr>
      <w:rPr>
        <w:rFonts w:hint="eastAsia" w:cs="Times New Roman"/>
      </w:rPr>
    </w:lvl>
    <w:lvl w:ilvl="5" w:tentative="0">
      <w:start w:val="1"/>
      <w:numFmt w:val="lowerRoman"/>
      <w:lvlText w:val="%6."/>
      <w:lvlJc w:val="right"/>
      <w:pPr>
        <w:tabs>
          <w:tab w:val="left" w:pos="0"/>
        </w:tabs>
        <w:ind w:left="992" w:hanging="629"/>
      </w:pPr>
      <w:rPr>
        <w:rFonts w:hint="eastAsia" w:cs="Times New Roman"/>
      </w:rPr>
    </w:lvl>
    <w:lvl w:ilvl="6" w:tentative="0">
      <w:start w:val="1"/>
      <w:numFmt w:val="decimal"/>
      <w:lvlText w:val="%7."/>
      <w:lvlJc w:val="left"/>
      <w:pPr>
        <w:tabs>
          <w:tab w:val="left" w:pos="0"/>
        </w:tabs>
        <w:ind w:left="992" w:hanging="629"/>
      </w:pPr>
      <w:rPr>
        <w:rFonts w:hint="eastAsia" w:cs="Times New Roman"/>
      </w:rPr>
    </w:lvl>
    <w:lvl w:ilvl="7" w:tentative="0">
      <w:start w:val="1"/>
      <w:numFmt w:val="lowerLetter"/>
      <w:lvlText w:val="%8)"/>
      <w:lvlJc w:val="left"/>
      <w:pPr>
        <w:tabs>
          <w:tab w:val="left" w:pos="0"/>
        </w:tabs>
        <w:ind w:left="992" w:hanging="629"/>
      </w:pPr>
      <w:rPr>
        <w:rFonts w:hint="eastAsia" w:cs="Times New Roman"/>
      </w:rPr>
    </w:lvl>
    <w:lvl w:ilvl="8" w:tentative="0">
      <w:start w:val="1"/>
      <w:numFmt w:val="lowerRoman"/>
      <w:lvlText w:val="%9."/>
      <w:lvlJc w:val="right"/>
      <w:pPr>
        <w:tabs>
          <w:tab w:val="left" w:pos="0"/>
        </w:tabs>
        <w:ind w:left="992" w:hanging="629"/>
      </w:pPr>
      <w:rPr>
        <w:rFonts w:hint="eastAsia" w:cs="Times New Roman"/>
      </w:rPr>
    </w:lvl>
  </w:abstractNum>
  <w:abstractNum w:abstractNumId="1">
    <w:nsid w:val="093C6778"/>
    <w:multiLevelType w:val="multilevel"/>
    <w:tmpl w:val="093C6778"/>
    <w:lvl w:ilvl="0" w:tentative="0">
      <w:start w:val="1"/>
      <w:numFmt w:val="decimal"/>
      <w:pStyle w:val="130"/>
      <w:suff w:val="nothing"/>
      <w:lvlText w:val="示例%1："/>
      <w:lvlJc w:val="left"/>
      <w:pPr>
        <w:ind w:firstLine="397"/>
      </w:pPr>
      <w:rPr>
        <w:rFonts w:hint="eastAsia" w:ascii="黑体" w:eastAsia="黑体" w:cs="Times New Roman"/>
        <w:sz w:val="18"/>
      </w:rPr>
    </w:lvl>
    <w:lvl w:ilvl="1" w:tentative="0">
      <w:start w:val="1"/>
      <w:numFmt w:val="lowerLetter"/>
      <w:lvlText w:val="%2)"/>
      <w:lvlJc w:val="left"/>
      <w:pPr>
        <w:ind w:left="840" w:hanging="420"/>
      </w:pPr>
      <w:rPr>
        <w:rFonts w:hint="eastAsia" w:cs="Times New Roman"/>
      </w:rPr>
    </w:lvl>
    <w:lvl w:ilvl="2" w:tentative="0">
      <w:start w:val="1"/>
      <w:numFmt w:val="lowerRoman"/>
      <w:lvlText w:val="%3."/>
      <w:lvlJc w:val="right"/>
      <w:pPr>
        <w:ind w:left="1260" w:hanging="420"/>
      </w:pPr>
      <w:rPr>
        <w:rFonts w:hint="eastAsia" w:cs="Times New Roman"/>
      </w:rPr>
    </w:lvl>
    <w:lvl w:ilvl="3" w:tentative="0">
      <w:start w:val="1"/>
      <w:numFmt w:val="decimal"/>
      <w:lvlText w:val="%4."/>
      <w:lvlJc w:val="left"/>
      <w:pPr>
        <w:ind w:left="1680" w:hanging="420"/>
      </w:pPr>
      <w:rPr>
        <w:rFonts w:hint="eastAsia" w:cs="Times New Roman"/>
      </w:rPr>
    </w:lvl>
    <w:lvl w:ilvl="4" w:tentative="0">
      <w:start w:val="1"/>
      <w:numFmt w:val="lowerLetter"/>
      <w:lvlText w:val="%5)"/>
      <w:lvlJc w:val="left"/>
      <w:pPr>
        <w:ind w:left="2100" w:hanging="420"/>
      </w:pPr>
      <w:rPr>
        <w:rFonts w:hint="eastAsia" w:cs="Times New Roman"/>
      </w:rPr>
    </w:lvl>
    <w:lvl w:ilvl="5" w:tentative="0">
      <w:start w:val="1"/>
      <w:numFmt w:val="lowerRoman"/>
      <w:lvlText w:val="%6."/>
      <w:lvlJc w:val="right"/>
      <w:pPr>
        <w:ind w:left="2520" w:hanging="420"/>
      </w:pPr>
      <w:rPr>
        <w:rFonts w:hint="eastAsia" w:cs="Times New Roman"/>
      </w:rPr>
    </w:lvl>
    <w:lvl w:ilvl="6" w:tentative="0">
      <w:start w:val="1"/>
      <w:numFmt w:val="decimal"/>
      <w:lvlText w:val="%7."/>
      <w:lvlJc w:val="left"/>
      <w:pPr>
        <w:ind w:left="2940" w:hanging="420"/>
      </w:pPr>
      <w:rPr>
        <w:rFonts w:hint="eastAsia" w:cs="Times New Roman"/>
      </w:rPr>
    </w:lvl>
    <w:lvl w:ilvl="7" w:tentative="0">
      <w:start w:val="1"/>
      <w:numFmt w:val="lowerLetter"/>
      <w:lvlText w:val="%8)"/>
      <w:lvlJc w:val="left"/>
      <w:pPr>
        <w:ind w:left="3360" w:hanging="420"/>
      </w:pPr>
      <w:rPr>
        <w:rFonts w:hint="eastAsia" w:cs="Times New Roman"/>
      </w:rPr>
    </w:lvl>
    <w:lvl w:ilvl="8" w:tentative="0">
      <w:start w:val="1"/>
      <w:numFmt w:val="lowerRoman"/>
      <w:lvlText w:val="%9."/>
      <w:lvlJc w:val="right"/>
      <w:pPr>
        <w:ind w:left="3780" w:hanging="420"/>
      </w:pPr>
      <w:rPr>
        <w:rFonts w:hint="eastAsia" w:cs="Times New Roman"/>
      </w:rPr>
    </w:lvl>
  </w:abstractNum>
  <w:abstractNum w:abstractNumId="2">
    <w:nsid w:val="0AE367E9"/>
    <w:multiLevelType w:val="multilevel"/>
    <w:tmpl w:val="0AE367E9"/>
    <w:lvl w:ilvl="0" w:tentative="0">
      <w:start w:val="1"/>
      <w:numFmt w:val="none"/>
      <w:pStyle w:val="63"/>
      <w:suff w:val="nothing"/>
      <w:lvlText w:val="%1示例："/>
      <w:lvlJc w:val="left"/>
      <w:pPr>
        <w:ind w:firstLine="363"/>
      </w:pPr>
      <w:rPr>
        <w:rFonts w:hint="eastAsia" w:ascii="黑体" w:eastAsia="黑体" w:cs="Times New Roman"/>
        <w:b w:val="0"/>
        <w:i w:val="0"/>
        <w:sz w:val="18"/>
        <w:szCs w:val="18"/>
      </w:rPr>
    </w:lvl>
    <w:lvl w:ilvl="1" w:tentative="0">
      <w:start w:val="1"/>
      <w:numFmt w:val="lowerLetter"/>
      <w:lvlText w:val="%2)"/>
      <w:lvlJc w:val="left"/>
      <w:pPr>
        <w:tabs>
          <w:tab w:val="left" w:pos="363"/>
        </w:tabs>
        <w:ind w:firstLine="363"/>
      </w:pPr>
      <w:rPr>
        <w:rFonts w:hint="eastAsia" w:cs="Times New Roman"/>
      </w:rPr>
    </w:lvl>
    <w:lvl w:ilvl="2" w:tentative="0">
      <w:start w:val="1"/>
      <w:numFmt w:val="lowerRoman"/>
      <w:lvlText w:val="%3."/>
      <w:lvlJc w:val="right"/>
      <w:pPr>
        <w:tabs>
          <w:tab w:val="left" w:pos="363"/>
        </w:tabs>
        <w:ind w:firstLine="363"/>
      </w:pPr>
      <w:rPr>
        <w:rFonts w:hint="eastAsia" w:cs="Times New Roman"/>
      </w:rPr>
    </w:lvl>
    <w:lvl w:ilvl="3" w:tentative="0">
      <w:start w:val="1"/>
      <w:numFmt w:val="decimal"/>
      <w:lvlText w:val="%4."/>
      <w:lvlJc w:val="left"/>
      <w:pPr>
        <w:tabs>
          <w:tab w:val="left" w:pos="363"/>
        </w:tabs>
        <w:ind w:firstLine="363"/>
      </w:pPr>
      <w:rPr>
        <w:rFonts w:hint="eastAsia" w:cs="Times New Roman"/>
      </w:rPr>
    </w:lvl>
    <w:lvl w:ilvl="4" w:tentative="0">
      <w:start w:val="1"/>
      <w:numFmt w:val="lowerLetter"/>
      <w:lvlText w:val="%5)"/>
      <w:lvlJc w:val="left"/>
      <w:pPr>
        <w:tabs>
          <w:tab w:val="left" w:pos="363"/>
        </w:tabs>
        <w:ind w:firstLine="363"/>
      </w:pPr>
      <w:rPr>
        <w:rFonts w:hint="eastAsia" w:cs="Times New Roman"/>
      </w:rPr>
    </w:lvl>
    <w:lvl w:ilvl="5" w:tentative="0">
      <w:start w:val="1"/>
      <w:numFmt w:val="lowerRoman"/>
      <w:lvlText w:val="%6."/>
      <w:lvlJc w:val="right"/>
      <w:pPr>
        <w:tabs>
          <w:tab w:val="left" w:pos="363"/>
        </w:tabs>
        <w:ind w:firstLine="363"/>
      </w:pPr>
      <w:rPr>
        <w:rFonts w:hint="eastAsia" w:cs="Times New Roman"/>
      </w:rPr>
    </w:lvl>
    <w:lvl w:ilvl="6" w:tentative="0">
      <w:start w:val="1"/>
      <w:numFmt w:val="decimal"/>
      <w:lvlText w:val="%7."/>
      <w:lvlJc w:val="left"/>
      <w:pPr>
        <w:tabs>
          <w:tab w:val="left" w:pos="363"/>
        </w:tabs>
        <w:ind w:firstLine="363"/>
      </w:pPr>
      <w:rPr>
        <w:rFonts w:hint="eastAsia" w:cs="Times New Roman"/>
      </w:rPr>
    </w:lvl>
    <w:lvl w:ilvl="7" w:tentative="0">
      <w:start w:val="1"/>
      <w:numFmt w:val="lowerLetter"/>
      <w:lvlText w:val="%8)"/>
      <w:lvlJc w:val="left"/>
      <w:pPr>
        <w:tabs>
          <w:tab w:val="left" w:pos="363"/>
        </w:tabs>
        <w:ind w:firstLine="363"/>
      </w:pPr>
      <w:rPr>
        <w:rFonts w:hint="eastAsia" w:cs="Times New Roman"/>
      </w:rPr>
    </w:lvl>
    <w:lvl w:ilvl="8" w:tentative="0">
      <w:start w:val="1"/>
      <w:numFmt w:val="lowerRoman"/>
      <w:lvlText w:val="%9."/>
      <w:lvlJc w:val="right"/>
      <w:pPr>
        <w:tabs>
          <w:tab w:val="left" w:pos="363"/>
        </w:tabs>
        <w:ind w:firstLine="363"/>
      </w:pPr>
      <w:rPr>
        <w:rFonts w:hint="eastAsia" w:cs="Times New Roman"/>
      </w:rPr>
    </w:lvl>
  </w:abstractNum>
  <w:abstractNum w:abstractNumId="3">
    <w:nsid w:val="0DDE2B46"/>
    <w:multiLevelType w:val="multilevel"/>
    <w:tmpl w:val="0DDE2B46"/>
    <w:lvl w:ilvl="0" w:tentative="0">
      <w:start w:val="1"/>
      <w:numFmt w:val="lowerLetter"/>
      <w:pStyle w:val="135"/>
      <w:suff w:val="nothing"/>
      <w:lvlText w:val="%1   "/>
      <w:lvlJc w:val="left"/>
      <w:pPr>
        <w:ind w:left="544" w:hanging="181"/>
      </w:pPr>
      <w:rPr>
        <w:rFonts w:hint="eastAsia" w:ascii="宋体" w:eastAsia="宋体" w:cs="Times New Roman"/>
        <w:b w:val="0"/>
        <w:i w:val="0"/>
        <w:sz w:val="18"/>
        <w:vertAlign w:val="superscript"/>
      </w:rPr>
    </w:lvl>
    <w:lvl w:ilvl="1" w:tentative="0">
      <w:start w:val="1"/>
      <w:numFmt w:val="lowerLetter"/>
      <w:lvlText w:val="%2"/>
      <w:lvlJc w:val="left"/>
      <w:pPr>
        <w:tabs>
          <w:tab w:val="left" w:pos="57"/>
        </w:tabs>
        <w:ind w:left="363" w:hanging="363"/>
      </w:pPr>
      <w:rPr>
        <w:rFonts w:hint="eastAsia" w:cs="Times New Roman"/>
      </w:rPr>
    </w:lvl>
    <w:lvl w:ilvl="2" w:tentative="0">
      <w:start w:val="1"/>
      <w:numFmt w:val="lowerRoman"/>
      <w:lvlText w:val="%3."/>
      <w:lvlJc w:val="right"/>
      <w:pPr>
        <w:tabs>
          <w:tab w:val="left" w:pos="57"/>
        </w:tabs>
        <w:ind w:left="363" w:hanging="363"/>
      </w:pPr>
      <w:rPr>
        <w:rFonts w:hint="eastAsia" w:cs="Times New Roman"/>
      </w:rPr>
    </w:lvl>
    <w:lvl w:ilvl="3" w:tentative="0">
      <w:start w:val="1"/>
      <w:numFmt w:val="decimal"/>
      <w:lvlText w:val="%4."/>
      <w:lvlJc w:val="left"/>
      <w:pPr>
        <w:tabs>
          <w:tab w:val="left" w:pos="57"/>
        </w:tabs>
        <w:ind w:left="363" w:hanging="363"/>
      </w:pPr>
      <w:rPr>
        <w:rFonts w:hint="eastAsia" w:cs="Times New Roman"/>
      </w:rPr>
    </w:lvl>
    <w:lvl w:ilvl="4" w:tentative="0">
      <w:start w:val="1"/>
      <w:numFmt w:val="lowerLetter"/>
      <w:lvlText w:val="%5)"/>
      <w:lvlJc w:val="left"/>
      <w:pPr>
        <w:tabs>
          <w:tab w:val="left" w:pos="57"/>
        </w:tabs>
        <w:ind w:left="363" w:hanging="363"/>
      </w:pPr>
      <w:rPr>
        <w:rFonts w:hint="eastAsia" w:cs="Times New Roman"/>
      </w:rPr>
    </w:lvl>
    <w:lvl w:ilvl="5" w:tentative="0">
      <w:start w:val="1"/>
      <w:numFmt w:val="lowerRoman"/>
      <w:lvlText w:val="%6."/>
      <w:lvlJc w:val="right"/>
      <w:pPr>
        <w:tabs>
          <w:tab w:val="left" w:pos="57"/>
        </w:tabs>
        <w:ind w:left="363" w:hanging="363"/>
      </w:pPr>
      <w:rPr>
        <w:rFonts w:hint="eastAsia" w:cs="Times New Roman"/>
      </w:rPr>
    </w:lvl>
    <w:lvl w:ilvl="6" w:tentative="0">
      <w:start w:val="1"/>
      <w:numFmt w:val="decimal"/>
      <w:lvlText w:val="%7."/>
      <w:lvlJc w:val="left"/>
      <w:pPr>
        <w:tabs>
          <w:tab w:val="left" w:pos="57"/>
        </w:tabs>
        <w:ind w:left="363" w:hanging="363"/>
      </w:pPr>
      <w:rPr>
        <w:rFonts w:hint="eastAsia" w:cs="Times New Roman"/>
      </w:rPr>
    </w:lvl>
    <w:lvl w:ilvl="7" w:tentative="0">
      <w:start w:val="1"/>
      <w:numFmt w:val="lowerLetter"/>
      <w:lvlText w:val="%8)"/>
      <w:lvlJc w:val="left"/>
      <w:pPr>
        <w:tabs>
          <w:tab w:val="left" w:pos="57"/>
        </w:tabs>
        <w:ind w:left="363" w:hanging="363"/>
      </w:pPr>
      <w:rPr>
        <w:rFonts w:hint="eastAsia" w:cs="Times New Roman"/>
      </w:rPr>
    </w:lvl>
    <w:lvl w:ilvl="8" w:tentative="0">
      <w:start w:val="1"/>
      <w:numFmt w:val="lowerRoman"/>
      <w:lvlText w:val="%9."/>
      <w:lvlJc w:val="right"/>
      <w:pPr>
        <w:tabs>
          <w:tab w:val="left" w:pos="57"/>
        </w:tabs>
        <w:ind w:left="363" w:hanging="363"/>
      </w:pPr>
      <w:rPr>
        <w:rFonts w:hint="eastAsia" w:cs="Times New Roman"/>
      </w:rPr>
    </w:lvl>
  </w:abstractNum>
  <w:abstractNum w:abstractNumId="4">
    <w:nsid w:val="1DBF583A"/>
    <w:multiLevelType w:val="multilevel"/>
    <w:tmpl w:val="1DBF583A"/>
    <w:lvl w:ilvl="0" w:tentative="0">
      <w:start w:val="1"/>
      <w:numFmt w:val="decimal"/>
      <w:pStyle w:val="78"/>
      <w:suff w:val="nothing"/>
      <w:lvlText w:val="注%1："/>
      <w:lvlJc w:val="left"/>
      <w:pPr>
        <w:ind w:left="811" w:hanging="448"/>
      </w:pPr>
      <w:rPr>
        <w:rFonts w:hint="eastAsia" w:ascii="黑体" w:eastAsia="黑体" w:cs="Times New Roman"/>
        <w:b w:val="0"/>
        <w:i w:val="0"/>
        <w:sz w:val="18"/>
        <w:szCs w:val="18"/>
        <w:vertAlign w:val="baseline"/>
      </w:rPr>
    </w:lvl>
    <w:lvl w:ilvl="1" w:tentative="0">
      <w:start w:val="1"/>
      <w:numFmt w:val="lowerLetter"/>
      <w:lvlText w:val="%2)"/>
      <w:lvlJc w:val="left"/>
      <w:pPr>
        <w:tabs>
          <w:tab w:val="left" w:pos="180"/>
        </w:tabs>
        <w:ind w:left="1172" w:hanging="629"/>
      </w:pPr>
      <w:rPr>
        <w:rFonts w:hint="eastAsia" w:cs="Times New Roman"/>
        <w:vertAlign w:val="baseline"/>
      </w:rPr>
    </w:lvl>
    <w:lvl w:ilvl="2" w:tentative="0">
      <w:start w:val="1"/>
      <w:numFmt w:val="lowerRoman"/>
      <w:lvlText w:val="%3."/>
      <w:lvlJc w:val="right"/>
      <w:pPr>
        <w:tabs>
          <w:tab w:val="left" w:pos="180"/>
        </w:tabs>
        <w:ind w:left="1172" w:hanging="629"/>
      </w:pPr>
      <w:rPr>
        <w:rFonts w:hint="eastAsia" w:cs="Times New Roman"/>
        <w:vertAlign w:val="baseline"/>
      </w:rPr>
    </w:lvl>
    <w:lvl w:ilvl="3" w:tentative="0">
      <w:start w:val="1"/>
      <w:numFmt w:val="decimal"/>
      <w:lvlText w:val="%4."/>
      <w:lvlJc w:val="left"/>
      <w:pPr>
        <w:tabs>
          <w:tab w:val="left" w:pos="180"/>
        </w:tabs>
        <w:ind w:left="1172" w:hanging="629"/>
      </w:pPr>
      <w:rPr>
        <w:rFonts w:hint="eastAsia" w:cs="Times New Roman"/>
        <w:vertAlign w:val="baseline"/>
      </w:rPr>
    </w:lvl>
    <w:lvl w:ilvl="4" w:tentative="0">
      <w:start w:val="1"/>
      <w:numFmt w:val="lowerLetter"/>
      <w:lvlText w:val="%5)"/>
      <w:lvlJc w:val="left"/>
      <w:pPr>
        <w:tabs>
          <w:tab w:val="left" w:pos="180"/>
        </w:tabs>
        <w:ind w:left="1172" w:hanging="629"/>
      </w:pPr>
      <w:rPr>
        <w:rFonts w:hint="eastAsia" w:cs="Times New Roman"/>
        <w:vertAlign w:val="baseline"/>
      </w:rPr>
    </w:lvl>
    <w:lvl w:ilvl="5" w:tentative="0">
      <w:start w:val="1"/>
      <w:numFmt w:val="lowerRoman"/>
      <w:lvlText w:val="%6."/>
      <w:lvlJc w:val="right"/>
      <w:pPr>
        <w:tabs>
          <w:tab w:val="left" w:pos="180"/>
        </w:tabs>
        <w:ind w:left="1172" w:hanging="629"/>
      </w:pPr>
      <w:rPr>
        <w:rFonts w:hint="eastAsia" w:cs="Times New Roman"/>
        <w:vertAlign w:val="baseline"/>
      </w:rPr>
    </w:lvl>
    <w:lvl w:ilvl="6" w:tentative="0">
      <w:start w:val="1"/>
      <w:numFmt w:val="decimal"/>
      <w:lvlText w:val="%7."/>
      <w:lvlJc w:val="left"/>
      <w:pPr>
        <w:tabs>
          <w:tab w:val="left" w:pos="180"/>
        </w:tabs>
        <w:ind w:left="1172" w:hanging="629"/>
      </w:pPr>
      <w:rPr>
        <w:rFonts w:hint="eastAsia" w:cs="Times New Roman"/>
        <w:vertAlign w:val="baseline"/>
      </w:rPr>
    </w:lvl>
    <w:lvl w:ilvl="7" w:tentative="0">
      <w:start w:val="1"/>
      <w:numFmt w:val="lowerLetter"/>
      <w:lvlText w:val="%8)"/>
      <w:lvlJc w:val="left"/>
      <w:pPr>
        <w:tabs>
          <w:tab w:val="left" w:pos="180"/>
        </w:tabs>
        <w:ind w:left="1172" w:hanging="629"/>
      </w:pPr>
      <w:rPr>
        <w:rFonts w:hint="eastAsia" w:cs="Times New Roman"/>
        <w:vertAlign w:val="baseline"/>
      </w:rPr>
    </w:lvl>
    <w:lvl w:ilvl="8" w:tentative="0">
      <w:start w:val="1"/>
      <w:numFmt w:val="lowerRoman"/>
      <w:lvlText w:val="%9."/>
      <w:lvlJc w:val="right"/>
      <w:pPr>
        <w:tabs>
          <w:tab w:val="left" w:pos="180"/>
        </w:tabs>
        <w:ind w:left="1172" w:hanging="629"/>
      </w:pPr>
      <w:rPr>
        <w:rFonts w:hint="eastAsia" w:cs="Times New Roman"/>
        <w:vertAlign w:val="baseline"/>
      </w:rPr>
    </w:lvl>
  </w:abstractNum>
  <w:abstractNum w:abstractNumId="5">
    <w:nsid w:val="1FC91163"/>
    <w:multiLevelType w:val="multilevel"/>
    <w:tmpl w:val="1FC91163"/>
    <w:lvl w:ilvl="0" w:tentative="0">
      <w:start w:val="1"/>
      <w:numFmt w:val="decimal"/>
      <w:pStyle w:val="56"/>
      <w:suff w:val="nothing"/>
      <w:lvlText w:val="%1　"/>
      <w:lvlJc w:val="left"/>
      <w:rPr>
        <w:rFonts w:hint="eastAsia" w:ascii="黑体" w:hAnsi="Times New Roman" w:eastAsia="黑体" w:cs="Times New Roman"/>
        <w:b w:val="0"/>
        <w:i w:val="0"/>
        <w:sz w:val="21"/>
        <w:szCs w:val="21"/>
      </w:rPr>
    </w:lvl>
    <w:lvl w:ilvl="1" w:tentative="0">
      <w:start w:val="1"/>
      <w:numFmt w:val="decimal"/>
      <w:pStyle w:val="53"/>
      <w:suff w:val="nothing"/>
      <w:lvlText w:val="%1.%2　"/>
      <w:lvlJc w:val="left"/>
      <w:rPr>
        <w:rFonts w:hint="eastAsia" w:ascii="黑体" w:hAnsi="Times New Roman" w:eastAsia="黑体" w:cs="Times New Roman"/>
        <w:b w:val="0"/>
        <w:bCs w:val="0"/>
        <w:i w:val="0"/>
        <w:iCs w:val="0"/>
        <w:caps w:val="0"/>
        <w:strike w:val="0"/>
        <w:dstrike w:val="0"/>
        <w:vanish w:val="0"/>
        <w:color w:val="auto"/>
        <w:spacing w:val="0"/>
        <w:kern w:val="0"/>
        <w:position w:val="0"/>
        <w:sz w:val="21"/>
        <w:szCs w:val="21"/>
        <w:u w:val="none"/>
        <w:vertAlign w:val="baseline"/>
      </w:rPr>
    </w:lvl>
    <w:lvl w:ilvl="2" w:tentative="0">
      <w:start w:val="1"/>
      <w:numFmt w:val="decimal"/>
      <w:pStyle w:val="57"/>
      <w:suff w:val="nothing"/>
      <w:lvlText w:val="%1.%2.%3　"/>
      <w:lvlJc w:val="left"/>
      <w:pPr>
        <w:ind w:left="1276"/>
      </w:pPr>
      <w:rPr>
        <w:rFonts w:hint="eastAsia" w:ascii="黑体" w:hAnsi="Times New Roman" w:eastAsia="黑体" w:cs="Times New Roman"/>
        <w:b w:val="0"/>
        <w:i w:val="0"/>
        <w:sz w:val="21"/>
      </w:rPr>
    </w:lvl>
    <w:lvl w:ilvl="3" w:tentative="0">
      <w:start w:val="1"/>
      <w:numFmt w:val="lowerLetter"/>
      <w:pStyle w:val="62"/>
      <w:lvlText w:val="%4）"/>
      <w:lvlJc w:val="left"/>
      <w:pPr>
        <w:ind w:left="1418"/>
      </w:pPr>
      <w:rPr>
        <w:rFonts w:hint="eastAsia" w:cs="Times New Roman"/>
        <w:b w:val="0"/>
        <w:i w:val="0"/>
        <w:sz w:val="21"/>
      </w:rPr>
    </w:lvl>
    <w:lvl w:ilvl="4" w:tentative="0">
      <w:start w:val="1"/>
      <w:numFmt w:val="decimal"/>
      <w:pStyle w:val="66"/>
      <w:suff w:val="nothing"/>
      <w:lvlText w:val="%1.%2.%3.%4.%5　"/>
      <w:lvlJc w:val="left"/>
      <w:rPr>
        <w:rFonts w:hint="eastAsia" w:ascii="黑体" w:hAnsi="Times New Roman" w:eastAsia="黑体" w:cs="Times New Roman"/>
        <w:b w:val="0"/>
        <w:i w:val="0"/>
        <w:sz w:val="21"/>
      </w:rPr>
    </w:lvl>
    <w:lvl w:ilvl="5" w:tentative="0">
      <w:start w:val="1"/>
      <w:numFmt w:val="decimal"/>
      <w:pStyle w:val="67"/>
      <w:suff w:val="nothing"/>
      <w:lvlText w:val="%1.%2.%3.%4.%5.%6　"/>
      <w:lvlJc w:val="left"/>
      <w:rPr>
        <w:rFonts w:hint="eastAsia" w:ascii="黑体" w:hAnsi="Times New Roman" w:eastAsia="黑体" w:cs="Times New Roman"/>
        <w:b w:val="0"/>
        <w:i w:val="0"/>
        <w:sz w:val="21"/>
      </w:rPr>
    </w:lvl>
    <w:lvl w:ilvl="6" w:tentative="0">
      <w:start w:val="1"/>
      <w:numFmt w:val="decimal"/>
      <w:suff w:val="nothing"/>
      <w:lvlText w:val="%1%2.%3.%4.%5.%6.%7　"/>
      <w:lvlJc w:val="left"/>
      <w:rPr>
        <w:rFonts w:hint="eastAsia" w:ascii="黑体" w:hAnsi="Times New Roman" w:eastAsia="黑体" w:cs="Times New Roman"/>
        <w:b w:val="0"/>
        <w:i w:val="0"/>
        <w:sz w:val="21"/>
      </w:rPr>
    </w:lvl>
    <w:lvl w:ilvl="7" w:tentative="0">
      <w:start w:val="1"/>
      <w:numFmt w:val="decimal"/>
      <w:lvlText w:val="%1.%2.%3.%4.%5.%6.%7.%8"/>
      <w:lvlJc w:val="left"/>
      <w:pPr>
        <w:tabs>
          <w:tab w:val="left" w:pos="4351"/>
        </w:tabs>
        <w:ind w:left="3969" w:hanging="1418"/>
      </w:pPr>
      <w:rPr>
        <w:rFonts w:hint="eastAsia" w:cs="Times New Roman"/>
      </w:rPr>
    </w:lvl>
    <w:lvl w:ilvl="8" w:tentative="0">
      <w:start w:val="1"/>
      <w:numFmt w:val="decimal"/>
      <w:lvlText w:val="%1.%2.%3.%4.%5.%6.%7.%8.%9"/>
      <w:lvlJc w:val="left"/>
      <w:pPr>
        <w:tabs>
          <w:tab w:val="left" w:pos="4777"/>
        </w:tabs>
        <w:ind w:left="4677" w:hanging="1700"/>
      </w:pPr>
      <w:rPr>
        <w:rFonts w:hint="eastAsia" w:cs="Times New Roman"/>
      </w:rPr>
    </w:lvl>
  </w:abstractNum>
  <w:abstractNum w:abstractNumId="6">
    <w:nsid w:val="2A8F7113"/>
    <w:multiLevelType w:val="multilevel"/>
    <w:tmpl w:val="2A8F7113"/>
    <w:lvl w:ilvl="0" w:tentative="0">
      <w:start w:val="1"/>
      <w:numFmt w:val="upperLetter"/>
      <w:pStyle w:val="111"/>
      <w:suff w:val="space"/>
      <w:lvlText w:val="%1"/>
      <w:lvlJc w:val="left"/>
      <w:pPr>
        <w:ind w:left="623" w:hanging="425"/>
      </w:pPr>
      <w:rPr>
        <w:rFonts w:hint="eastAsia" w:cs="Times New Roman"/>
      </w:rPr>
    </w:lvl>
    <w:lvl w:ilvl="1" w:tentative="0">
      <w:start w:val="1"/>
      <w:numFmt w:val="decimal"/>
      <w:pStyle w:val="112"/>
      <w:suff w:val="nothing"/>
      <w:lvlText w:val="图%1.%2　"/>
      <w:lvlJc w:val="left"/>
      <w:pPr>
        <w:ind w:left="1190" w:hanging="567"/>
      </w:pPr>
      <w:rPr>
        <w:rFonts w:hint="eastAsia" w:cs="Times New Roman"/>
      </w:rPr>
    </w:lvl>
    <w:lvl w:ilvl="2" w:tentative="0">
      <w:start w:val="1"/>
      <w:numFmt w:val="decimal"/>
      <w:lvlText w:val="%1.%2.%3"/>
      <w:lvlJc w:val="left"/>
      <w:pPr>
        <w:tabs>
          <w:tab w:val="left" w:pos="1616"/>
        </w:tabs>
        <w:ind w:left="1616" w:hanging="567"/>
      </w:pPr>
      <w:rPr>
        <w:rFonts w:hint="eastAsia" w:cs="Times New Roman"/>
      </w:rPr>
    </w:lvl>
    <w:lvl w:ilvl="3" w:tentative="0">
      <w:start w:val="1"/>
      <w:numFmt w:val="decimal"/>
      <w:lvlText w:val="%1.%2.%3.%4"/>
      <w:lvlJc w:val="left"/>
      <w:pPr>
        <w:tabs>
          <w:tab w:val="left" w:pos="2914"/>
        </w:tabs>
        <w:ind w:left="2182" w:hanging="708"/>
      </w:pPr>
      <w:rPr>
        <w:rFonts w:hint="eastAsia" w:cs="Times New Roman"/>
      </w:rPr>
    </w:lvl>
    <w:lvl w:ilvl="4" w:tentative="0">
      <w:start w:val="1"/>
      <w:numFmt w:val="decimal"/>
      <w:lvlText w:val="%1.%2.%3.%4.%5"/>
      <w:lvlJc w:val="left"/>
      <w:pPr>
        <w:tabs>
          <w:tab w:val="left" w:pos="3699"/>
        </w:tabs>
        <w:ind w:left="2749" w:hanging="850"/>
      </w:pPr>
      <w:rPr>
        <w:rFonts w:hint="eastAsia" w:cs="Times New Roman"/>
      </w:rPr>
    </w:lvl>
    <w:lvl w:ilvl="5" w:tentative="0">
      <w:start w:val="1"/>
      <w:numFmt w:val="decimal"/>
      <w:lvlText w:val="%1.%2.%3.%4.%5.%6"/>
      <w:lvlJc w:val="left"/>
      <w:pPr>
        <w:tabs>
          <w:tab w:val="left" w:pos="4484"/>
        </w:tabs>
        <w:ind w:left="3458" w:hanging="1134"/>
      </w:pPr>
      <w:rPr>
        <w:rFonts w:hint="eastAsia" w:cs="Times New Roman"/>
      </w:rPr>
    </w:lvl>
    <w:lvl w:ilvl="6" w:tentative="0">
      <w:start w:val="1"/>
      <w:numFmt w:val="decimal"/>
      <w:lvlText w:val="%1.%2.%3.%4.%5.%6.%7"/>
      <w:lvlJc w:val="left"/>
      <w:pPr>
        <w:tabs>
          <w:tab w:val="left" w:pos="5269"/>
        </w:tabs>
        <w:ind w:left="4025" w:hanging="1276"/>
      </w:pPr>
      <w:rPr>
        <w:rFonts w:hint="eastAsia" w:cs="Times New Roman"/>
      </w:rPr>
    </w:lvl>
    <w:lvl w:ilvl="7" w:tentative="0">
      <w:start w:val="1"/>
      <w:numFmt w:val="decimal"/>
      <w:lvlText w:val="%1.%2.%3.%4.%5.%6.%7.%8"/>
      <w:lvlJc w:val="left"/>
      <w:pPr>
        <w:tabs>
          <w:tab w:val="left" w:pos="6054"/>
        </w:tabs>
        <w:ind w:left="4592" w:hanging="1418"/>
      </w:pPr>
      <w:rPr>
        <w:rFonts w:hint="eastAsia" w:cs="Times New Roman"/>
      </w:rPr>
    </w:lvl>
    <w:lvl w:ilvl="8" w:tentative="0">
      <w:start w:val="1"/>
      <w:numFmt w:val="decimal"/>
      <w:lvlText w:val="%1.%2.%3.%4.%5.%6.%7.%8.%9"/>
      <w:lvlJc w:val="left"/>
      <w:pPr>
        <w:tabs>
          <w:tab w:val="left" w:pos="6840"/>
        </w:tabs>
        <w:ind w:left="5300" w:hanging="1700"/>
      </w:pPr>
      <w:rPr>
        <w:rFonts w:hint="eastAsia" w:cs="Times New Roman"/>
      </w:rPr>
    </w:lvl>
  </w:abstractNum>
  <w:abstractNum w:abstractNumId="7">
    <w:nsid w:val="2C5917C3"/>
    <w:multiLevelType w:val="multilevel"/>
    <w:tmpl w:val="2C5917C3"/>
    <w:lvl w:ilvl="0" w:tentative="0">
      <w:start w:val="1"/>
      <w:numFmt w:val="none"/>
      <w:pStyle w:val="59"/>
      <w:suff w:val="nothing"/>
      <w:lvlText w:val="%1——"/>
      <w:lvlJc w:val="left"/>
      <w:pPr>
        <w:ind w:left="833" w:hanging="408"/>
      </w:pPr>
      <w:rPr>
        <w:rFonts w:hint="eastAsia" w:cs="Times New Roman"/>
      </w:rPr>
    </w:lvl>
    <w:lvl w:ilvl="1" w:tentative="0">
      <w:start w:val="1"/>
      <w:numFmt w:val="bullet"/>
      <w:pStyle w:val="60"/>
      <w:lvlText w:val=""/>
      <w:lvlJc w:val="left"/>
      <w:pPr>
        <w:tabs>
          <w:tab w:val="left" w:pos="760"/>
        </w:tabs>
        <w:ind w:left="1264" w:hanging="413"/>
      </w:pPr>
      <w:rPr>
        <w:rFonts w:hint="default" w:ascii="Symbol" w:hAnsi="Symbol"/>
        <w:color w:val="auto"/>
      </w:rPr>
    </w:lvl>
    <w:lvl w:ilvl="2" w:tentative="0">
      <w:start w:val="1"/>
      <w:numFmt w:val="bullet"/>
      <w:pStyle w:val="73"/>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cs="Times New Roman"/>
      </w:rPr>
    </w:lvl>
    <w:lvl w:ilvl="4" w:tentative="0">
      <w:start w:val="1"/>
      <w:numFmt w:val="lowerLetter"/>
      <w:lvlText w:val="%5)"/>
      <w:lvlJc w:val="left"/>
      <w:pPr>
        <w:tabs>
          <w:tab w:val="left" w:pos="2383"/>
        </w:tabs>
        <w:ind w:left="2196" w:hanging="528"/>
      </w:pPr>
      <w:rPr>
        <w:rFonts w:hint="eastAsia" w:cs="Times New Roman"/>
      </w:rPr>
    </w:lvl>
    <w:lvl w:ilvl="5" w:tentative="0">
      <w:start w:val="1"/>
      <w:numFmt w:val="lowerRoman"/>
      <w:lvlText w:val="%6."/>
      <w:lvlJc w:val="right"/>
      <w:pPr>
        <w:tabs>
          <w:tab w:val="left" w:pos="2695"/>
        </w:tabs>
        <w:ind w:left="2508" w:hanging="528"/>
      </w:pPr>
      <w:rPr>
        <w:rFonts w:hint="eastAsia" w:cs="Times New Roman"/>
      </w:rPr>
    </w:lvl>
    <w:lvl w:ilvl="6" w:tentative="0">
      <w:start w:val="1"/>
      <w:numFmt w:val="decimal"/>
      <w:lvlText w:val="%7."/>
      <w:lvlJc w:val="left"/>
      <w:pPr>
        <w:tabs>
          <w:tab w:val="left" w:pos="3007"/>
        </w:tabs>
        <w:ind w:left="2820" w:hanging="528"/>
      </w:pPr>
      <w:rPr>
        <w:rFonts w:hint="eastAsia" w:cs="Times New Roman"/>
      </w:rPr>
    </w:lvl>
    <w:lvl w:ilvl="7" w:tentative="0">
      <w:start w:val="1"/>
      <w:numFmt w:val="lowerLetter"/>
      <w:lvlText w:val="%8)"/>
      <w:lvlJc w:val="left"/>
      <w:pPr>
        <w:tabs>
          <w:tab w:val="left" w:pos="3319"/>
        </w:tabs>
        <w:ind w:left="3132" w:hanging="528"/>
      </w:pPr>
      <w:rPr>
        <w:rFonts w:hint="eastAsia" w:cs="Times New Roman"/>
      </w:rPr>
    </w:lvl>
    <w:lvl w:ilvl="8" w:tentative="0">
      <w:start w:val="1"/>
      <w:numFmt w:val="lowerRoman"/>
      <w:lvlText w:val="%9."/>
      <w:lvlJc w:val="right"/>
      <w:pPr>
        <w:tabs>
          <w:tab w:val="left" w:pos="3631"/>
        </w:tabs>
        <w:ind w:left="3444" w:hanging="528"/>
      </w:pPr>
      <w:rPr>
        <w:rFonts w:hint="eastAsia" w:cs="Times New Roman"/>
      </w:rPr>
    </w:lvl>
  </w:abstractNum>
  <w:abstractNum w:abstractNumId="8">
    <w:nsid w:val="3D733618"/>
    <w:multiLevelType w:val="multilevel"/>
    <w:tmpl w:val="3D733618"/>
    <w:lvl w:ilvl="0" w:tentative="0">
      <w:start w:val="1"/>
      <w:numFmt w:val="decimal"/>
      <w:pStyle w:val="30"/>
      <w:lvlText w:val="%1)"/>
      <w:lvlJc w:val="left"/>
      <w:pPr>
        <w:tabs>
          <w:tab w:val="left" w:pos="0"/>
        </w:tabs>
        <w:ind w:left="720" w:hanging="357"/>
      </w:pPr>
      <w:rPr>
        <w:rFonts w:hint="eastAsia" w:cs="Times New Roman"/>
      </w:rPr>
    </w:lvl>
    <w:lvl w:ilvl="1" w:tentative="0">
      <w:start w:val="1"/>
      <w:numFmt w:val="lowerLetter"/>
      <w:lvlText w:val="%2)"/>
      <w:lvlJc w:val="left"/>
      <w:pPr>
        <w:tabs>
          <w:tab w:val="left" w:pos="504"/>
        </w:tabs>
        <w:ind w:left="544" w:hanging="544"/>
      </w:pPr>
      <w:rPr>
        <w:rFonts w:hint="eastAsia" w:cs="Times New Roman"/>
      </w:rPr>
    </w:lvl>
    <w:lvl w:ilvl="2" w:tentative="0">
      <w:start w:val="1"/>
      <w:numFmt w:val="lowerRoman"/>
      <w:lvlText w:val="%3."/>
      <w:lvlJc w:val="right"/>
      <w:pPr>
        <w:tabs>
          <w:tab w:val="left" w:pos="532"/>
        </w:tabs>
        <w:ind w:left="544" w:hanging="544"/>
      </w:pPr>
      <w:rPr>
        <w:rFonts w:hint="eastAsia" w:cs="Times New Roman"/>
      </w:rPr>
    </w:lvl>
    <w:lvl w:ilvl="3" w:tentative="0">
      <w:start w:val="1"/>
      <w:numFmt w:val="decimal"/>
      <w:lvlText w:val="%4."/>
      <w:lvlJc w:val="left"/>
      <w:pPr>
        <w:tabs>
          <w:tab w:val="left" w:pos="560"/>
        </w:tabs>
        <w:ind w:left="544" w:hanging="544"/>
      </w:pPr>
      <w:rPr>
        <w:rFonts w:hint="eastAsia" w:cs="Times New Roman"/>
      </w:rPr>
    </w:lvl>
    <w:lvl w:ilvl="4" w:tentative="0">
      <w:start w:val="1"/>
      <w:numFmt w:val="lowerLetter"/>
      <w:lvlText w:val="%5)"/>
      <w:lvlJc w:val="left"/>
      <w:pPr>
        <w:tabs>
          <w:tab w:val="left" w:pos="588"/>
        </w:tabs>
        <w:ind w:left="544" w:hanging="544"/>
      </w:pPr>
      <w:rPr>
        <w:rFonts w:hint="eastAsia" w:cs="Times New Roman"/>
      </w:rPr>
    </w:lvl>
    <w:lvl w:ilvl="5" w:tentative="0">
      <w:start w:val="1"/>
      <w:numFmt w:val="lowerRoman"/>
      <w:lvlText w:val="%6."/>
      <w:lvlJc w:val="right"/>
      <w:pPr>
        <w:tabs>
          <w:tab w:val="left" w:pos="616"/>
        </w:tabs>
        <w:ind w:left="544" w:hanging="544"/>
      </w:pPr>
      <w:rPr>
        <w:rFonts w:hint="eastAsia" w:cs="Times New Roman"/>
      </w:rPr>
    </w:lvl>
    <w:lvl w:ilvl="6" w:tentative="0">
      <w:start w:val="1"/>
      <w:numFmt w:val="decimal"/>
      <w:lvlText w:val="%7."/>
      <w:lvlJc w:val="left"/>
      <w:pPr>
        <w:tabs>
          <w:tab w:val="left" w:pos="644"/>
        </w:tabs>
        <w:ind w:left="544" w:hanging="544"/>
      </w:pPr>
      <w:rPr>
        <w:rFonts w:hint="eastAsia" w:cs="Times New Roman"/>
      </w:rPr>
    </w:lvl>
    <w:lvl w:ilvl="7" w:tentative="0">
      <w:start w:val="1"/>
      <w:numFmt w:val="lowerLetter"/>
      <w:lvlText w:val="%8)"/>
      <w:lvlJc w:val="left"/>
      <w:pPr>
        <w:tabs>
          <w:tab w:val="left" w:pos="672"/>
        </w:tabs>
        <w:ind w:left="544" w:hanging="544"/>
      </w:pPr>
      <w:rPr>
        <w:rFonts w:hint="eastAsia" w:cs="Times New Roman"/>
      </w:rPr>
    </w:lvl>
    <w:lvl w:ilvl="8" w:tentative="0">
      <w:start w:val="1"/>
      <w:numFmt w:val="lowerRoman"/>
      <w:lvlText w:val="%9."/>
      <w:lvlJc w:val="right"/>
      <w:pPr>
        <w:tabs>
          <w:tab w:val="left" w:pos="700"/>
        </w:tabs>
        <w:ind w:left="544" w:hanging="544"/>
      </w:pPr>
      <w:rPr>
        <w:rFonts w:hint="eastAsia" w:cs="Times New Roman"/>
      </w:rPr>
    </w:lvl>
  </w:abstractNum>
  <w:abstractNum w:abstractNumId="9">
    <w:nsid w:val="44C50F90"/>
    <w:multiLevelType w:val="multilevel"/>
    <w:tmpl w:val="44C50F90"/>
    <w:lvl w:ilvl="0" w:tentative="0">
      <w:start w:val="1"/>
      <w:numFmt w:val="lowerLetter"/>
      <w:pStyle w:val="72"/>
      <w:lvlText w:val="%1)"/>
      <w:lvlJc w:val="left"/>
      <w:pPr>
        <w:tabs>
          <w:tab w:val="left" w:pos="840"/>
        </w:tabs>
        <w:ind w:left="839" w:hanging="419"/>
      </w:pPr>
      <w:rPr>
        <w:rFonts w:hint="eastAsia" w:ascii="宋体" w:eastAsia="宋体" w:cs="Times New Roman"/>
        <w:b w:val="0"/>
        <w:i w:val="0"/>
        <w:sz w:val="21"/>
        <w:szCs w:val="21"/>
      </w:rPr>
    </w:lvl>
    <w:lvl w:ilvl="1" w:tentative="0">
      <w:start w:val="1"/>
      <w:numFmt w:val="decimal"/>
      <w:pStyle w:val="65"/>
      <w:lvlText w:val="%2)"/>
      <w:lvlJc w:val="left"/>
      <w:pPr>
        <w:tabs>
          <w:tab w:val="left" w:pos="1260"/>
        </w:tabs>
        <w:ind w:left="1259" w:hanging="419"/>
      </w:pPr>
      <w:rPr>
        <w:rFonts w:hint="eastAsia" w:cs="Times New Roman"/>
      </w:rPr>
    </w:lvl>
    <w:lvl w:ilvl="2" w:tentative="0">
      <w:start w:val="1"/>
      <w:numFmt w:val="decimal"/>
      <w:pStyle w:val="74"/>
      <w:lvlText w:val="(%3)"/>
      <w:lvlJc w:val="left"/>
      <w:pPr>
        <w:tabs>
          <w:tab w:val="left" w:pos="0"/>
        </w:tabs>
        <w:ind w:left="1679" w:hanging="420"/>
      </w:pPr>
      <w:rPr>
        <w:rFonts w:hint="eastAsia" w:ascii="宋体" w:eastAsia="宋体" w:cs="Times New Roman"/>
        <w:b w:val="0"/>
        <w:i w:val="0"/>
        <w:sz w:val="21"/>
        <w:szCs w:val="21"/>
      </w:rPr>
    </w:lvl>
    <w:lvl w:ilvl="3" w:tentative="0">
      <w:start w:val="1"/>
      <w:numFmt w:val="decimal"/>
      <w:lvlText w:val="%4."/>
      <w:lvlJc w:val="left"/>
      <w:pPr>
        <w:tabs>
          <w:tab w:val="left" w:pos="2100"/>
        </w:tabs>
        <w:ind w:left="2099" w:hanging="419"/>
      </w:pPr>
      <w:rPr>
        <w:rFonts w:hint="eastAsia" w:cs="Times New Roman"/>
      </w:rPr>
    </w:lvl>
    <w:lvl w:ilvl="4" w:tentative="0">
      <w:start w:val="1"/>
      <w:numFmt w:val="lowerLetter"/>
      <w:lvlText w:val="%5)"/>
      <w:lvlJc w:val="left"/>
      <w:pPr>
        <w:tabs>
          <w:tab w:val="left" w:pos="2520"/>
        </w:tabs>
        <w:ind w:left="2519" w:hanging="419"/>
      </w:pPr>
      <w:rPr>
        <w:rFonts w:hint="eastAsia" w:cs="Times New Roman"/>
      </w:rPr>
    </w:lvl>
    <w:lvl w:ilvl="5" w:tentative="0">
      <w:start w:val="1"/>
      <w:numFmt w:val="lowerRoman"/>
      <w:lvlText w:val="%6."/>
      <w:lvlJc w:val="right"/>
      <w:pPr>
        <w:tabs>
          <w:tab w:val="left" w:pos="2940"/>
        </w:tabs>
        <w:ind w:left="2939" w:hanging="419"/>
      </w:pPr>
      <w:rPr>
        <w:rFonts w:hint="eastAsia" w:cs="Times New Roman"/>
      </w:rPr>
    </w:lvl>
    <w:lvl w:ilvl="6" w:tentative="0">
      <w:start w:val="1"/>
      <w:numFmt w:val="decimal"/>
      <w:lvlText w:val="%7."/>
      <w:lvlJc w:val="left"/>
      <w:pPr>
        <w:tabs>
          <w:tab w:val="left" w:pos="3360"/>
        </w:tabs>
        <w:ind w:left="3359" w:hanging="419"/>
      </w:pPr>
      <w:rPr>
        <w:rFonts w:hint="eastAsia" w:cs="Times New Roman"/>
      </w:rPr>
    </w:lvl>
    <w:lvl w:ilvl="7" w:tentative="0">
      <w:start w:val="1"/>
      <w:numFmt w:val="lowerLetter"/>
      <w:lvlText w:val="%8)"/>
      <w:lvlJc w:val="left"/>
      <w:pPr>
        <w:tabs>
          <w:tab w:val="left" w:pos="3780"/>
        </w:tabs>
        <w:ind w:left="3779" w:hanging="419"/>
      </w:pPr>
      <w:rPr>
        <w:rFonts w:hint="eastAsia" w:cs="Times New Roman"/>
      </w:rPr>
    </w:lvl>
    <w:lvl w:ilvl="8" w:tentative="0">
      <w:start w:val="1"/>
      <w:numFmt w:val="lowerRoman"/>
      <w:lvlText w:val="%9."/>
      <w:lvlJc w:val="right"/>
      <w:pPr>
        <w:tabs>
          <w:tab w:val="left" w:pos="4200"/>
        </w:tabs>
        <w:ind w:left="4199" w:hanging="419"/>
      </w:pPr>
      <w:rPr>
        <w:rFonts w:hint="eastAsia" w:cs="Times New Roman"/>
      </w:rPr>
    </w:lvl>
  </w:abstractNum>
  <w:abstractNum w:abstractNumId="10">
    <w:nsid w:val="4B733A5F"/>
    <w:multiLevelType w:val="multilevel"/>
    <w:tmpl w:val="4B733A5F"/>
    <w:lvl w:ilvl="0" w:tentative="0">
      <w:start w:val="1"/>
      <w:numFmt w:val="decimal"/>
      <w:pStyle w:val="75"/>
      <w:suff w:val="nothing"/>
      <w:lvlText w:val="示例%1："/>
      <w:lvlJc w:val="left"/>
      <w:pPr>
        <w:ind w:firstLine="363"/>
      </w:pPr>
      <w:rPr>
        <w:rFonts w:hint="eastAsia" w:ascii="黑体" w:hAnsi="Times New Roman" w:eastAsia="黑体" w:cs="Times New Roman"/>
        <w:b w:val="0"/>
        <w:i w:val="0"/>
        <w:sz w:val="18"/>
        <w:szCs w:val="18"/>
        <w:vertAlign w:val="baseline"/>
      </w:rPr>
    </w:lvl>
    <w:lvl w:ilvl="1" w:tentative="0">
      <w:start w:val="1"/>
      <w:numFmt w:val="none"/>
      <w:suff w:val="space"/>
      <w:lvlText w:val=""/>
      <w:lvlJc w:val="left"/>
      <w:rPr>
        <w:rFonts w:hint="eastAsia" w:cs="Times New Roman"/>
        <w:vertAlign w:val="baseline"/>
      </w:rPr>
    </w:lvl>
    <w:lvl w:ilvl="2" w:tentative="0">
      <w:start w:val="1"/>
      <w:numFmt w:val="decimal"/>
      <w:suff w:val="space"/>
      <w:lvlText w:val="2.2.%3"/>
      <w:lvlJc w:val="left"/>
      <w:rPr>
        <w:rFonts w:hint="eastAsia" w:cs="Times New Roman"/>
        <w:vertAlign w:val="baseline"/>
      </w:rPr>
    </w:lvl>
    <w:lvl w:ilvl="3" w:tentative="0">
      <w:start w:val="1"/>
      <w:numFmt w:val="decimal"/>
      <w:lvlText w:val="%4."/>
      <w:lvlJc w:val="left"/>
      <w:pPr>
        <w:tabs>
          <w:tab w:val="left" w:pos="0"/>
        </w:tabs>
        <w:ind w:left="992" w:hanging="629"/>
      </w:pPr>
      <w:rPr>
        <w:rFonts w:hint="eastAsia" w:cs="Times New Roman"/>
        <w:vertAlign w:val="baseline"/>
      </w:rPr>
    </w:lvl>
    <w:lvl w:ilvl="4" w:tentative="0">
      <w:start w:val="1"/>
      <w:numFmt w:val="lowerLetter"/>
      <w:lvlText w:val="%5)"/>
      <w:lvlJc w:val="left"/>
      <w:pPr>
        <w:tabs>
          <w:tab w:val="left" w:pos="0"/>
        </w:tabs>
        <w:ind w:left="992" w:hanging="629"/>
      </w:pPr>
      <w:rPr>
        <w:rFonts w:hint="eastAsia" w:cs="Times New Roman"/>
        <w:vertAlign w:val="baseline"/>
      </w:rPr>
    </w:lvl>
    <w:lvl w:ilvl="5" w:tentative="0">
      <w:start w:val="1"/>
      <w:numFmt w:val="lowerRoman"/>
      <w:lvlText w:val="%6."/>
      <w:lvlJc w:val="right"/>
      <w:pPr>
        <w:tabs>
          <w:tab w:val="left" w:pos="0"/>
        </w:tabs>
        <w:ind w:left="992" w:hanging="629"/>
      </w:pPr>
      <w:rPr>
        <w:rFonts w:hint="eastAsia" w:cs="Times New Roman"/>
        <w:vertAlign w:val="baseline"/>
      </w:rPr>
    </w:lvl>
    <w:lvl w:ilvl="6" w:tentative="0">
      <w:start w:val="1"/>
      <w:numFmt w:val="decimal"/>
      <w:lvlText w:val="%7."/>
      <w:lvlJc w:val="left"/>
      <w:pPr>
        <w:tabs>
          <w:tab w:val="left" w:pos="0"/>
        </w:tabs>
        <w:ind w:left="992" w:hanging="629"/>
      </w:pPr>
      <w:rPr>
        <w:rFonts w:hint="eastAsia" w:cs="Times New Roman"/>
        <w:vertAlign w:val="baseline"/>
      </w:rPr>
    </w:lvl>
    <w:lvl w:ilvl="7" w:tentative="0">
      <w:start w:val="1"/>
      <w:numFmt w:val="lowerLetter"/>
      <w:lvlText w:val="%8)"/>
      <w:lvlJc w:val="left"/>
      <w:pPr>
        <w:tabs>
          <w:tab w:val="left" w:pos="0"/>
        </w:tabs>
        <w:ind w:left="992" w:hanging="629"/>
      </w:pPr>
      <w:rPr>
        <w:rFonts w:hint="eastAsia" w:cs="Times New Roman"/>
        <w:vertAlign w:val="baseline"/>
      </w:rPr>
    </w:lvl>
    <w:lvl w:ilvl="8" w:tentative="0">
      <w:start w:val="1"/>
      <w:numFmt w:val="lowerRoman"/>
      <w:lvlText w:val="%9."/>
      <w:lvlJc w:val="right"/>
      <w:pPr>
        <w:tabs>
          <w:tab w:val="left" w:pos="0"/>
        </w:tabs>
        <w:ind w:left="992" w:hanging="629"/>
      </w:pPr>
      <w:rPr>
        <w:rFonts w:hint="eastAsia" w:cs="Times New Roman"/>
        <w:vertAlign w:val="baseline"/>
      </w:rPr>
    </w:lvl>
  </w:abstractNum>
  <w:abstractNum w:abstractNumId="11">
    <w:nsid w:val="557C2AF5"/>
    <w:multiLevelType w:val="multilevel"/>
    <w:tmpl w:val="557C2AF5"/>
    <w:lvl w:ilvl="0" w:tentative="0">
      <w:start w:val="1"/>
      <w:numFmt w:val="decimal"/>
      <w:pStyle w:val="144"/>
      <w:suff w:val="nothing"/>
      <w:lvlText w:val="图%1　"/>
      <w:lvlJc w:val="left"/>
      <w:rPr>
        <w:rFonts w:hint="eastAsia" w:ascii="黑体" w:hAnsi="Times New Roman" w:eastAsia="黑体" w:cs="Times New Roman"/>
        <w:b w:val="0"/>
        <w:i w:val="0"/>
        <w:sz w:val="21"/>
      </w:rPr>
    </w:lvl>
    <w:lvl w:ilvl="1" w:tentative="0">
      <w:start w:val="1"/>
      <w:numFmt w:val="decimal"/>
      <w:suff w:val="nothing"/>
      <w:lvlText w:val="%1%2　"/>
      <w:lvlJc w:val="left"/>
      <w:rPr>
        <w:rFonts w:hint="default" w:ascii="Times New Roman" w:hAnsi="Times New Roman" w:eastAsia="黑体" w:cs="Times New Roman"/>
        <w:b w:val="0"/>
        <w:i w:val="0"/>
        <w:sz w:val="21"/>
      </w:rPr>
    </w:lvl>
    <w:lvl w:ilvl="2" w:tentative="0">
      <w:start w:val="1"/>
      <w:numFmt w:val="decimal"/>
      <w:suff w:val="nothing"/>
      <w:lvlText w:val="%1%2.%3　"/>
      <w:lvlJc w:val="left"/>
      <w:rPr>
        <w:rFonts w:hint="default" w:ascii="Times New Roman" w:hAnsi="Times New Roman" w:eastAsia="黑体" w:cs="Times New Roman"/>
        <w:b w:val="0"/>
        <w:i w:val="0"/>
        <w:sz w:val="21"/>
      </w:rPr>
    </w:lvl>
    <w:lvl w:ilvl="3" w:tentative="0">
      <w:start w:val="1"/>
      <w:numFmt w:val="decimal"/>
      <w:suff w:val="nothing"/>
      <w:lvlText w:val="%1%2.%3.%4　"/>
      <w:lvlJc w:val="left"/>
      <w:rPr>
        <w:rFonts w:hint="default" w:ascii="Times New Roman" w:hAnsi="Times New Roman" w:eastAsia="黑体" w:cs="Times New Roman"/>
        <w:b w:val="0"/>
        <w:i w:val="0"/>
        <w:sz w:val="21"/>
      </w:rPr>
    </w:lvl>
    <w:lvl w:ilvl="4" w:tentative="0">
      <w:start w:val="1"/>
      <w:numFmt w:val="decimal"/>
      <w:suff w:val="nothing"/>
      <w:lvlText w:val="%1%2.%3.%4.%5　"/>
      <w:lvlJc w:val="left"/>
      <w:rPr>
        <w:rFonts w:hint="default" w:ascii="Times New Roman" w:hAnsi="Times New Roman" w:eastAsia="黑体" w:cs="Times New Roman"/>
        <w:b w:val="0"/>
        <w:i w:val="0"/>
        <w:sz w:val="21"/>
      </w:rPr>
    </w:lvl>
    <w:lvl w:ilvl="5" w:tentative="0">
      <w:start w:val="1"/>
      <w:numFmt w:val="decimal"/>
      <w:suff w:val="nothing"/>
      <w:lvlText w:val="%1%2.%3.%4.%5.%6　"/>
      <w:lvlJc w:val="left"/>
      <w:rPr>
        <w:rFonts w:hint="default" w:ascii="Times New Roman" w:hAnsi="Times New Roman" w:eastAsia="黑体" w:cs="Times New Roman"/>
        <w:b w:val="0"/>
        <w:i w:val="0"/>
        <w:sz w:val="21"/>
      </w:rPr>
    </w:lvl>
    <w:lvl w:ilvl="6" w:tentative="0">
      <w:start w:val="1"/>
      <w:numFmt w:val="decimal"/>
      <w:suff w:val="nothing"/>
      <w:lvlText w:val="%1%2.%3.%4.%5.%6.%7　"/>
      <w:lvlJc w:val="left"/>
      <w:rPr>
        <w:rFonts w:hint="default" w:ascii="Times New Roman" w:hAnsi="Times New Roman" w:eastAsia="黑体" w:cs="Times New Roman"/>
        <w:b w:val="0"/>
        <w:i w:val="0"/>
        <w:sz w:val="21"/>
      </w:rPr>
    </w:lvl>
    <w:lvl w:ilvl="7" w:tentative="0">
      <w:start w:val="1"/>
      <w:numFmt w:val="decimal"/>
      <w:lvlText w:val="%1.%2.%3.%4.%5.%6.%7.%8"/>
      <w:lvlJc w:val="left"/>
      <w:pPr>
        <w:tabs>
          <w:tab w:val="left" w:pos="4351"/>
        </w:tabs>
        <w:ind w:left="3969" w:hanging="1418"/>
      </w:pPr>
      <w:rPr>
        <w:rFonts w:hint="eastAsia" w:cs="Times New Roman"/>
      </w:rPr>
    </w:lvl>
    <w:lvl w:ilvl="8" w:tentative="0">
      <w:start w:val="1"/>
      <w:numFmt w:val="decimal"/>
      <w:lvlText w:val="%1.%2.%3.%4.%5.%6.%7.%8.%9"/>
      <w:lvlJc w:val="left"/>
      <w:pPr>
        <w:tabs>
          <w:tab w:val="left" w:pos="4777"/>
        </w:tabs>
        <w:ind w:left="4677" w:hanging="1700"/>
      </w:pPr>
      <w:rPr>
        <w:rFonts w:hint="eastAsia" w:cs="Times New Roman"/>
      </w:rPr>
    </w:lvl>
  </w:abstractNum>
  <w:abstractNum w:abstractNumId="12">
    <w:nsid w:val="60B55DC2"/>
    <w:multiLevelType w:val="multilevel"/>
    <w:tmpl w:val="60B55DC2"/>
    <w:lvl w:ilvl="0" w:tentative="0">
      <w:start w:val="1"/>
      <w:numFmt w:val="upperLetter"/>
      <w:pStyle w:val="99"/>
      <w:lvlText w:val="%1"/>
      <w:lvlJc w:val="left"/>
      <w:pPr>
        <w:tabs>
          <w:tab w:val="left" w:pos="0"/>
        </w:tabs>
        <w:ind w:hanging="425"/>
      </w:pPr>
      <w:rPr>
        <w:rFonts w:hint="eastAsia" w:cs="Times New Roman"/>
      </w:rPr>
    </w:lvl>
    <w:lvl w:ilvl="1" w:tentative="0">
      <w:start w:val="1"/>
      <w:numFmt w:val="decimal"/>
      <w:pStyle w:val="100"/>
      <w:suff w:val="nothing"/>
      <w:lvlText w:val="表%1.%2　"/>
      <w:lvlJc w:val="left"/>
      <w:pPr>
        <w:ind w:left="567" w:hanging="567"/>
      </w:pPr>
      <w:rPr>
        <w:rFonts w:hint="eastAsia" w:cs="Times New Roman"/>
      </w:rPr>
    </w:lvl>
    <w:lvl w:ilvl="2" w:tentative="0">
      <w:start w:val="1"/>
      <w:numFmt w:val="decimal"/>
      <w:lvlText w:val="%1.%2.%3"/>
      <w:lvlJc w:val="left"/>
      <w:pPr>
        <w:tabs>
          <w:tab w:val="left" w:pos="993"/>
        </w:tabs>
        <w:ind w:left="993" w:hanging="567"/>
      </w:pPr>
      <w:rPr>
        <w:rFonts w:hint="eastAsia" w:cs="Times New Roman"/>
      </w:rPr>
    </w:lvl>
    <w:lvl w:ilvl="3" w:tentative="0">
      <w:start w:val="1"/>
      <w:numFmt w:val="decimal"/>
      <w:lvlText w:val="%1.%2.%3.%4"/>
      <w:lvlJc w:val="left"/>
      <w:pPr>
        <w:tabs>
          <w:tab w:val="left" w:pos="2291"/>
        </w:tabs>
        <w:ind w:left="1559" w:hanging="708"/>
      </w:pPr>
      <w:rPr>
        <w:rFonts w:hint="eastAsia" w:cs="Times New Roman"/>
      </w:rPr>
    </w:lvl>
    <w:lvl w:ilvl="4" w:tentative="0">
      <w:start w:val="1"/>
      <w:numFmt w:val="decimal"/>
      <w:lvlText w:val="%1.%2.%3.%4.%5"/>
      <w:lvlJc w:val="left"/>
      <w:pPr>
        <w:tabs>
          <w:tab w:val="left" w:pos="3076"/>
        </w:tabs>
        <w:ind w:left="2126" w:hanging="850"/>
      </w:pPr>
      <w:rPr>
        <w:rFonts w:hint="eastAsia" w:cs="Times New Roman"/>
      </w:rPr>
    </w:lvl>
    <w:lvl w:ilvl="5" w:tentative="0">
      <w:start w:val="1"/>
      <w:numFmt w:val="decimal"/>
      <w:lvlText w:val="%1.%2.%3.%4.%5.%6"/>
      <w:lvlJc w:val="left"/>
      <w:pPr>
        <w:tabs>
          <w:tab w:val="left" w:pos="3861"/>
        </w:tabs>
        <w:ind w:left="2835" w:hanging="1134"/>
      </w:pPr>
      <w:rPr>
        <w:rFonts w:hint="eastAsia" w:cs="Times New Roman"/>
      </w:rPr>
    </w:lvl>
    <w:lvl w:ilvl="6" w:tentative="0">
      <w:start w:val="1"/>
      <w:numFmt w:val="decimal"/>
      <w:lvlText w:val="%1.%2.%3.%4.%5.%6.%7"/>
      <w:lvlJc w:val="left"/>
      <w:pPr>
        <w:tabs>
          <w:tab w:val="left" w:pos="4646"/>
        </w:tabs>
        <w:ind w:left="3402" w:hanging="1276"/>
      </w:pPr>
      <w:rPr>
        <w:rFonts w:hint="eastAsia" w:cs="Times New Roman"/>
      </w:rPr>
    </w:lvl>
    <w:lvl w:ilvl="7" w:tentative="0">
      <w:start w:val="1"/>
      <w:numFmt w:val="decimal"/>
      <w:lvlText w:val="%1.%2.%3.%4.%5.%6.%7.%8"/>
      <w:lvlJc w:val="left"/>
      <w:pPr>
        <w:tabs>
          <w:tab w:val="left" w:pos="5431"/>
        </w:tabs>
        <w:ind w:left="3969" w:hanging="1418"/>
      </w:pPr>
      <w:rPr>
        <w:rFonts w:hint="eastAsia" w:cs="Times New Roman"/>
      </w:rPr>
    </w:lvl>
    <w:lvl w:ilvl="8" w:tentative="0">
      <w:start w:val="1"/>
      <w:numFmt w:val="decimal"/>
      <w:lvlText w:val="%1.%2.%3.%4.%5.%6.%7.%8.%9"/>
      <w:lvlJc w:val="left"/>
      <w:pPr>
        <w:tabs>
          <w:tab w:val="left" w:pos="6217"/>
        </w:tabs>
        <w:ind w:left="4677" w:hanging="1700"/>
      </w:pPr>
      <w:rPr>
        <w:rFonts w:hint="eastAsia" w:cs="Times New Roman"/>
      </w:rPr>
    </w:lvl>
  </w:abstractNum>
  <w:abstractNum w:abstractNumId="13">
    <w:nsid w:val="646260FA"/>
    <w:multiLevelType w:val="multilevel"/>
    <w:tmpl w:val="646260FA"/>
    <w:lvl w:ilvl="0" w:tentative="0">
      <w:start w:val="1"/>
      <w:numFmt w:val="decimal"/>
      <w:pStyle w:val="142"/>
      <w:suff w:val="nothing"/>
      <w:lvlText w:val="表%1　"/>
      <w:lvlJc w:val="left"/>
      <w:pPr>
        <w:ind w:left="3970"/>
      </w:pPr>
      <w:rPr>
        <w:rFonts w:hint="eastAsia" w:ascii="黑体" w:hAnsi="Times New Roman" w:eastAsia="黑体" w:cs="Times New Roman"/>
        <w:b w:val="0"/>
        <w:i w:val="0"/>
        <w:sz w:val="21"/>
      </w:rPr>
    </w:lvl>
    <w:lvl w:ilvl="1" w:tentative="0">
      <w:start w:val="1"/>
      <w:numFmt w:val="decimal"/>
      <w:lvlText w:val="%1.%2"/>
      <w:lvlJc w:val="left"/>
      <w:pPr>
        <w:tabs>
          <w:tab w:val="left" w:pos="992"/>
        </w:tabs>
        <w:ind w:left="992" w:hanging="567"/>
      </w:pPr>
      <w:rPr>
        <w:rFonts w:hint="eastAsia" w:cs="Times New Roman"/>
      </w:rPr>
    </w:lvl>
    <w:lvl w:ilvl="2" w:tentative="0">
      <w:start w:val="1"/>
      <w:numFmt w:val="decimal"/>
      <w:lvlText w:val="%1.%2.%3"/>
      <w:lvlJc w:val="left"/>
      <w:pPr>
        <w:tabs>
          <w:tab w:val="left" w:pos="1418"/>
        </w:tabs>
        <w:ind w:left="1418" w:hanging="567"/>
      </w:pPr>
      <w:rPr>
        <w:rFonts w:hint="eastAsia" w:cs="Times New Roman"/>
      </w:rPr>
    </w:lvl>
    <w:lvl w:ilvl="3" w:tentative="0">
      <w:start w:val="1"/>
      <w:numFmt w:val="decimal"/>
      <w:lvlText w:val="%1.%2.%3.%4"/>
      <w:lvlJc w:val="left"/>
      <w:pPr>
        <w:tabs>
          <w:tab w:val="left" w:pos="1984"/>
        </w:tabs>
        <w:ind w:left="1984" w:hanging="708"/>
      </w:pPr>
      <w:rPr>
        <w:rFonts w:hint="eastAsia" w:cs="Times New Roman"/>
      </w:rPr>
    </w:lvl>
    <w:lvl w:ilvl="4" w:tentative="0">
      <w:start w:val="1"/>
      <w:numFmt w:val="decimal"/>
      <w:lvlText w:val="%1.%2.%3.%4.%5"/>
      <w:lvlJc w:val="left"/>
      <w:pPr>
        <w:tabs>
          <w:tab w:val="left" w:pos="2551"/>
        </w:tabs>
        <w:ind w:left="2551" w:hanging="850"/>
      </w:pPr>
      <w:rPr>
        <w:rFonts w:hint="eastAsia" w:cs="Times New Roman"/>
      </w:rPr>
    </w:lvl>
    <w:lvl w:ilvl="5" w:tentative="0">
      <w:start w:val="1"/>
      <w:numFmt w:val="decimal"/>
      <w:lvlText w:val="%1.%2.%3.%4.%5.%6"/>
      <w:lvlJc w:val="left"/>
      <w:pPr>
        <w:tabs>
          <w:tab w:val="left" w:pos="3260"/>
        </w:tabs>
        <w:ind w:left="3260" w:hanging="1134"/>
      </w:pPr>
      <w:rPr>
        <w:rFonts w:hint="eastAsia" w:cs="Times New Roman"/>
      </w:rPr>
    </w:lvl>
    <w:lvl w:ilvl="6" w:tentative="0">
      <w:start w:val="1"/>
      <w:numFmt w:val="decimal"/>
      <w:lvlText w:val="%1.%2.%3.%4.%5.%6.%7"/>
      <w:lvlJc w:val="left"/>
      <w:pPr>
        <w:tabs>
          <w:tab w:val="left" w:pos="3827"/>
        </w:tabs>
        <w:ind w:left="3827" w:hanging="1276"/>
      </w:pPr>
      <w:rPr>
        <w:rFonts w:hint="eastAsia" w:cs="Times New Roman"/>
      </w:rPr>
    </w:lvl>
    <w:lvl w:ilvl="7" w:tentative="0">
      <w:start w:val="1"/>
      <w:numFmt w:val="decimal"/>
      <w:lvlText w:val="%1.%2.%3.%4.%5.%6.%7.%8"/>
      <w:lvlJc w:val="left"/>
      <w:pPr>
        <w:tabs>
          <w:tab w:val="left" w:pos="4394"/>
        </w:tabs>
        <w:ind w:left="4394" w:hanging="1418"/>
      </w:pPr>
      <w:rPr>
        <w:rFonts w:hint="eastAsia" w:cs="Times New Roman"/>
      </w:rPr>
    </w:lvl>
    <w:lvl w:ilvl="8" w:tentative="0">
      <w:start w:val="1"/>
      <w:numFmt w:val="decimal"/>
      <w:lvlText w:val="%1.%2.%3.%4.%5.%6.%7.%8.%9"/>
      <w:lvlJc w:val="left"/>
      <w:pPr>
        <w:tabs>
          <w:tab w:val="left" w:pos="5102"/>
        </w:tabs>
        <w:ind w:left="5102" w:hanging="1700"/>
      </w:pPr>
      <w:rPr>
        <w:rFonts w:hint="eastAsia" w:cs="Times New Roman"/>
      </w:rPr>
    </w:lvl>
  </w:abstractNum>
  <w:abstractNum w:abstractNumId="14">
    <w:nsid w:val="657D3FBC"/>
    <w:multiLevelType w:val="multilevel"/>
    <w:tmpl w:val="657D3FBC"/>
    <w:lvl w:ilvl="0" w:tentative="0">
      <w:start w:val="1"/>
      <w:numFmt w:val="upperLetter"/>
      <w:pStyle w:val="97"/>
      <w:suff w:val="nothing"/>
      <w:lvlText w:val="附　录　%1"/>
      <w:lvlJc w:val="left"/>
      <w:rPr>
        <w:rFonts w:hint="eastAsia" w:ascii="黑体" w:hAnsi="Times New Roman" w:eastAsia="黑体" w:cs="Times New Roman"/>
        <w:b w:val="0"/>
        <w:i w:val="0"/>
        <w:spacing w:val="0"/>
        <w:w w:val="100"/>
        <w:sz w:val="21"/>
      </w:rPr>
    </w:lvl>
    <w:lvl w:ilvl="1" w:tentative="0">
      <w:start w:val="1"/>
      <w:numFmt w:val="decimal"/>
      <w:pStyle w:val="115"/>
      <w:suff w:val="nothing"/>
      <w:lvlText w:val="%1.%2　"/>
      <w:lvlJc w:val="left"/>
      <w:rPr>
        <w:rFonts w:hint="eastAsia" w:ascii="黑体" w:hAnsi="Times New Roman" w:eastAsia="黑体" w:cs="Times New Roman"/>
        <w:b w:val="0"/>
        <w:i w:val="0"/>
        <w:snapToGrid/>
        <w:spacing w:val="0"/>
        <w:w w:val="100"/>
        <w:kern w:val="21"/>
        <w:sz w:val="21"/>
      </w:rPr>
    </w:lvl>
    <w:lvl w:ilvl="2" w:tentative="0">
      <w:start w:val="1"/>
      <w:numFmt w:val="decimal"/>
      <w:pStyle w:val="116"/>
      <w:suff w:val="nothing"/>
      <w:lvlText w:val="%1.%2.%3　"/>
      <w:lvlJc w:val="left"/>
      <w:rPr>
        <w:rFonts w:hint="eastAsia" w:ascii="黑体" w:hAnsi="Times New Roman" w:eastAsia="黑体" w:cs="Times New Roman"/>
        <w:b w:val="0"/>
        <w:i w:val="0"/>
        <w:sz w:val="21"/>
      </w:rPr>
    </w:lvl>
    <w:lvl w:ilvl="3" w:tentative="0">
      <w:start w:val="1"/>
      <w:numFmt w:val="decimal"/>
      <w:pStyle w:val="101"/>
      <w:suff w:val="nothing"/>
      <w:lvlText w:val="%1.%2.%3.%4　"/>
      <w:lvlJc w:val="left"/>
      <w:rPr>
        <w:rFonts w:hint="eastAsia" w:ascii="黑体" w:hAnsi="Times New Roman" w:eastAsia="黑体" w:cs="Times New Roman"/>
        <w:b w:val="0"/>
        <w:i w:val="0"/>
        <w:sz w:val="21"/>
      </w:rPr>
    </w:lvl>
    <w:lvl w:ilvl="4" w:tentative="0">
      <w:start w:val="1"/>
      <w:numFmt w:val="decimal"/>
      <w:pStyle w:val="106"/>
      <w:suff w:val="nothing"/>
      <w:lvlText w:val="%1.%2.%3.%4.%5　"/>
      <w:lvlJc w:val="left"/>
      <w:rPr>
        <w:rFonts w:hint="eastAsia" w:ascii="黑体" w:hAnsi="Times New Roman" w:eastAsia="黑体" w:cs="Times New Roman"/>
        <w:b w:val="0"/>
        <w:i w:val="0"/>
        <w:sz w:val="21"/>
      </w:rPr>
    </w:lvl>
    <w:lvl w:ilvl="5" w:tentative="0">
      <w:start w:val="1"/>
      <w:numFmt w:val="decimal"/>
      <w:pStyle w:val="109"/>
      <w:suff w:val="nothing"/>
      <w:lvlText w:val="%1.%2.%3.%4.%5.%6　"/>
      <w:lvlJc w:val="left"/>
      <w:rPr>
        <w:rFonts w:hint="eastAsia" w:ascii="黑体" w:hAnsi="Times New Roman" w:eastAsia="黑体" w:cs="Times New Roman"/>
        <w:b w:val="0"/>
        <w:i w:val="0"/>
        <w:sz w:val="21"/>
      </w:rPr>
    </w:lvl>
    <w:lvl w:ilvl="6" w:tentative="0">
      <w:start w:val="1"/>
      <w:numFmt w:val="decimal"/>
      <w:pStyle w:val="113"/>
      <w:suff w:val="nothing"/>
      <w:lvlText w:val="%1.%2.%3.%4.%5.%6.%7　"/>
      <w:lvlJc w:val="left"/>
      <w:rPr>
        <w:rFonts w:hint="eastAsia" w:ascii="黑体" w:hAnsi="Times New Roman" w:eastAsia="黑体" w:cs="Times New Roman"/>
        <w:b w:val="0"/>
        <w:i w:val="0"/>
        <w:sz w:val="21"/>
      </w:rPr>
    </w:lvl>
    <w:lvl w:ilvl="7" w:tentative="0">
      <w:start w:val="1"/>
      <w:numFmt w:val="decimal"/>
      <w:lvlText w:val="%1.%2.%3.%4.%5.%6.%7.%8"/>
      <w:lvlJc w:val="left"/>
      <w:pPr>
        <w:tabs>
          <w:tab w:val="left" w:pos="4394"/>
        </w:tabs>
        <w:ind w:left="4394" w:hanging="1418"/>
      </w:pPr>
      <w:rPr>
        <w:rFonts w:hint="eastAsia" w:cs="Times New Roman"/>
      </w:rPr>
    </w:lvl>
    <w:lvl w:ilvl="8" w:tentative="0">
      <w:start w:val="1"/>
      <w:numFmt w:val="decimal"/>
      <w:lvlText w:val="%1.%2.%3.%4.%5.%6.%7.%8.%9"/>
      <w:lvlJc w:val="left"/>
      <w:pPr>
        <w:tabs>
          <w:tab w:val="left" w:pos="5102"/>
        </w:tabs>
        <w:ind w:left="5102" w:hanging="1700"/>
      </w:pPr>
      <w:rPr>
        <w:rFonts w:hint="eastAsia" w:cs="Times New Roman"/>
      </w:rPr>
    </w:lvl>
  </w:abstractNum>
  <w:abstractNum w:abstractNumId="15">
    <w:nsid w:val="6D6C07CD"/>
    <w:multiLevelType w:val="multilevel"/>
    <w:tmpl w:val="6D6C07CD"/>
    <w:lvl w:ilvl="0" w:tentative="0">
      <w:start w:val="1"/>
      <w:numFmt w:val="lowerLetter"/>
      <w:pStyle w:val="118"/>
      <w:lvlText w:val="%1)"/>
      <w:lvlJc w:val="left"/>
      <w:pPr>
        <w:tabs>
          <w:tab w:val="left" w:pos="839"/>
        </w:tabs>
        <w:ind w:left="839" w:hanging="419"/>
      </w:pPr>
      <w:rPr>
        <w:rFonts w:hint="eastAsia" w:ascii="宋体" w:eastAsia="宋体" w:cs="Times New Roman"/>
        <w:b w:val="0"/>
        <w:i w:val="0"/>
        <w:sz w:val="21"/>
      </w:rPr>
    </w:lvl>
    <w:lvl w:ilvl="1" w:tentative="0">
      <w:start w:val="1"/>
      <w:numFmt w:val="decimal"/>
      <w:pStyle w:val="108"/>
      <w:lvlText w:val="%2)"/>
      <w:lvlJc w:val="left"/>
      <w:pPr>
        <w:tabs>
          <w:tab w:val="left" w:pos="840"/>
        </w:tabs>
        <w:ind w:left="839" w:hanging="419"/>
      </w:pPr>
      <w:rPr>
        <w:rFonts w:hint="eastAsia" w:ascii="宋体" w:eastAsia="宋体" w:cs="Times New Roman"/>
        <w:b w:val="0"/>
        <w:i w:val="0"/>
        <w:sz w:val="21"/>
      </w:rPr>
    </w:lvl>
    <w:lvl w:ilvl="2" w:tentative="0">
      <w:start w:val="1"/>
      <w:numFmt w:val="lowerRoman"/>
      <w:lvlText w:val="%3."/>
      <w:lvlJc w:val="right"/>
      <w:pPr>
        <w:tabs>
          <w:tab w:val="left" w:pos="1260"/>
        </w:tabs>
        <w:ind w:left="1259" w:hanging="419"/>
      </w:pPr>
      <w:rPr>
        <w:rFonts w:hint="eastAsia" w:cs="Times New Roman"/>
      </w:rPr>
    </w:lvl>
    <w:lvl w:ilvl="3" w:tentative="0">
      <w:start w:val="1"/>
      <w:numFmt w:val="decimal"/>
      <w:lvlText w:val="%4."/>
      <w:lvlJc w:val="left"/>
      <w:pPr>
        <w:tabs>
          <w:tab w:val="left" w:pos="1680"/>
        </w:tabs>
        <w:ind w:left="1679" w:hanging="419"/>
      </w:pPr>
      <w:rPr>
        <w:rFonts w:hint="eastAsia" w:cs="Times New Roman"/>
      </w:rPr>
    </w:lvl>
    <w:lvl w:ilvl="4" w:tentative="0">
      <w:start w:val="1"/>
      <w:numFmt w:val="lowerLetter"/>
      <w:lvlText w:val="%5)"/>
      <w:lvlJc w:val="left"/>
      <w:pPr>
        <w:tabs>
          <w:tab w:val="left" w:pos="2100"/>
        </w:tabs>
        <w:ind w:left="2099" w:hanging="419"/>
      </w:pPr>
      <w:rPr>
        <w:rFonts w:hint="eastAsia" w:cs="Times New Roman"/>
      </w:rPr>
    </w:lvl>
    <w:lvl w:ilvl="5" w:tentative="0">
      <w:start w:val="1"/>
      <w:numFmt w:val="lowerRoman"/>
      <w:lvlText w:val="%6."/>
      <w:lvlJc w:val="right"/>
      <w:pPr>
        <w:tabs>
          <w:tab w:val="left" w:pos="2520"/>
        </w:tabs>
        <w:ind w:left="2519" w:hanging="419"/>
      </w:pPr>
      <w:rPr>
        <w:rFonts w:hint="eastAsia" w:cs="Times New Roman"/>
      </w:rPr>
    </w:lvl>
    <w:lvl w:ilvl="6" w:tentative="0">
      <w:start w:val="1"/>
      <w:numFmt w:val="decimal"/>
      <w:lvlText w:val="%7."/>
      <w:lvlJc w:val="left"/>
      <w:pPr>
        <w:tabs>
          <w:tab w:val="left" w:pos="2940"/>
        </w:tabs>
        <w:ind w:left="2939" w:hanging="419"/>
      </w:pPr>
      <w:rPr>
        <w:rFonts w:hint="eastAsia" w:cs="Times New Roman"/>
      </w:rPr>
    </w:lvl>
    <w:lvl w:ilvl="7" w:tentative="0">
      <w:start w:val="1"/>
      <w:numFmt w:val="lowerLetter"/>
      <w:lvlText w:val="%8)"/>
      <w:lvlJc w:val="left"/>
      <w:pPr>
        <w:tabs>
          <w:tab w:val="left" w:pos="3360"/>
        </w:tabs>
        <w:ind w:left="3359" w:hanging="419"/>
      </w:pPr>
      <w:rPr>
        <w:rFonts w:hint="eastAsia" w:cs="Times New Roman"/>
      </w:rPr>
    </w:lvl>
    <w:lvl w:ilvl="8" w:tentative="0">
      <w:start w:val="1"/>
      <w:numFmt w:val="lowerRoman"/>
      <w:lvlText w:val="%9."/>
      <w:lvlJc w:val="right"/>
      <w:pPr>
        <w:tabs>
          <w:tab w:val="left" w:pos="3780"/>
        </w:tabs>
        <w:ind w:left="3779" w:hanging="419"/>
      </w:pPr>
      <w:rPr>
        <w:rFonts w:hint="eastAsia" w:cs="Times New Roman"/>
      </w:rPr>
    </w:lvl>
  </w:abstractNum>
  <w:abstractNum w:abstractNumId="16">
    <w:nsid w:val="6DBF04F4"/>
    <w:multiLevelType w:val="multilevel"/>
    <w:tmpl w:val="6DBF04F4"/>
    <w:lvl w:ilvl="0" w:tentative="0">
      <w:start w:val="1"/>
      <w:numFmt w:val="none"/>
      <w:pStyle w:val="70"/>
      <w:suff w:val="nothing"/>
      <w:lvlText w:val="%1注："/>
      <w:lvlJc w:val="left"/>
      <w:pPr>
        <w:ind w:left="726" w:hanging="363"/>
      </w:pPr>
      <w:rPr>
        <w:rFonts w:hint="eastAsia" w:ascii="黑体" w:hAnsi="Times New Roman" w:eastAsia="黑体" w:cs="Times New Roman"/>
        <w:b w:val="0"/>
        <w:i w:val="0"/>
        <w:sz w:val="18"/>
      </w:rPr>
    </w:lvl>
    <w:lvl w:ilvl="1" w:tentative="0">
      <w:start w:val="1"/>
      <w:numFmt w:val="lowerLetter"/>
      <w:lvlText w:val="%2)"/>
      <w:lvlJc w:val="left"/>
      <w:pPr>
        <w:tabs>
          <w:tab w:val="left" w:pos="1140"/>
        </w:tabs>
        <w:ind w:left="726" w:hanging="363"/>
      </w:pPr>
      <w:rPr>
        <w:rFonts w:hint="eastAsia" w:cs="Times New Roman"/>
      </w:rPr>
    </w:lvl>
    <w:lvl w:ilvl="2" w:tentative="0">
      <w:start w:val="1"/>
      <w:numFmt w:val="lowerRoman"/>
      <w:lvlText w:val="%3."/>
      <w:lvlJc w:val="right"/>
      <w:pPr>
        <w:tabs>
          <w:tab w:val="left" w:pos="1140"/>
        </w:tabs>
        <w:ind w:left="726" w:hanging="363"/>
      </w:pPr>
      <w:rPr>
        <w:rFonts w:hint="eastAsia" w:cs="Times New Roman"/>
      </w:rPr>
    </w:lvl>
    <w:lvl w:ilvl="3" w:tentative="0">
      <w:start w:val="1"/>
      <w:numFmt w:val="decimal"/>
      <w:lvlText w:val="%4."/>
      <w:lvlJc w:val="left"/>
      <w:pPr>
        <w:tabs>
          <w:tab w:val="left" w:pos="1140"/>
        </w:tabs>
        <w:ind w:left="726" w:hanging="363"/>
      </w:pPr>
      <w:rPr>
        <w:rFonts w:hint="eastAsia" w:cs="Times New Roman"/>
      </w:rPr>
    </w:lvl>
    <w:lvl w:ilvl="4" w:tentative="0">
      <w:start w:val="1"/>
      <w:numFmt w:val="lowerLetter"/>
      <w:lvlText w:val="%5)"/>
      <w:lvlJc w:val="left"/>
      <w:pPr>
        <w:tabs>
          <w:tab w:val="left" w:pos="1140"/>
        </w:tabs>
        <w:ind w:left="726" w:hanging="363"/>
      </w:pPr>
      <w:rPr>
        <w:rFonts w:hint="eastAsia" w:cs="Times New Roman"/>
      </w:rPr>
    </w:lvl>
    <w:lvl w:ilvl="5" w:tentative="0">
      <w:start w:val="1"/>
      <w:numFmt w:val="lowerRoman"/>
      <w:lvlText w:val="%6."/>
      <w:lvlJc w:val="right"/>
      <w:pPr>
        <w:tabs>
          <w:tab w:val="left" w:pos="1140"/>
        </w:tabs>
        <w:ind w:left="726" w:hanging="363"/>
      </w:pPr>
      <w:rPr>
        <w:rFonts w:hint="eastAsia" w:cs="Times New Roman"/>
      </w:rPr>
    </w:lvl>
    <w:lvl w:ilvl="6" w:tentative="0">
      <w:start w:val="1"/>
      <w:numFmt w:val="decimal"/>
      <w:lvlText w:val="%7."/>
      <w:lvlJc w:val="left"/>
      <w:pPr>
        <w:tabs>
          <w:tab w:val="left" w:pos="1140"/>
        </w:tabs>
        <w:ind w:left="726" w:hanging="363"/>
      </w:pPr>
      <w:rPr>
        <w:rFonts w:hint="eastAsia" w:cs="Times New Roman"/>
      </w:rPr>
    </w:lvl>
    <w:lvl w:ilvl="7" w:tentative="0">
      <w:start w:val="1"/>
      <w:numFmt w:val="lowerLetter"/>
      <w:lvlText w:val="%8)"/>
      <w:lvlJc w:val="left"/>
      <w:pPr>
        <w:tabs>
          <w:tab w:val="left" w:pos="1140"/>
        </w:tabs>
        <w:ind w:left="726" w:hanging="363"/>
      </w:pPr>
      <w:rPr>
        <w:rFonts w:hint="eastAsia" w:cs="Times New Roman"/>
      </w:rPr>
    </w:lvl>
    <w:lvl w:ilvl="8" w:tentative="0">
      <w:start w:val="1"/>
      <w:numFmt w:val="lowerRoman"/>
      <w:lvlText w:val="%9."/>
      <w:lvlJc w:val="right"/>
      <w:pPr>
        <w:tabs>
          <w:tab w:val="left" w:pos="1140"/>
        </w:tabs>
        <w:ind w:left="726" w:hanging="363"/>
      </w:pPr>
      <w:rPr>
        <w:rFonts w:hint="eastAsia" w:cs="Times New Roman"/>
      </w:rPr>
    </w:lvl>
  </w:abstractNum>
  <w:num w:numId="1">
    <w:abstractNumId w:val="8"/>
  </w:num>
  <w:num w:numId="2">
    <w:abstractNumId w:val="5"/>
  </w:num>
  <w:num w:numId="3">
    <w:abstractNumId w:val="7"/>
  </w:num>
  <w:num w:numId="4">
    <w:abstractNumId w:val="2"/>
  </w:num>
  <w:num w:numId="5">
    <w:abstractNumId w:val="9"/>
  </w:num>
  <w:num w:numId="6">
    <w:abstractNumId w:val="16"/>
  </w:num>
  <w:num w:numId="7">
    <w:abstractNumId w:val="0"/>
  </w:num>
  <w:num w:numId="8">
    <w:abstractNumId w:val="10"/>
  </w:num>
  <w:num w:numId="9">
    <w:abstractNumId w:val="4"/>
  </w:num>
  <w:num w:numId="10">
    <w:abstractNumId w:val="14"/>
  </w:num>
  <w:num w:numId="11">
    <w:abstractNumId w:val="12"/>
  </w:num>
  <w:num w:numId="12">
    <w:abstractNumId w:val="15"/>
  </w:num>
  <w:num w:numId="13">
    <w:abstractNumId w:val="6"/>
  </w:num>
  <w:num w:numId="14">
    <w:abstractNumId w:val="1"/>
  </w:num>
  <w:num w:numId="15">
    <w:abstractNumId w:val="3"/>
  </w:num>
  <w:num w:numId="16">
    <w:abstractNumId w:val="13"/>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2Q1ZTM5NjVkZjI1NDVhYzkwNzliMDc3YjQ0MjJiZGIifQ=="/>
  </w:docVars>
  <w:rsids>
    <w:rsidRoot w:val="00035925"/>
    <w:rsid w:val="00000244"/>
    <w:rsid w:val="00000757"/>
    <w:rsid w:val="000017DF"/>
    <w:rsid w:val="0000185F"/>
    <w:rsid w:val="00001CF3"/>
    <w:rsid w:val="0000259B"/>
    <w:rsid w:val="00003423"/>
    <w:rsid w:val="00005177"/>
    <w:rsid w:val="0000586F"/>
    <w:rsid w:val="000076C5"/>
    <w:rsid w:val="00013D86"/>
    <w:rsid w:val="00013E02"/>
    <w:rsid w:val="000154AB"/>
    <w:rsid w:val="00015AF5"/>
    <w:rsid w:val="000211CB"/>
    <w:rsid w:val="0002143C"/>
    <w:rsid w:val="00023CEF"/>
    <w:rsid w:val="00025A65"/>
    <w:rsid w:val="00026C31"/>
    <w:rsid w:val="00027280"/>
    <w:rsid w:val="000320A7"/>
    <w:rsid w:val="00032151"/>
    <w:rsid w:val="00032632"/>
    <w:rsid w:val="00033071"/>
    <w:rsid w:val="00033C1A"/>
    <w:rsid w:val="0003509F"/>
    <w:rsid w:val="000354BF"/>
    <w:rsid w:val="00035925"/>
    <w:rsid w:val="00036433"/>
    <w:rsid w:val="00037C86"/>
    <w:rsid w:val="0004101E"/>
    <w:rsid w:val="000416D8"/>
    <w:rsid w:val="00042BC4"/>
    <w:rsid w:val="00044530"/>
    <w:rsid w:val="00045463"/>
    <w:rsid w:val="00050025"/>
    <w:rsid w:val="0005197B"/>
    <w:rsid w:val="0005332D"/>
    <w:rsid w:val="00054577"/>
    <w:rsid w:val="00054AC7"/>
    <w:rsid w:val="000550ED"/>
    <w:rsid w:val="00055882"/>
    <w:rsid w:val="00055DF6"/>
    <w:rsid w:val="00056024"/>
    <w:rsid w:val="00056A6C"/>
    <w:rsid w:val="000572F3"/>
    <w:rsid w:val="000601ED"/>
    <w:rsid w:val="00061E36"/>
    <w:rsid w:val="000630BC"/>
    <w:rsid w:val="00063429"/>
    <w:rsid w:val="0006372C"/>
    <w:rsid w:val="00063CBB"/>
    <w:rsid w:val="00063DBF"/>
    <w:rsid w:val="00064F70"/>
    <w:rsid w:val="000651C3"/>
    <w:rsid w:val="00065B5B"/>
    <w:rsid w:val="00065E66"/>
    <w:rsid w:val="00066209"/>
    <w:rsid w:val="00066540"/>
    <w:rsid w:val="00067CDF"/>
    <w:rsid w:val="00070A35"/>
    <w:rsid w:val="00073499"/>
    <w:rsid w:val="00074FBE"/>
    <w:rsid w:val="00076081"/>
    <w:rsid w:val="0008217E"/>
    <w:rsid w:val="0008360E"/>
    <w:rsid w:val="00083A09"/>
    <w:rsid w:val="00083D49"/>
    <w:rsid w:val="00084B56"/>
    <w:rsid w:val="00085688"/>
    <w:rsid w:val="00085FA0"/>
    <w:rsid w:val="00087291"/>
    <w:rsid w:val="0009005E"/>
    <w:rsid w:val="000904EE"/>
    <w:rsid w:val="00090C89"/>
    <w:rsid w:val="00091BF8"/>
    <w:rsid w:val="00092232"/>
    <w:rsid w:val="00092857"/>
    <w:rsid w:val="00092D81"/>
    <w:rsid w:val="000942DF"/>
    <w:rsid w:val="00094513"/>
    <w:rsid w:val="00095145"/>
    <w:rsid w:val="00096C39"/>
    <w:rsid w:val="00097BDC"/>
    <w:rsid w:val="000A20A9"/>
    <w:rsid w:val="000A2398"/>
    <w:rsid w:val="000A2718"/>
    <w:rsid w:val="000A3703"/>
    <w:rsid w:val="000A48B1"/>
    <w:rsid w:val="000A50DF"/>
    <w:rsid w:val="000A69EC"/>
    <w:rsid w:val="000A7E74"/>
    <w:rsid w:val="000B3143"/>
    <w:rsid w:val="000B3E2F"/>
    <w:rsid w:val="000B6603"/>
    <w:rsid w:val="000C1796"/>
    <w:rsid w:val="000C33F1"/>
    <w:rsid w:val="000C3D19"/>
    <w:rsid w:val="000C4051"/>
    <w:rsid w:val="000C5336"/>
    <w:rsid w:val="000C57B0"/>
    <w:rsid w:val="000C5960"/>
    <w:rsid w:val="000C6B05"/>
    <w:rsid w:val="000C6DD6"/>
    <w:rsid w:val="000C73D4"/>
    <w:rsid w:val="000C75D5"/>
    <w:rsid w:val="000D00EB"/>
    <w:rsid w:val="000D058D"/>
    <w:rsid w:val="000D0635"/>
    <w:rsid w:val="000D08F8"/>
    <w:rsid w:val="000D1625"/>
    <w:rsid w:val="000D2414"/>
    <w:rsid w:val="000D3D4C"/>
    <w:rsid w:val="000D4F51"/>
    <w:rsid w:val="000D68D9"/>
    <w:rsid w:val="000D718B"/>
    <w:rsid w:val="000E0000"/>
    <w:rsid w:val="000E0C46"/>
    <w:rsid w:val="000E1200"/>
    <w:rsid w:val="000E310C"/>
    <w:rsid w:val="000E48D8"/>
    <w:rsid w:val="000E65FF"/>
    <w:rsid w:val="000E75B3"/>
    <w:rsid w:val="000E7BC6"/>
    <w:rsid w:val="000F030C"/>
    <w:rsid w:val="000F07A4"/>
    <w:rsid w:val="000F102F"/>
    <w:rsid w:val="000F129C"/>
    <w:rsid w:val="000F42CE"/>
    <w:rsid w:val="000F520E"/>
    <w:rsid w:val="000F6E8B"/>
    <w:rsid w:val="00102320"/>
    <w:rsid w:val="001025EB"/>
    <w:rsid w:val="00103A42"/>
    <w:rsid w:val="001056DE"/>
    <w:rsid w:val="00105A81"/>
    <w:rsid w:val="00106B23"/>
    <w:rsid w:val="00110A1C"/>
    <w:rsid w:val="001112F6"/>
    <w:rsid w:val="001124C0"/>
    <w:rsid w:val="001129F2"/>
    <w:rsid w:val="00113D82"/>
    <w:rsid w:val="00114FD8"/>
    <w:rsid w:val="0011658E"/>
    <w:rsid w:val="0011781E"/>
    <w:rsid w:val="00120F00"/>
    <w:rsid w:val="00123A1F"/>
    <w:rsid w:val="00124E32"/>
    <w:rsid w:val="001252A1"/>
    <w:rsid w:val="00125656"/>
    <w:rsid w:val="001257F4"/>
    <w:rsid w:val="001276DA"/>
    <w:rsid w:val="001308D2"/>
    <w:rsid w:val="0013175F"/>
    <w:rsid w:val="00132434"/>
    <w:rsid w:val="001328ED"/>
    <w:rsid w:val="00132E51"/>
    <w:rsid w:val="00133105"/>
    <w:rsid w:val="00133C48"/>
    <w:rsid w:val="00134000"/>
    <w:rsid w:val="00135502"/>
    <w:rsid w:val="001366F0"/>
    <w:rsid w:val="00136E30"/>
    <w:rsid w:val="0013774D"/>
    <w:rsid w:val="00141938"/>
    <w:rsid w:val="001423C2"/>
    <w:rsid w:val="001424CB"/>
    <w:rsid w:val="0014351F"/>
    <w:rsid w:val="001445B7"/>
    <w:rsid w:val="00144DED"/>
    <w:rsid w:val="001467D4"/>
    <w:rsid w:val="00146930"/>
    <w:rsid w:val="0015008D"/>
    <w:rsid w:val="001501FF"/>
    <w:rsid w:val="00150A27"/>
    <w:rsid w:val="00150CDA"/>
    <w:rsid w:val="001512B4"/>
    <w:rsid w:val="0015136A"/>
    <w:rsid w:val="001516F8"/>
    <w:rsid w:val="00161E2D"/>
    <w:rsid w:val="001620A5"/>
    <w:rsid w:val="00163C6F"/>
    <w:rsid w:val="00163E13"/>
    <w:rsid w:val="00164E53"/>
    <w:rsid w:val="0016579C"/>
    <w:rsid w:val="00166547"/>
    <w:rsid w:val="001668FD"/>
    <w:rsid w:val="0016699D"/>
    <w:rsid w:val="001674DE"/>
    <w:rsid w:val="00173742"/>
    <w:rsid w:val="001741B7"/>
    <w:rsid w:val="00174C5F"/>
    <w:rsid w:val="00175159"/>
    <w:rsid w:val="00176208"/>
    <w:rsid w:val="00180135"/>
    <w:rsid w:val="0018211B"/>
    <w:rsid w:val="00182D4A"/>
    <w:rsid w:val="001840D3"/>
    <w:rsid w:val="0018426F"/>
    <w:rsid w:val="00184F3B"/>
    <w:rsid w:val="00187711"/>
    <w:rsid w:val="001900F8"/>
    <w:rsid w:val="00191258"/>
    <w:rsid w:val="00192042"/>
    <w:rsid w:val="00192680"/>
    <w:rsid w:val="00193037"/>
    <w:rsid w:val="00193A2C"/>
    <w:rsid w:val="00194AE0"/>
    <w:rsid w:val="00196090"/>
    <w:rsid w:val="001971A1"/>
    <w:rsid w:val="00197A8E"/>
    <w:rsid w:val="00197C7D"/>
    <w:rsid w:val="00197D4D"/>
    <w:rsid w:val="001A00F0"/>
    <w:rsid w:val="001A06DD"/>
    <w:rsid w:val="001A13C8"/>
    <w:rsid w:val="001A1647"/>
    <w:rsid w:val="001A288E"/>
    <w:rsid w:val="001A38ED"/>
    <w:rsid w:val="001A3EA4"/>
    <w:rsid w:val="001A4D71"/>
    <w:rsid w:val="001A725F"/>
    <w:rsid w:val="001A776D"/>
    <w:rsid w:val="001B02F9"/>
    <w:rsid w:val="001B06C1"/>
    <w:rsid w:val="001B16D4"/>
    <w:rsid w:val="001B1748"/>
    <w:rsid w:val="001B26D3"/>
    <w:rsid w:val="001B4726"/>
    <w:rsid w:val="001B49BF"/>
    <w:rsid w:val="001B4B36"/>
    <w:rsid w:val="001B5E43"/>
    <w:rsid w:val="001B64D5"/>
    <w:rsid w:val="001B6DC2"/>
    <w:rsid w:val="001C0041"/>
    <w:rsid w:val="001C149C"/>
    <w:rsid w:val="001C21A0"/>
    <w:rsid w:val="001C21AC"/>
    <w:rsid w:val="001C45DF"/>
    <w:rsid w:val="001C47BA"/>
    <w:rsid w:val="001C59EA"/>
    <w:rsid w:val="001C6C43"/>
    <w:rsid w:val="001C7012"/>
    <w:rsid w:val="001D17C1"/>
    <w:rsid w:val="001D325B"/>
    <w:rsid w:val="001D406C"/>
    <w:rsid w:val="001D41EE"/>
    <w:rsid w:val="001D5A1D"/>
    <w:rsid w:val="001D5CD3"/>
    <w:rsid w:val="001E0380"/>
    <w:rsid w:val="001E0F81"/>
    <w:rsid w:val="001E10BE"/>
    <w:rsid w:val="001E13B1"/>
    <w:rsid w:val="001E18C2"/>
    <w:rsid w:val="001E21AE"/>
    <w:rsid w:val="001E2BCB"/>
    <w:rsid w:val="001E6218"/>
    <w:rsid w:val="001E6A81"/>
    <w:rsid w:val="001F3974"/>
    <w:rsid w:val="001F3A19"/>
    <w:rsid w:val="001F3F55"/>
    <w:rsid w:val="001F6E05"/>
    <w:rsid w:val="001F7DAF"/>
    <w:rsid w:val="00200D22"/>
    <w:rsid w:val="002020DE"/>
    <w:rsid w:val="0020347E"/>
    <w:rsid w:val="002075CD"/>
    <w:rsid w:val="002114AC"/>
    <w:rsid w:val="00211581"/>
    <w:rsid w:val="002119CF"/>
    <w:rsid w:val="00211CB5"/>
    <w:rsid w:val="0021295F"/>
    <w:rsid w:val="00212FBB"/>
    <w:rsid w:val="00213955"/>
    <w:rsid w:val="00214DD3"/>
    <w:rsid w:val="00214F59"/>
    <w:rsid w:val="00215FDD"/>
    <w:rsid w:val="00217B84"/>
    <w:rsid w:val="002202B7"/>
    <w:rsid w:val="002209C3"/>
    <w:rsid w:val="00223F5F"/>
    <w:rsid w:val="002242D9"/>
    <w:rsid w:val="0022511B"/>
    <w:rsid w:val="0022524C"/>
    <w:rsid w:val="00227280"/>
    <w:rsid w:val="002310F0"/>
    <w:rsid w:val="002314B4"/>
    <w:rsid w:val="00234467"/>
    <w:rsid w:val="00235E34"/>
    <w:rsid w:val="002371B1"/>
    <w:rsid w:val="002377ED"/>
    <w:rsid w:val="0023781E"/>
    <w:rsid w:val="00237A92"/>
    <w:rsid w:val="00237D8D"/>
    <w:rsid w:val="00241DA2"/>
    <w:rsid w:val="00245114"/>
    <w:rsid w:val="002458F7"/>
    <w:rsid w:val="00245ABC"/>
    <w:rsid w:val="00245F6C"/>
    <w:rsid w:val="00247F28"/>
    <w:rsid w:val="00247FEE"/>
    <w:rsid w:val="00250E7D"/>
    <w:rsid w:val="00251881"/>
    <w:rsid w:val="00251F0D"/>
    <w:rsid w:val="00253152"/>
    <w:rsid w:val="00253DE7"/>
    <w:rsid w:val="002565D5"/>
    <w:rsid w:val="00261B32"/>
    <w:rsid w:val="002622C0"/>
    <w:rsid w:val="00262690"/>
    <w:rsid w:val="002645BF"/>
    <w:rsid w:val="00265FE3"/>
    <w:rsid w:val="00266B42"/>
    <w:rsid w:val="002678AB"/>
    <w:rsid w:val="0027046C"/>
    <w:rsid w:val="00271831"/>
    <w:rsid w:val="00271981"/>
    <w:rsid w:val="00272073"/>
    <w:rsid w:val="00274EBF"/>
    <w:rsid w:val="002778AE"/>
    <w:rsid w:val="00277B75"/>
    <w:rsid w:val="00281F06"/>
    <w:rsid w:val="0028269A"/>
    <w:rsid w:val="00283078"/>
    <w:rsid w:val="00283590"/>
    <w:rsid w:val="00284FE1"/>
    <w:rsid w:val="00286973"/>
    <w:rsid w:val="0029269B"/>
    <w:rsid w:val="00294E70"/>
    <w:rsid w:val="002A18EA"/>
    <w:rsid w:val="002A1924"/>
    <w:rsid w:val="002A7420"/>
    <w:rsid w:val="002A768A"/>
    <w:rsid w:val="002A785F"/>
    <w:rsid w:val="002B0F12"/>
    <w:rsid w:val="002B10BB"/>
    <w:rsid w:val="002B1308"/>
    <w:rsid w:val="002B148D"/>
    <w:rsid w:val="002B2264"/>
    <w:rsid w:val="002B2847"/>
    <w:rsid w:val="002B2B95"/>
    <w:rsid w:val="002B4554"/>
    <w:rsid w:val="002B5979"/>
    <w:rsid w:val="002B6B38"/>
    <w:rsid w:val="002B6E48"/>
    <w:rsid w:val="002B7A33"/>
    <w:rsid w:val="002C4116"/>
    <w:rsid w:val="002C5DDD"/>
    <w:rsid w:val="002C72D8"/>
    <w:rsid w:val="002C7D0C"/>
    <w:rsid w:val="002D07F8"/>
    <w:rsid w:val="002D11FA"/>
    <w:rsid w:val="002D1DF6"/>
    <w:rsid w:val="002D3A88"/>
    <w:rsid w:val="002D420C"/>
    <w:rsid w:val="002D4E9E"/>
    <w:rsid w:val="002D62F3"/>
    <w:rsid w:val="002D712C"/>
    <w:rsid w:val="002D7EC2"/>
    <w:rsid w:val="002E0477"/>
    <w:rsid w:val="002E0DDF"/>
    <w:rsid w:val="002E1E6E"/>
    <w:rsid w:val="002E1ED3"/>
    <w:rsid w:val="002E2906"/>
    <w:rsid w:val="002E31F4"/>
    <w:rsid w:val="002E3E27"/>
    <w:rsid w:val="002E5635"/>
    <w:rsid w:val="002E64C3"/>
    <w:rsid w:val="002E6A2C"/>
    <w:rsid w:val="002E7AB0"/>
    <w:rsid w:val="002F1D8C"/>
    <w:rsid w:val="002F21DA"/>
    <w:rsid w:val="002F283E"/>
    <w:rsid w:val="002F2E1B"/>
    <w:rsid w:val="002F34A7"/>
    <w:rsid w:val="002F36D1"/>
    <w:rsid w:val="002F54B2"/>
    <w:rsid w:val="002F6DA9"/>
    <w:rsid w:val="002F746A"/>
    <w:rsid w:val="00301C3B"/>
    <w:rsid w:val="00301F39"/>
    <w:rsid w:val="00302357"/>
    <w:rsid w:val="00303658"/>
    <w:rsid w:val="00304B61"/>
    <w:rsid w:val="00304EBD"/>
    <w:rsid w:val="00305055"/>
    <w:rsid w:val="00311410"/>
    <w:rsid w:val="00315403"/>
    <w:rsid w:val="00315ACD"/>
    <w:rsid w:val="00316796"/>
    <w:rsid w:val="003168DD"/>
    <w:rsid w:val="00320757"/>
    <w:rsid w:val="00320E83"/>
    <w:rsid w:val="00320EE5"/>
    <w:rsid w:val="003218DF"/>
    <w:rsid w:val="00322282"/>
    <w:rsid w:val="0032240A"/>
    <w:rsid w:val="0032465D"/>
    <w:rsid w:val="00325836"/>
    <w:rsid w:val="00325926"/>
    <w:rsid w:val="00327A8A"/>
    <w:rsid w:val="00332923"/>
    <w:rsid w:val="003339EB"/>
    <w:rsid w:val="003350CC"/>
    <w:rsid w:val="00336610"/>
    <w:rsid w:val="00336712"/>
    <w:rsid w:val="00337F5F"/>
    <w:rsid w:val="00340E56"/>
    <w:rsid w:val="003425B5"/>
    <w:rsid w:val="00343F73"/>
    <w:rsid w:val="0034451A"/>
    <w:rsid w:val="00344982"/>
    <w:rsid w:val="00344DEA"/>
    <w:rsid w:val="00345060"/>
    <w:rsid w:val="0034697C"/>
    <w:rsid w:val="00346A94"/>
    <w:rsid w:val="00347358"/>
    <w:rsid w:val="00347A99"/>
    <w:rsid w:val="0035259A"/>
    <w:rsid w:val="0035323B"/>
    <w:rsid w:val="00354648"/>
    <w:rsid w:val="0035602F"/>
    <w:rsid w:val="003564C2"/>
    <w:rsid w:val="00356835"/>
    <w:rsid w:val="003609D2"/>
    <w:rsid w:val="00360B7B"/>
    <w:rsid w:val="00362198"/>
    <w:rsid w:val="00363F22"/>
    <w:rsid w:val="00365F53"/>
    <w:rsid w:val="003660FC"/>
    <w:rsid w:val="003664E1"/>
    <w:rsid w:val="00367424"/>
    <w:rsid w:val="00371AF2"/>
    <w:rsid w:val="0037274F"/>
    <w:rsid w:val="00372751"/>
    <w:rsid w:val="00372A86"/>
    <w:rsid w:val="00373111"/>
    <w:rsid w:val="003753BB"/>
    <w:rsid w:val="00375564"/>
    <w:rsid w:val="00375F2B"/>
    <w:rsid w:val="00377F54"/>
    <w:rsid w:val="00380B54"/>
    <w:rsid w:val="00380D78"/>
    <w:rsid w:val="00382CD1"/>
    <w:rsid w:val="00382ED0"/>
    <w:rsid w:val="00383191"/>
    <w:rsid w:val="00385DCE"/>
    <w:rsid w:val="0038630B"/>
    <w:rsid w:val="00386CC2"/>
    <w:rsid w:val="00386DED"/>
    <w:rsid w:val="003912DE"/>
    <w:rsid w:val="003912E7"/>
    <w:rsid w:val="003933E2"/>
    <w:rsid w:val="00393947"/>
    <w:rsid w:val="00396945"/>
    <w:rsid w:val="00396B09"/>
    <w:rsid w:val="00397FFB"/>
    <w:rsid w:val="003A2275"/>
    <w:rsid w:val="003A30D1"/>
    <w:rsid w:val="003A4182"/>
    <w:rsid w:val="003A43D3"/>
    <w:rsid w:val="003A4540"/>
    <w:rsid w:val="003A4F6E"/>
    <w:rsid w:val="003A5575"/>
    <w:rsid w:val="003A6A4F"/>
    <w:rsid w:val="003A7088"/>
    <w:rsid w:val="003A7B21"/>
    <w:rsid w:val="003B00DF"/>
    <w:rsid w:val="003B0975"/>
    <w:rsid w:val="003B1275"/>
    <w:rsid w:val="003B1778"/>
    <w:rsid w:val="003B2E4F"/>
    <w:rsid w:val="003B3AA0"/>
    <w:rsid w:val="003B3D5C"/>
    <w:rsid w:val="003B6089"/>
    <w:rsid w:val="003B6530"/>
    <w:rsid w:val="003B6959"/>
    <w:rsid w:val="003B717D"/>
    <w:rsid w:val="003B7E81"/>
    <w:rsid w:val="003C11CB"/>
    <w:rsid w:val="003C2E45"/>
    <w:rsid w:val="003C2E4D"/>
    <w:rsid w:val="003C5207"/>
    <w:rsid w:val="003C75F3"/>
    <w:rsid w:val="003C78A3"/>
    <w:rsid w:val="003C791C"/>
    <w:rsid w:val="003D0084"/>
    <w:rsid w:val="003D1988"/>
    <w:rsid w:val="003D1D07"/>
    <w:rsid w:val="003D2020"/>
    <w:rsid w:val="003D4439"/>
    <w:rsid w:val="003D4B06"/>
    <w:rsid w:val="003D5D3B"/>
    <w:rsid w:val="003D6244"/>
    <w:rsid w:val="003E1815"/>
    <w:rsid w:val="003E1867"/>
    <w:rsid w:val="003E2013"/>
    <w:rsid w:val="003E2226"/>
    <w:rsid w:val="003E2F00"/>
    <w:rsid w:val="003E49AF"/>
    <w:rsid w:val="003E4D2F"/>
    <w:rsid w:val="003E5545"/>
    <w:rsid w:val="003E5729"/>
    <w:rsid w:val="003F0E15"/>
    <w:rsid w:val="003F1C0A"/>
    <w:rsid w:val="003F407F"/>
    <w:rsid w:val="003F4EE0"/>
    <w:rsid w:val="003F4F88"/>
    <w:rsid w:val="003F6EDA"/>
    <w:rsid w:val="003F7EAA"/>
    <w:rsid w:val="00402153"/>
    <w:rsid w:val="00402FC1"/>
    <w:rsid w:val="00405B79"/>
    <w:rsid w:val="00410C89"/>
    <w:rsid w:val="00412D11"/>
    <w:rsid w:val="004139C9"/>
    <w:rsid w:val="00414BF9"/>
    <w:rsid w:val="00415655"/>
    <w:rsid w:val="00416877"/>
    <w:rsid w:val="00416904"/>
    <w:rsid w:val="0042386D"/>
    <w:rsid w:val="004240BD"/>
    <w:rsid w:val="00425082"/>
    <w:rsid w:val="004273ED"/>
    <w:rsid w:val="00427E3E"/>
    <w:rsid w:val="00430C6B"/>
    <w:rsid w:val="00431752"/>
    <w:rsid w:val="00431A79"/>
    <w:rsid w:val="00431DEB"/>
    <w:rsid w:val="00432776"/>
    <w:rsid w:val="0043290A"/>
    <w:rsid w:val="00433DDD"/>
    <w:rsid w:val="00434C90"/>
    <w:rsid w:val="0043502C"/>
    <w:rsid w:val="004358AE"/>
    <w:rsid w:val="004362ED"/>
    <w:rsid w:val="00436D56"/>
    <w:rsid w:val="00437814"/>
    <w:rsid w:val="00437D44"/>
    <w:rsid w:val="0044233F"/>
    <w:rsid w:val="00443DC6"/>
    <w:rsid w:val="00444554"/>
    <w:rsid w:val="0044478D"/>
    <w:rsid w:val="0044483A"/>
    <w:rsid w:val="00444CFE"/>
    <w:rsid w:val="00444EF0"/>
    <w:rsid w:val="004458AD"/>
    <w:rsid w:val="00446B29"/>
    <w:rsid w:val="00450CDA"/>
    <w:rsid w:val="00453F9A"/>
    <w:rsid w:val="00454D14"/>
    <w:rsid w:val="00455D1C"/>
    <w:rsid w:val="00457F39"/>
    <w:rsid w:val="00464BA8"/>
    <w:rsid w:val="00465780"/>
    <w:rsid w:val="00466FC9"/>
    <w:rsid w:val="00470332"/>
    <w:rsid w:val="00471E91"/>
    <w:rsid w:val="00472012"/>
    <w:rsid w:val="0047234E"/>
    <w:rsid w:val="00472AAD"/>
    <w:rsid w:val="00473322"/>
    <w:rsid w:val="004733C3"/>
    <w:rsid w:val="004740E9"/>
    <w:rsid w:val="00474675"/>
    <w:rsid w:val="0047470C"/>
    <w:rsid w:val="00475632"/>
    <w:rsid w:val="004760DE"/>
    <w:rsid w:val="00476135"/>
    <w:rsid w:val="00480B65"/>
    <w:rsid w:val="004848D3"/>
    <w:rsid w:val="00485BA5"/>
    <w:rsid w:val="0048601F"/>
    <w:rsid w:val="00490BD0"/>
    <w:rsid w:val="004917A1"/>
    <w:rsid w:val="0049227F"/>
    <w:rsid w:val="0049380C"/>
    <w:rsid w:val="00494072"/>
    <w:rsid w:val="0049424D"/>
    <w:rsid w:val="004942D0"/>
    <w:rsid w:val="0049448F"/>
    <w:rsid w:val="004A01AC"/>
    <w:rsid w:val="004A041D"/>
    <w:rsid w:val="004A1760"/>
    <w:rsid w:val="004A1B2B"/>
    <w:rsid w:val="004A1D59"/>
    <w:rsid w:val="004A22CE"/>
    <w:rsid w:val="004A35F9"/>
    <w:rsid w:val="004A3901"/>
    <w:rsid w:val="004A3C03"/>
    <w:rsid w:val="004A4227"/>
    <w:rsid w:val="004A4779"/>
    <w:rsid w:val="004A71E5"/>
    <w:rsid w:val="004A7527"/>
    <w:rsid w:val="004B0420"/>
    <w:rsid w:val="004B24C1"/>
    <w:rsid w:val="004B2D82"/>
    <w:rsid w:val="004C0E83"/>
    <w:rsid w:val="004C1DAA"/>
    <w:rsid w:val="004C292F"/>
    <w:rsid w:val="004C38FC"/>
    <w:rsid w:val="004C4CF9"/>
    <w:rsid w:val="004C5DA6"/>
    <w:rsid w:val="004C6BB5"/>
    <w:rsid w:val="004C6C0C"/>
    <w:rsid w:val="004C783B"/>
    <w:rsid w:val="004C78AD"/>
    <w:rsid w:val="004D008E"/>
    <w:rsid w:val="004D0844"/>
    <w:rsid w:val="004D1535"/>
    <w:rsid w:val="004D3335"/>
    <w:rsid w:val="004D37A2"/>
    <w:rsid w:val="004D3F6F"/>
    <w:rsid w:val="004D4160"/>
    <w:rsid w:val="004D4C47"/>
    <w:rsid w:val="004D5130"/>
    <w:rsid w:val="004D5319"/>
    <w:rsid w:val="004E319A"/>
    <w:rsid w:val="004E36F7"/>
    <w:rsid w:val="004F13F4"/>
    <w:rsid w:val="004F26C3"/>
    <w:rsid w:val="004F38F0"/>
    <w:rsid w:val="004F4AED"/>
    <w:rsid w:val="004F5E81"/>
    <w:rsid w:val="004F6EEE"/>
    <w:rsid w:val="005006B5"/>
    <w:rsid w:val="00501B00"/>
    <w:rsid w:val="0050364A"/>
    <w:rsid w:val="0050426B"/>
    <w:rsid w:val="005073B1"/>
    <w:rsid w:val="0050761D"/>
    <w:rsid w:val="0050794D"/>
    <w:rsid w:val="005079C6"/>
    <w:rsid w:val="00510280"/>
    <w:rsid w:val="00513D73"/>
    <w:rsid w:val="00514053"/>
    <w:rsid w:val="005142D9"/>
    <w:rsid w:val="00514A43"/>
    <w:rsid w:val="00515407"/>
    <w:rsid w:val="005174E5"/>
    <w:rsid w:val="0052137B"/>
    <w:rsid w:val="00522393"/>
    <w:rsid w:val="00522620"/>
    <w:rsid w:val="00525656"/>
    <w:rsid w:val="00527706"/>
    <w:rsid w:val="00527BE0"/>
    <w:rsid w:val="00530FA2"/>
    <w:rsid w:val="005315D4"/>
    <w:rsid w:val="00531E7F"/>
    <w:rsid w:val="00532768"/>
    <w:rsid w:val="0053490D"/>
    <w:rsid w:val="00534C02"/>
    <w:rsid w:val="00535574"/>
    <w:rsid w:val="005359B5"/>
    <w:rsid w:val="00535AFE"/>
    <w:rsid w:val="00537B7A"/>
    <w:rsid w:val="0054095D"/>
    <w:rsid w:val="0054174A"/>
    <w:rsid w:val="0054264B"/>
    <w:rsid w:val="00542C75"/>
    <w:rsid w:val="00543786"/>
    <w:rsid w:val="005441F0"/>
    <w:rsid w:val="00544501"/>
    <w:rsid w:val="0054561D"/>
    <w:rsid w:val="005463B2"/>
    <w:rsid w:val="005464BB"/>
    <w:rsid w:val="00546B43"/>
    <w:rsid w:val="00547C9F"/>
    <w:rsid w:val="00551458"/>
    <w:rsid w:val="00551F35"/>
    <w:rsid w:val="00551F39"/>
    <w:rsid w:val="00552C48"/>
    <w:rsid w:val="005533D7"/>
    <w:rsid w:val="00553585"/>
    <w:rsid w:val="005553A2"/>
    <w:rsid w:val="0055548C"/>
    <w:rsid w:val="00555DA9"/>
    <w:rsid w:val="00561007"/>
    <w:rsid w:val="00562007"/>
    <w:rsid w:val="00564E5A"/>
    <w:rsid w:val="00565794"/>
    <w:rsid w:val="00567D86"/>
    <w:rsid w:val="005703DE"/>
    <w:rsid w:val="00570728"/>
    <w:rsid w:val="00575A78"/>
    <w:rsid w:val="00576A95"/>
    <w:rsid w:val="00576CCE"/>
    <w:rsid w:val="00577A0A"/>
    <w:rsid w:val="00580115"/>
    <w:rsid w:val="005802DF"/>
    <w:rsid w:val="005809DC"/>
    <w:rsid w:val="0058122B"/>
    <w:rsid w:val="0058464E"/>
    <w:rsid w:val="00584D19"/>
    <w:rsid w:val="00586C9A"/>
    <w:rsid w:val="00587268"/>
    <w:rsid w:val="00587B45"/>
    <w:rsid w:val="00590A36"/>
    <w:rsid w:val="00592B09"/>
    <w:rsid w:val="0059706D"/>
    <w:rsid w:val="005A00B0"/>
    <w:rsid w:val="005A01CB"/>
    <w:rsid w:val="005A15CE"/>
    <w:rsid w:val="005A1DA1"/>
    <w:rsid w:val="005A2CC8"/>
    <w:rsid w:val="005A370C"/>
    <w:rsid w:val="005A58FF"/>
    <w:rsid w:val="005A5EAF"/>
    <w:rsid w:val="005A64C0"/>
    <w:rsid w:val="005B103D"/>
    <w:rsid w:val="005B1B67"/>
    <w:rsid w:val="005B295F"/>
    <w:rsid w:val="005B3C11"/>
    <w:rsid w:val="005B4548"/>
    <w:rsid w:val="005B49D4"/>
    <w:rsid w:val="005B5189"/>
    <w:rsid w:val="005C1C28"/>
    <w:rsid w:val="005C21EA"/>
    <w:rsid w:val="005C2D25"/>
    <w:rsid w:val="005C34B6"/>
    <w:rsid w:val="005C463F"/>
    <w:rsid w:val="005C474B"/>
    <w:rsid w:val="005C67B9"/>
    <w:rsid w:val="005C6CAF"/>
    <w:rsid w:val="005C6DB5"/>
    <w:rsid w:val="005C6E85"/>
    <w:rsid w:val="005C701C"/>
    <w:rsid w:val="005D03F5"/>
    <w:rsid w:val="005D1AF8"/>
    <w:rsid w:val="005D38C3"/>
    <w:rsid w:val="005D3D2B"/>
    <w:rsid w:val="005D3F97"/>
    <w:rsid w:val="005D7B3A"/>
    <w:rsid w:val="005E19E7"/>
    <w:rsid w:val="005E244A"/>
    <w:rsid w:val="005E5CEB"/>
    <w:rsid w:val="005E606B"/>
    <w:rsid w:val="005F01C5"/>
    <w:rsid w:val="005F2351"/>
    <w:rsid w:val="005F36B6"/>
    <w:rsid w:val="005F3B0A"/>
    <w:rsid w:val="005F3D2B"/>
    <w:rsid w:val="005F5A6D"/>
    <w:rsid w:val="005F7170"/>
    <w:rsid w:val="005F764F"/>
    <w:rsid w:val="00600720"/>
    <w:rsid w:val="00601F91"/>
    <w:rsid w:val="00602EB9"/>
    <w:rsid w:val="00603BBB"/>
    <w:rsid w:val="00604096"/>
    <w:rsid w:val="0060430B"/>
    <w:rsid w:val="00607358"/>
    <w:rsid w:val="00610879"/>
    <w:rsid w:val="00611F30"/>
    <w:rsid w:val="00614B8F"/>
    <w:rsid w:val="006154E3"/>
    <w:rsid w:val="0061642D"/>
    <w:rsid w:val="006165BA"/>
    <w:rsid w:val="0061716C"/>
    <w:rsid w:val="0061775D"/>
    <w:rsid w:val="00617BD5"/>
    <w:rsid w:val="006219B9"/>
    <w:rsid w:val="00622A9C"/>
    <w:rsid w:val="006243A1"/>
    <w:rsid w:val="00626712"/>
    <w:rsid w:val="00630B24"/>
    <w:rsid w:val="00631F93"/>
    <w:rsid w:val="0063285A"/>
    <w:rsid w:val="00632E56"/>
    <w:rsid w:val="00635727"/>
    <w:rsid w:val="00635BBB"/>
    <w:rsid w:val="00635CBA"/>
    <w:rsid w:val="00636A31"/>
    <w:rsid w:val="00641453"/>
    <w:rsid w:val="0064338B"/>
    <w:rsid w:val="00646542"/>
    <w:rsid w:val="0064694E"/>
    <w:rsid w:val="00647A47"/>
    <w:rsid w:val="006504F4"/>
    <w:rsid w:val="00653ED4"/>
    <w:rsid w:val="00654BC9"/>
    <w:rsid w:val="006552FD"/>
    <w:rsid w:val="00660F3C"/>
    <w:rsid w:val="00661135"/>
    <w:rsid w:val="00662501"/>
    <w:rsid w:val="00662700"/>
    <w:rsid w:val="00663AF3"/>
    <w:rsid w:val="0066443F"/>
    <w:rsid w:val="0066520F"/>
    <w:rsid w:val="006660E0"/>
    <w:rsid w:val="00666B6C"/>
    <w:rsid w:val="00666DA9"/>
    <w:rsid w:val="006676FD"/>
    <w:rsid w:val="006702B1"/>
    <w:rsid w:val="00670C18"/>
    <w:rsid w:val="00672DD0"/>
    <w:rsid w:val="0067300D"/>
    <w:rsid w:val="006734B1"/>
    <w:rsid w:val="00673724"/>
    <w:rsid w:val="00675F4B"/>
    <w:rsid w:val="0067623A"/>
    <w:rsid w:val="006812ED"/>
    <w:rsid w:val="00681CF2"/>
    <w:rsid w:val="00682682"/>
    <w:rsid w:val="00682702"/>
    <w:rsid w:val="006837F1"/>
    <w:rsid w:val="00683D55"/>
    <w:rsid w:val="00687389"/>
    <w:rsid w:val="006879B3"/>
    <w:rsid w:val="00687B52"/>
    <w:rsid w:val="00687D6E"/>
    <w:rsid w:val="006906CD"/>
    <w:rsid w:val="0069076F"/>
    <w:rsid w:val="006919B7"/>
    <w:rsid w:val="00692368"/>
    <w:rsid w:val="00692427"/>
    <w:rsid w:val="00693A44"/>
    <w:rsid w:val="00693F6F"/>
    <w:rsid w:val="006954AE"/>
    <w:rsid w:val="00695D8B"/>
    <w:rsid w:val="006967AE"/>
    <w:rsid w:val="006970EB"/>
    <w:rsid w:val="00697D49"/>
    <w:rsid w:val="006A0B77"/>
    <w:rsid w:val="006A11AA"/>
    <w:rsid w:val="006A1DA4"/>
    <w:rsid w:val="006A1E90"/>
    <w:rsid w:val="006A225C"/>
    <w:rsid w:val="006A2E44"/>
    <w:rsid w:val="006A2EBC"/>
    <w:rsid w:val="006A315C"/>
    <w:rsid w:val="006A3172"/>
    <w:rsid w:val="006A3467"/>
    <w:rsid w:val="006A464C"/>
    <w:rsid w:val="006A5B96"/>
    <w:rsid w:val="006A5EA0"/>
    <w:rsid w:val="006A774D"/>
    <w:rsid w:val="006A783B"/>
    <w:rsid w:val="006A7B33"/>
    <w:rsid w:val="006B0853"/>
    <w:rsid w:val="006B49CA"/>
    <w:rsid w:val="006B4E13"/>
    <w:rsid w:val="006B6B2E"/>
    <w:rsid w:val="006B75DD"/>
    <w:rsid w:val="006C0AB8"/>
    <w:rsid w:val="006C14A2"/>
    <w:rsid w:val="006C2028"/>
    <w:rsid w:val="006C3BC4"/>
    <w:rsid w:val="006C67E0"/>
    <w:rsid w:val="006C6A93"/>
    <w:rsid w:val="006C7ABA"/>
    <w:rsid w:val="006D05F7"/>
    <w:rsid w:val="006D0D60"/>
    <w:rsid w:val="006D0F50"/>
    <w:rsid w:val="006D1122"/>
    <w:rsid w:val="006D1E20"/>
    <w:rsid w:val="006D213A"/>
    <w:rsid w:val="006D2D98"/>
    <w:rsid w:val="006D3C00"/>
    <w:rsid w:val="006D498E"/>
    <w:rsid w:val="006D7AE8"/>
    <w:rsid w:val="006E133B"/>
    <w:rsid w:val="006E1F74"/>
    <w:rsid w:val="006E3675"/>
    <w:rsid w:val="006E44B1"/>
    <w:rsid w:val="006E4952"/>
    <w:rsid w:val="006E4A7F"/>
    <w:rsid w:val="006E4B52"/>
    <w:rsid w:val="006E5088"/>
    <w:rsid w:val="006E5B2D"/>
    <w:rsid w:val="006E5BEE"/>
    <w:rsid w:val="006E6BDD"/>
    <w:rsid w:val="006E710B"/>
    <w:rsid w:val="006E71A3"/>
    <w:rsid w:val="006E75C5"/>
    <w:rsid w:val="006E7808"/>
    <w:rsid w:val="006E7855"/>
    <w:rsid w:val="006F2E40"/>
    <w:rsid w:val="006F340E"/>
    <w:rsid w:val="006F3DBE"/>
    <w:rsid w:val="006F4BAC"/>
    <w:rsid w:val="0070086A"/>
    <w:rsid w:val="00700A18"/>
    <w:rsid w:val="00703037"/>
    <w:rsid w:val="007035D7"/>
    <w:rsid w:val="00704DF6"/>
    <w:rsid w:val="007055B0"/>
    <w:rsid w:val="00705EDE"/>
    <w:rsid w:val="0070651C"/>
    <w:rsid w:val="007069AC"/>
    <w:rsid w:val="00706A92"/>
    <w:rsid w:val="007105DB"/>
    <w:rsid w:val="007108D5"/>
    <w:rsid w:val="00712F76"/>
    <w:rsid w:val="007132A3"/>
    <w:rsid w:val="007153B8"/>
    <w:rsid w:val="00716135"/>
    <w:rsid w:val="00716421"/>
    <w:rsid w:val="007165BC"/>
    <w:rsid w:val="007178F7"/>
    <w:rsid w:val="007204A2"/>
    <w:rsid w:val="00722422"/>
    <w:rsid w:val="0072282F"/>
    <w:rsid w:val="007245EF"/>
    <w:rsid w:val="00724EFB"/>
    <w:rsid w:val="0072663A"/>
    <w:rsid w:val="00726A3C"/>
    <w:rsid w:val="00726C2D"/>
    <w:rsid w:val="00730185"/>
    <w:rsid w:val="007334A6"/>
    <w:rsid w:val="0073361A"/>
    <w:rsid w:val="0074037D"/>
    <w:rsid w:val="007419C3"/>
    <w:rsid w:val="00742A71"/>
    <w:rsid w:val="00744247"/>
    <w:rsid w:val="00744D1F"/>
    <w:rsid w:val="00744E2E"/>
    <w:rsid w:val="00745115"/>
    <w:rsid w:val="00745290"/>
    <w:rsid w:val="00745F05"/>
    <w:rsid w:val="0074656B"/>
    <w:rsid w:val="00746757"/>
    <w:rsid w:val="007467A7"/>
    <w:rsid w:val="007469DD"/>
    <w:rsid w:val="007473BE"/>
    <w:rsid w:val="0074741B"/>
    <w:rsid w:val="0074759E"/>
    <w:rsid w:val="007478EA"/>
    <w:rsid w:val="00750C16"/>
    <w:rsid w:val="0075415C"/>
    <w:rsid w:val="007565BA"/>
    <w:rsid w:val="00757F5F"/>
    <w:rsid w:val="00761842"/>
    <w:rsid w:val="007622F9"/>
    <w:rsid w:val="00763455"/>
    <w:rsid w:val="00763502"/>
    <w:rsid w:val="00766020"/>
    <w:rsid w:val="00771A9C"/>
    <w:rsid w:val="00771E3F"/>
    <w:rsid w:val="00774906"/>
    <w:rsid w:val="00774F14"/>
    <w:rsid w:val="00775310"/>
    <w:rsid w:val="00775DA7"/>
    <w:rsid w:val="007761E6"/>
    <w:rsid w:val="00776716"/>
    <w:rsid w:val="0077756B"/>
    <w:rsid w:val="007803B5"/>
    <w:rsid w:val="00780412"/>
    <w:rsid w:val="007804AA"/>
    <w:rsid w:val="0078494E"/>
    <w:rsid w:val="007851FB"/>
    <w:rsid w:val="00787590"/>
    <w:rsid w:val="007879AF"/>
    <w:rsid w:val="007907BE"/>
    <w:rsid w:val="007913AB"/>
    <w:rsid w:val="007914F7"/>
    <w:rsid w:val="007921EE"/>
    <w:rsid w:val="007935B6"/>
    <w:rsid w:val="007957B7"/>
    <w:rsid w:val="007A0625"/>
    <w:rsid w:val="007A10F8"/>
    <w:rsid w:val="007A3B0C"/>
    <w:rsid w:val="007A5382"/>
    <w:rsid w:val="007A6177"/>
    <w:rsid w:val="007A6C62"/>
    <w:rsid w:val="007A7494"/>
    <w:rsid w:val="007B08C4"/>
    <w:rsid w:val="007B0C18"/>
    <w:rsid w:val="007B1625"/>
    <w:rsid w:val="007B23CE"/>
    <w:rsid w:val="007B241D"/>
    <w:rsid w:val="007B5270"/>
    <w:rsid w:val="007B5996"/>
    <w:rsid w:val="007B6025"/>
    <w:rsid w:val="007B706E"/>
    <w:rsid w:val="007B71EB"/>
    <w:rsid w:val="007B71FD"/>
    <w:rsid w:val="007B79C6"/>
    <w:rsid w:val="007C03A9"/>
    <w:rsid w:val="007C05FE"/>
    <w:rsid w:val="007C092C"/>
    <w:rsid w:val="007C2855"/>
    <w:rsid w:val="007C3328"/>
    <w:rsid w:val="007C40D2"/>
    <w:rsid w:val="007C4193"/>
    <w:rsid w:val="007C6205"/>
    <w:rsid w:val="007C686A"/>
    <w:rsid w:val="007C71E0"/>
    <w:rsid w:val="007C728E"/>
    <w:rsid w:val="007D2C53"/>
    <w:rsid w:val="007D3D60"/>
    <w:rsid w:val="007D3E7F"/>
    <w:rsid w:val="007D42B8"/>
    <w:rsid w:val="007D5463"/>
    <w:rsid w:val="007D7B22"/>
    <w:rsid w:val="007E14B3"/>
    <w:rsid w:val="007E1980"/>
    <w:rsid w:val="007E3910"/>
    <w:rsid w:val="007E3E39"/>
    <w:rsid w:val="007E4B76"/>
    <w:rsid w:val="007E507C"/>
    <w:rsid w:val="007E5A6E"/>
    <w:rsid w:val="007E5EA8"/>
    <w:rsid w:val="007E6E29"/>
    <w:rsid w:val="007F0CF1"/>
    <w:rsid w:val="007F12A5"/>
    <w:rsid w:val="007F23D1"/>
    <w:rsid w:val="007F26B4"/>
    <w:rsid w:val="007F4CF1"/>
    <w:rsid w:val="007F6067"/>
    <w:rsid w:val="007F758D"/>
    <w:rsid w:val="007F7D52"/>
    <w:rsid w:val="00800A44"/>
    <w:rsid w:val="008013F3"/>
    <w:rsid w:val="00802FD1"/>
    <w:rsid w:val="00803E5B"/>
    <w:rsid w:val="00804336"/>
    <w:rsid w:val="00805683"/>
    <w:rsid w:val="008059A3"/>
    <w:rsid w:val="0080654C"/>
    <w:rsid w:val="008071C6"/>
    <w:rsid w:val="008079EF"/>
    <w:rsid w:val="008107CE"/>
    <w:rsid w:val="00811485"/>
    <w:rsid w:val="0081235A"/>
    <w:rsid w:val="0081341E"/>
    <w:rsid w:val="0081409A"/>
    <w:rsid w:val="008140EE"/>
    <w:rsid w:val="00814E41"/>
    <w:rsid w:val="00815B2E"/>
    <w:rsid w:val="00816353"/>
    <w:rsid w:val="0081646F"/>
    <w:rsid w:val="00817A00"/>
    <w:rsid w:val="00817A55"/>
    <w:rsid w:val="00821C16"/>
    <w:rsid w:val="00823382"/>
    <w:rsid w:val="00825D48"/>
    <w:rsid w:val="00826376"/>
    <w:rsid w:val="008271DF"/>
    <w:rsid w:val="00827921"/>
    <w:rsid w:val="008310B4"/>
    <w:rsid w:val="00831183"/>
    <w:rsid w:val="008314A4"/>
    <w:rsid w:val="0083210F"/>
    <w:rsid w:val="00833EE8"/>
    <w:rsid w:val="00835DB3"/>
    <w:rsid w:val="0083617B"/>
    <w:rsid w:val="008371BD"/>
    <w:rsid w:val="00840615"/>
    <w:rsid w:val="008468F2"/>
    <w:rsid w:val="0085015D"/>
    <w:rsid w:val="008504A8"/>
    <w:rsid w:val="00850DFA"/>
    <w:rsid w:val="00851A6B"/>
    <w:rsid w:val="0085282E"/>
    <w:rsid w:val="0085413C"/>
    <w:rsid w:val="0085752E"/>
    <w:rsid w:val="0085776A"/>
    <w:rsid w:val="008578B5"/>
    <w:rsid w:val="00860AB6"/>
    <w:rsid w:val="008627EC"/>
    <w:rsid w:val="00862CFA"/>
    <w:rsid w:val="0086382A"/>
    <w:rsid w:val="00864A26"/>
    <w:rsid w:val="00865978"/>
    <w:rsid w:val="008672B8"/>
    <w:rsid w:val="008678FC"/>
    <w:rsid w:val="00870286"/>
    <w:rsid w:val="0087170F"/>
    <w:rsid w:val="0087188D"/>
    <w:rsid w:val="0087198C"/>
    <w:rsid w:val="00871EB3"/>
    <w:rsid w:val="00872C1F"/>
    <w:rsid w:val="00873B42"/>
    <w:rsid w:val="0087490C"/>
    <w:rsid w:val="00874B9E"/>
    <w:rsid w:val="008760E1"/>
    <w:rsid w:val="00880552"/>
    <w:rsid w:val="008823E7"/>
    <w:rsid w:val="00882785"/>
    <w:rsid w:val="00882DFB"/>
    <w:rsid w:val="008856D8"/>
    <w:rsid w:val="0088666A"/>
    <w:rsid w:val="00890841"/>
    <w:rsid w:val="0089147C"/>
    <w:rsid w:val="00891539"/>
    <w:rsid w:val="008921EE"/>
    <w:rsid w:val="00892E82"/>
    <w:rsid w:val="008931FC"/>
    <w:rsid w:val="0089370C"/>
    <w:rsid w:val="008940D1"/>
    <w:rsid w:val="00897B73"/>
    <w:rsid w:val="008A1DBD"/>
    <w:rsid w:val="008A236E"/>
    <w:rsid w:val="008A3BD2"/>
    <w:rsid w:val="008A3C3F"/>
    <w:rsid w:val="008A4BAB"/>
    <w:rsid w:val="008A6890"/>
    <w:rsid w:val="008A6ADD"/>
    <w:rsid w:val="008A77CB"/>
    <w:rsid w:val="008B14B6"/>
    <w:rsid w:val="008B54DC"/>
    <w:rsid w:val="008B58DB"/>
    <w:rsid w:val="008B5E91"/>
    <w:rsid w:val="008B6931"/>
    <w:rsid w:val="008B7BC7"/>
    <w:rsid w:val="008C0CF4"/>
    <w:rsid w:val="008C1AE4"/>
    <w:rsid w:val="008C1AED"/>
    <w:rsid w:val="008C1B58"/>
    <w:rsid w:val="008C200E"/>
    <w:rsid w:val="008C39AE"/>
    <w:rsid w:val="008C590D"/>
    <w:rsid w:val="008C67D2"/>
    <w:rsid w:val="008D0EDD"/>
    <w:rsid w:val="008D4E9E"/>
    <w:rsid w:val="008D7F4D"/>
    <w:rsid w:val="008E031B"/>
    <w:rsid w:val="008E0D53"/>
    <w:rsid w:val="008E21A1"/>
    <w:rsid w:val="008E34DE"/>
    <w:rsid w:val="008E3881"/>
    <w:rsid w:val="008E48E2"/>
    <w:rsid w:val="008E6A8B"/>
    <w:rsid w:val="008E7029"/>
    <w:rsid w:val="008E797C"/>
    <w:rsid w:val="008E7EF6"/>
    <w:rsid w:val="008F0899"/>
    <w:rsid w:val="008F1F98"/>
    <w:rsid w:val="008F22F1"/>
    <w:rsid w:val="008F3ACE"/>
    <w:rsid w:val="008F454A"/>
    <w:rsid w:val="008F4F3B"/>
    <w:rsid w:val="008F65CE"/>
    <w:rsid w:val="008F6758"/>
    <w:rsid w:val="008F69D9"/>
    <w:rsid w:val="008F779E"/>
    <w:rsid w:val="008F7CD4"/>
    <w:rsid w:val="009006BC"/>
    <w:rsid w:val="009032E2"/>
    <w:rsid w:val="009040DD"/>
    <w:rsid w:val="00905B47"/>
    <w:rsid w:val="00905E95"/>
    <w:rsid w:val="00907B8C"/>
    <w:rsid w:val="00907FC6"/>
    <w:rsid w:val="00910498"/>
    <w:rsid w:val="0091087F"/>
    <w:rsid w:val="00911D17"/>
    <w:rsid w:val="00912B33"/>
    <w:rsid w:val="0091331C"/>
    <w:rsid w:val="00913ABC"/>
    <w:rsid w:val="00914DA4"/>
    <w:rsid w:val="00914F31"/>
    <w:rsid w:val="0091580A"/>
    <w:rsid w:val="0091665D"/>
    <w:rsid w:val="00920DEB"/>
    <w:rsid w:val="00921183"/>
    <w:rsid w:val="00921277"/>
    <w:rsid w:val="00921C98"/>
    <w:rsid w:val="00922D8C"/>
    <w:rsid w:val="00922FE0"/>
    <w:rsid w:val="00923223"/>
    <w:rsid w:val="009253BD"/>
    <w:rsid w:val="0092573F"/>
    <w:rsid w:val="00925BD1"/>
    <w:rsid w:val="009263C1"/>
    <w:rsid w:val="009268D3"/>
    <w:rsid w:val="00926AC6"/>
    <w:rsid w:val="009279DE"/>
    <w:rsid w:val="00930116"/>
    <w:rsid w:val="00930593"/>
    <w:rsid w:val="009306EF"/>
    <w:rsid w:val="00932743"/>
    <w:rsid w:val="009331B8"/>
    <w:rsid w:val="009349BF"/>
    <w:rsid w:val="00934B14"/>
    <w:rsid w:val="00937880"/>
    <w:rsid w:val="00941B02"/>
    <w:rsid w:val="00941CD3"/>
    <w:rsid w:val="0094212C"/>
    <w:rsid w:val="00943211"/>
    <w:rsid w:val="009435CB"/>
    <w:rsid w:val="009439AC"/>
    <w:rsid w:val="00943D70"/>
    <w:rsid w:val="00943E19"/>
    <w:rsid w:val="009445BF"/>
    <w:rsid w:val="00947C23"/>
    <w:rsid w:val="00950F39"/>
    <w:rsid w:val="00952061"/>
    <w:rsid w:val="009525B1"/>
    <w:rsid w:val="00954689"/>
    <w:rsid w:val="00954B1B"/>
    <w:rsid w:val="00955064"/>
    <w:rsid w:val="009552C0"/>
    <w:rsid w:val="00956572"/>
    <w:rsid w:val="00957E12"/>
    <w:rsid w:val="009615D2"/>
    <w:rsid w:val="009617C9"/>
    <w:rsid w:val="00961C93"/>
    <w:rsid w:val="00964737"/>
    <w:rsid w:val="00965324"/>
    <w:rsid w:val="0096713C"/>
    <w:rsid w:val="0097091E"/>
    <w:rsid w:val="00970AB4"/>
    <w:rsid w:val="0097119D"/>
    <w:rsid w:val="009760D3"/>
    <w:rsid w:val="00977132"/>
    <w:rsid w:val="009801FB"/>
    <w:rsid w:val="0098070A"/>
    <w:rsid w:val="00981A4B"/>
    <w:rsid w:val="00981C47"/>
    <w:rsid w:val="00982501"/>
    <w:rsid w:val="00983090"/>
    <w:rsid w:val="00983DDB"/>
    <w:rsid w:val="00984585"/>
    <w:rsid w:val="0098649C"/>
    <w:rsid w:val="0098693E"/>
    <w:rsid w:val="009877D3"/>
    <w:rsid w:val="00990BEA"/>
    <w:rsid w:val="00990E54"/>
    <w:rsid w:val="00990ECD"/>
    <w:rsid w:val="00991406"/>
    <w:rsid w:val="009917D4"/>
    <w:rsid w:val="00991B10"/>
    <w:rsid w:val="00991E3E"/>
    <w:rsid w:val="009923B7"/>
    <w:rsid w:val="009928C2"/>
    <w:rsid w:val="00992948"/>
    <w:rsid w:val="009948C3"/>
    <w:rsid w:val="00994A2C"/>
    <w:rsid w:val="00994E8F"/>
    <w:rsid w:val="009951DC"/>
    <w:rsid w:val="009957A4"/>
    <w:rsid w:val="009959BB"/>
    <w:rsid w:val="00995A6E"/>
    <w:rsid w:val="00997158"/>
    <w:rsid w:val="00997175"/>
    <w:rsid w:val="009977D8"/>
    <w:rsid w:val="00997C8F"/>
    <w:rsid w:val="00997E9A"/>
    <w:rsid w:val="009A0B3F"/>
    <w:rsid w:val="009A1A78"/>
    <w:rsid w:val="009A364F"/>
    <w:rsid w:val="009A3A7C"/>
    <w:rsid w:val="009A5B8E"/>
    <w:rsid w:val="009A709D"/>
    <w:rsid w:val="009A7DC9"/>
    <w:rsid w:val="009B170C"/>
    <w:rsid w:val="009B1EBE"/>
    <w:rsid w:val="009B2ADB"/>
    <w:rsid w:val="009B3E67"/>
    <w:rsid w:val="009B46B6"/>
    <w:rsid w:val="009B4845"/>
    <w:rsid w:val="009B518E"/>
    <w:rsid w:val="009B603A"/>
    <w:rsid w:val="009C2709"/>
    <w:rsid w:val="009C274F"/>
    <w:rsid w:val="009C2D0E"/>
    <w:rsid w:val="009C3DAC"/>
    <w:rsid w:val="009C42E0"/>
    <w:rsid w:val="009D23C6"/>
    <w:rsid w:val="009D43A7"/>
    <w:rsid w:val="009D5362"/>
    <w:rsid w:val="009D72B5"/>
    <w:rsid w:val="009D7516"/>
    <w:rsid w:val="009E122D"/>
    <w:rsid w:val="009E1415"/>
    <w:rsid w:val="009E2B46"/>
    <w:rsid w:val="009E6116"/>
    <w:rsid w:val="009E6FDA"/>
    <w:rsid w:val="009E7974"/>
    <w:rsid w:val="009E7AB9"/>
    <w:rsid w:val="009F122A"/>
    <w:rsid w:val="009F1375"/>
    <w:rsid w:val="009F16FB"/>
    <w:rsid w:val="009F1D3E"/>
    <w:rsid w:val="009F2F97"/>
    <w:rsid w:val="009F329E"/>
    <w:rsid w:val="009F3F62"/>
    <w:rsid w:val="009F450D"/>
    <w:rsid w:val="009F5908"/>
    <w:rsid w:val="009F60F8"/>
    <w:rsid w:val="009F680A"/>
    <w:rsid w:val="009F7F1A"/>
    <w:rsid w:val="00A00E0C"/>
    <w:rsid w:val="00A0114B"/>
    <w:rsid w:val="00A02D59"/>
    <w:rsid w:val="00A02E43"/>
    <w:rsid w:val="00A044E7"/>
    <w:rsid w:val="00A0510C"/>
    <w:rsid w:val="00A05C37"/>
    <w:rsid w:val="00A065F9"/>
    <w:rsid w:val="00A068E0"/>
    <w:rsid w:val="00A07F34"/>
    <w:rsid w:val="00A13FA5"/>
    <w:rsid w:val="00A15406"/>
    <w:rsid w:val="00A15777"/>
    <w:rsid w:val="00A16683"/>
    <w:rsid w:val="00A16887"/>
    <w:rsid w:val="00A20E67"/>
    <w:rsid w:val="00A20F08"/>
    <w:rsid w:val="00A21CC1"/>
    <w:rsid w:val="00A22154"/>
    <w:rsid w:val="00A2246E"/>
    <w:rsid w:val="00A2355F"/>
    <w:rsid w:val="00A25C38"/>
    <w:rsid w:val="00A26658"/>
    <w:rsid w:val="00A26B66"/>
    <w:rsid w:val="00A274AF"/>
    <w:rsid w:val="00A27D27"/>
    <w:rsid w:val="00A30496"/>
    <w:rsid w:val="00A32653"/>
    <w:rsid w:val="00A32EA7"/>
    <w:rsid w:val="00A3655F"/>
    <w:rsid w:val="00A366CD"/>
    <w:rsid w:val="00A36723"/>
    <w:rsid w:val="00A36BBE"/>
    <w:rsid w:val="00A375FF"/>
    <w:rsid w:val="00A37DCB"/>
    <w:rsid w:val="00A41504"/>
    <w:rsid w:val="00A42533"/>
    <w:rsid w:val="00A4307A"/>
    <w:rsid w:val="00A43CD4"/>
    <w:rsid w:val="00A44146"/>
    <w:rsid w:val="00A442B4"/>
    <w:rsid w:val="00A46690"/>
    <w:rsid w:val="00A469FC"/>
    <w:rsid w:val="00A4779C"/>
    <w:rsid w:val="00A47C4A"/>
    <w:rsid w:val="00A47EBB"/>
    <w:rsid w:val="00A51CDD"/>
    <w:rsid w:val="00A52A88"/>
    <w:rsid w:val="00A53E2A"/>
    <w:rsid w:val="00A541B3"/>
    <w:rsid w:val="00A54422"/>
    <w:rsid w:val="00A544EC"/>
    <w:rsid w:val="00A601B2"/>
    <w:rsid w:val="00A615DC"/>
    <w:rsid w:val="00A63262"/>
    <w:rsid w:val="00A6704B"/>
    <w:rsid w:val="00A6730D"/>
    <w:rsid w:val="00A71625"/>
    <w:rsid w:val="00A71B9B"/>
    <w:rsid w:val="00A7250D"/>
    <w:rsid w:val="00A736D1"/>
    <w:rsid w:val="00A751C7"/>
    <w:rsid w:val="00A7593D"/>
    <w:rsid w:val="00A776E1"/>
    <w:rsid w:val="00A77968"/>
    <w:rsid w:val="00A802A6"/>
    <w:rsid w:val="00A80CD3"/>
    <w:rsid w:val="00A82825"/>
    <w:rsid w:val="00A829A2"/>
    <w:rsid w:val="00A845AA"/>
    <w:rsid w:val="00A84671"/>
    <w:rsid w:val="00A85368"/>
    <w:rsid w:val="00A858DD"/>
    <w:rsid w:val="00A873AD"/>
    <w:rsid w:val="00A876AE"/>
    <w:rsid w:val="00A87844"/>
    <w:rsid w:val="00A87F94"/>
    <w:rsid w:val="00A90B49"/>
    <w:rsid w:val="00A930F5"/>
    <w:rsid w:val="00A93624"/>
    <w:rsid w:val="00A94224"/>
    <w:rsid w:val="00AA00B6"/>
    <w:rsid w:val="00AA038C"/>
    <w:rsid w:val="00AA058E"/>
    <w:rsid w:val="00AA05FE"/>
    <w:rsid w:val="00AA0996"/>
    <w:rsid w:val="00AA0C82"/>
    <w:rsid w:val="00AA0FC2"/>
    <w:rsid w:val="00AA3BF6"/>
    <w:rsid w:val="00AA5463"/>
    <w:rsid w:val="00AA6CA8"/>
    <w:rsid w:val="00AA7A09"/>
    <w:rsid w:val="00AB10ED"/>
    <w:rsid w:val="00AB124F"/>
    <w:rsid w:val="00AB3B50"/>
    <w:rsid w:val="00AB4035"/>
    <w:rsid w:val="00AB62C2"/>
    <w:rsid w:val="00AB6C6C"/>
    <w:rsid w:val="00AB6CC5"/>
    <w:rsid w:val="00AB7422"/>
    <w:rsid w:val="00AC05B1"/>
    <w:rsid w:val="00AC07B2"/>
    <w:rsid w:val="00AC6E78"/>
    <w:rsid w:val="00AD14E3"/>
    <w:rsid w:val="00AD356C"/>
    <w:rsid w:val="00AD3CDD"/>
    <w:rsid w:val="00AD3CEC"/>
    <w:rsid w:val="00AD53AE"/>
    <w:rsid w:val="00AD57CE"/>
    <w:rsid w:val="00AD7A14"/>
    <w:rsid w:val="00AD7CA4"/>
    <w:rsid w:val="00AE0075"/>
    <w:rsid w:val="00AE2914"/>
    <w:rsid w:val="00AE3297"/>
    <w:rsid w:val="00AE33BE"/>
    <w:rsid w:val="00AE3F1C"/>
    <w:rsid w:val="00AE4501"/>
    <w:rsid w:val="00AE5523"/>
    <w:rsid w:val="00AE61EA"/>
    <w:rsid w:val="00AE62CA"/>
    <w:rsid w:val="00AE6D15"/>
    <w:rsid w:val="00AF0800"/>
    <w:rsid w:val="00AF5A1D"/>
    <w:rsid w:val="00AF605B"/>
    <w:rsid w:val="00AF79E4"/>
    <w:rsid w:val="00B025FC"/>
    <w:rsid w:val="00B03DE6"/>
    <w:rsid w:val="00B04182"/>
    <w:rsid w:val="00B05914"/>
    <w:rsid w:val="00B067EF"/>
    <w:rsid w:val="00B071EF"/>
    <w:rsid w:val="00B07AE3"/>
    <w:rsid w:val="00B1072F"/>
    <w:rsid w:val="00B11430"/>
    <w:rsid w:val="00B12015"/>
    <w:rsid w:val="00B15259"/>
    <w:rsid w:val="00B15E72"/>
    <w:rsid w:val="00B1614B"/>
    <w:rsid w:val="00B211FE"/>
    <w:rsid w:val="00B21338"/>
    <w:rsid w:val="00B247A5"/>
    <w:rsid w:val="00B30C2B"/>
    <w:rsid w:val="00B33855"/>
    <w:rsid w:val="00B353EB"/>
    <w:rsid w:val="00B355F2"/>
    <w:rsid w:val="00B35B26"/>
    <w:rsid w:val="00B439C4"/>
    <w:rsid w:val="00B44545"/>
    <w:rsid w:val="00B44C8D"/>
    <w:rsid w:val="00B4511E"/>
    <w:rsid w:val="00B4535E"/>
    <w:rsid w:val="00B4799C"/>
    <w:rsid w:val="00B47DED"/>
    <w:rsid w:val="00B51584"/>
    <w:rsid w:val="00B52A8C"/>
    <w:rsid w:val="00B55B01"/>
    <w:rsid w:val="00B56B32"/>
    <w:rsid w:val="00B5742D"/>
    <w:rsid w:val="00B5799C"/>
    <w:rsid w:val="00B60330"/>
    <w:rsid w:val="00B631EE"/>
    <w:rsid w:val="00B634FC"/>
    <w:rsid w:val="00B636A8"/>
    <w:rsid w:val="00B645CF"/>
    <w:rsid w:val="00B64EBB"/>
    <w:rsid w:val="00B6551C"/>
    <w:rsid w:val="00B65525"/>
    <w:rsid w:val="00B6591B"/>
    <w:rsid w:val="00B665C6"/>
    <w:rsid w:val="00B67EF4"/>
    <w:rsid w:val="00B7169D"/>
    <w:rsid w:val="00B72F7A"/>
    <w:rsid w:val="00B7311C"/>
    <w:rsid w:val="00B733B4"/>
    <w:rsid w:val="00B74016"/>
    <w:rsid w:val="00B76358"/>
    <w:rsid w:val="00B766FA"/>
    <w:rsid w:val="00B76D7B"/>
    <w:rsid w:val="00B80073"/>
    <w:rsid w:val="00B805AF"/>
    <w:rsid w:val="00B814C0"/>
    <w:rsid w:val="00B8154D"/>
    <w:rsid w:val="00B83ED2"/>
    <w:rsid w:val="00B852B4"/>
    <w:rsid w:val="00B8592A"/>
    <w:rsid w:val="00B85CDC"/>
    <w:rsid w:val="00B869EC"/>
    <w:rsid w:val="00B86E6C"/>
    <w:rsid w:val="00B9089C"/>
    <w:rsid w:val="00B90AF0"/>
    <w:rsid w:val="00B90E7A"/>
    <w:rsid w:val="00B910BA"/>
    <w:rsid w:val="00B91977"/>
    <w:rsid w:val="00B9397A"/>
    <w:rsid w:val="00B9633D"/>
    <w:rsid w:val="00BA2EBE"/>
    <w:rsid w:val="00BA44EC"/>
    <w:rsid w:val="00BA6EE0"/>
    <w:rsid w:val="00BA7351"/>
    <w:rsid w:val="00BB0F28"/>
    <w:rsid w:val="00BB3FED"/>
    <w:rsid w:val="00BB458A"/>
    <w:rsid w:val="00BB48B3"/>
    <w:rsid w:val="00BB59D8"/>
    <w:rsid w:val="00BC4210"/>
    <w:rsid w:val="00BC583F"/>
    <w:rsid w:val="00BC5925"/>
    <w:rsid w:val="00BC596A"/>
    <w:rsid w:val="00BC6CC0"/>
    <w:rsid w:val="00BD00D3"/>
    <w:rsid w:val="00BD0C0D"/>
    <w:rsid w:val="00BD1659"/>
    <w:rsid w:val="00BD3448"/>
    <w:rsid w:val="00BD3AA9"/>
    <w:rsid w:val="00BD4A18"/>
    <w:rsid w:val="00BD6DB2"/>
    <w:rsid w:val="00BD7EA6"/>
    <w:rsid w:val="00BE105D"/>
    <w:rsid w:val="00BE11CF"/>
    <w:rsid w:val="00BE21AB"/>
    <w:rsid w:val="00BE27C8"/>
    <w:rsid w:val="00BE3BED"/>
    <w:rsid w:val="00BE55CB"/>
    <w:rsid w:val="00BE7071"/>
    <w:rsid w:val="00BE73DC"/>
    <w:rsid w:val="00BF032F"/>
    <w:rsid w:val="00BF3DEC"/>
    <w:rsid w:val="00BF617A"/>
    <w:rsid w:val="00BF6BFA"/>
    <w:rsid w:val="00BF6C62"/>
    <w:rsid w:val="00C00C77"/>
    <w:rsid w:val="00C02F25"/>
    <w:rsid w:val="00C0379D"/>
    <w:rsid w:val="00C03931"/>
    <w:rsid w:val="00C04237"/>
    <w:rsid w:val="00C04756"/>
    <w:rsid w:val="00C05FE3"/>
    <w:rsid w:val="00C07AD3"/>
    <w:rsid w:val="00C07C08"/>
    <w:rsid w:val="00C07D05"/>
    <w:rsid w:val="00C10AAB"/>
    <w:rsid w:val="00C10B31"/>
    <w:rsid w:val="00C1497D"/>
    <w:rsid w:val="00C20FCE"/>
    <w:rsid w:val="00C2136D"/>
    <w:rsid w:val="00C214EE"/>
    <w:rsid w:val="00C2194E"/>
    <w:rsid w:val="00C219AF"/>
    <w:rsid w:val="00C2314B"/>
    <w:rsid w:val="00C23F5D"/>
    <w:rsid w:val="00C2451D"/>
    <w:rsid w:val="00C24971"/>
    <w:rsid w:val="00C24FBD"/>
    <w:rsid w:val="00C260A5"/>
    <w:rsid w:val="00C262E5"/>
    <w:rsid w:val="00C266B0"/>
    <w:rsid w:val="00C26BE5"/>
    <w:rsid w:val="00C26C00"/>
    <w:rsid w:val="00C26E4D"/>
    <w:rsid w:val="00C27909"/>
    <w:rsid w:val="00C27B03"/>
    <w:rsid w:val="00C314E1"/>
    <w:rsid w:val="00C3358F"/>
    <w:rsid w:val="00C33756"/>
    <w:rsid w:val="00C33C2C"/>
    <w:rsid w:val="00C33C89"/>
    <w:rsid w:val="00C34397"/>
    <w:rsid w:val="00C35FE5"/>
    <w:rsid w:val="00C363B4"/>
    <w:rsid w:val="00C36DD5"/>
    <w:rsid w:val="00C374CC"/>
    <w:rsid w:val="00C3758D"/>
    <w:rsid w:val="00C4095D"/>
    <w:rsid w:val="00C40AAC"/>
    <w:rsid w:val="00C44837"/>
    <w:rsid w:val="00C4517B"/>
    <w:rsid w:val="00C46F63"/>
    <w:rsid w:val="00C47681"/>
    <w:rsid w:val="00C50010"/>
    <w:rsid w:val="00C50354"/>
    <w:rsid w:val="00C51F6B"/>
    <w:rsid w:val="00C544A5"/>
    <w:rsid w:val="00C54806"/>
    <w:rsid w:val="00C5502A"/>
    <w:rsid w:val="00C550FC"/>
    <w:rsid w:val="00C57720"/>
    <w:rsid w:val="00C601D2"/>
    <w:rsid w:val="00C60CD8"/>
    <w:rsid w:val="00C61971"/>
    <w:rsid w:val="00C62BB4"/>
    <w:rsid w:val="00C64E50"/>
    <w:rsid w:val="00C65290"/>
    <w:rsid w:val="00C65736"/>
    <w:rsid w:val="00C65BCC"/>
    <w:rsid w:val="00C65E77"/>
    <w:rsid w:val="00C66970"/>
    <w:rsid w:val="00C7169F"/>
    <w:rsid w:val="00C72187"/>
    <w:rsid w:val="00C7240B"/>
    <w:rsid w:val="00C72F2B"/>
    <w:rsid w:val="00C72F4B"/>
    <w:rsid w:val="00C7373C"/>
    <w:rsid w:val="00C74C6B"/>
    <w:rsid w:val="00C7797E"/>
    <w:rsid w:val="00C805BA"/>
    <w:rsid w:val="00C83BD3"/>
    <w:rsid w:val="00C85696"/>
    <w:rsid w:val="00C8691C"/>
    <w:rsid w:val="00CA00B0"/>
    <w:rsid w:val="00CA0795"/>
    <w:rsid w:val="00CA168A"/>
    <w:rsid w:val="00CA357E"/>
    <w:rsid w:val="00CA44F9"/>
    <w:rsid w:val="00CA4A69"/>
    <w:rsid w:val="00CA631E"/>
    <w:rsid w:val="00CA746F"/>
    <w:rsid w:val="00CA7526"/>
    <w:rsid w:val="00CB181D"/>
    <w:rsid w:val="00CB25B3"/>
    <w:rsid w:val="00CB2A28"/>
    <w:rsid w:val="00CB3FDE"/>
    <w:rsid w:val="00CB60C7"/>
    <w:rsid w:val="00CC12E3"/>
    <w:rsid w:val="00CC1D6D"/>
    <w:rsid w:val="00CC323B"/>
    <w:rsid w:val="00CC39F2"/>
    <w:rsid w:val="00CC3E0C"/>
    <w:rsid w:val="00CC58D3"/>
    <w:rsid w:val="00CC5E94"/>
    <w:rsid w:val="00CC6C77"/>
    <w:rsid w:val="00CC784D"/>
    <w:rsid w:val="00CD0AE5"/>
    <w:rsid w:val="00CD0D3A"/>
    <w:rsid w:val="00CD2185"/>
    <w:rsid w:val="00CD2768"/>
    <w:rsid w:val="00CD311C"/>
    <w:rsid w:val="00CD6EC6"/>
    <w:rsid w:val="00CE01DB"/>
    <w:rsid w:val="00CE2CD5"/>
    <w:rsid w:val="00CE2D16"/>
    <w:rsid w:val="00CE2D45"/>
    <w:rsid w:val="00CE3524"/>
    <w:rsid w:val="00CE4CC8"/>
    <w:rsid w:val="00CE55E3"/>
    <w:rsid w:val="00CE5C75"/>
    <w:rsid w:val="00CE7522"/>
    <w:rsid w:val="00CF1677"/>
    <w:rsid w:val="00CF25DB"/>
    <w:rsid w:val="00CF38DE"/>
    <w:rsid w:val="00CF4386"/>
    <w:rsid w:val="00CF62F4"/>
    <w:rsid w:val="00D0337B"/>
    <w:rsid w:val="00D0436A"/>
    <w:rsid w:val="00D058DC"/>
    <w:rsid w:val="00D079B2"/>
    <w:rsid w:val="00D10F3A"/>
    <w:rsid w:val="00D10FDB"/>
    <w:rsid w:val="00D114E9"/>
    <w:rsid w:val="00D1158C"/>
    <w:rsid w:val="00D115A1"/>
    <w:rsid w:val="00D12623"/>
    <w:rsid w:val="00D12637"/>
    <w:rsid w:val="00D12CE3"/>
    <w:rsid w:val="00D13ABB"/>
    <w:rsid w:val="00D13B07"/>
    <w:rsid w:val="00D13D58"/>
    <w:rsid w:val="00D1452E"/>
    <w:rsid w:val="00D15338"/>
    <w:rsid w:val="00D172F5"/>
    <w:rsid w:val="00D175F0"/>
    <w:rsid w:val="00D200EC"/>
    <w:rsid w:val="00D23108"/>
    <w:rsid w:val="00D23C7B"/>
    <w:rsid w:val="00D240C4"/>
    <w:rsid w:val="00D26BA7"/>
    <w:rsid w:val="00D30751"/>
    <w:rsid w:val="00D32723"/>
    <w:rsid w:val="00D33A59"/>
    <w:rsid w:val="00D33C9F"/>
    <w:rsid w:val="00D35053"/>
    <w:rsid w:val="00D35C1F"/>
    <w:rsid w:val="00D3604A"/>
    <w:rsid w:val="00D364BE"/>
    <w:rsid w:val="00D36B5B"/>
    <w:rsid w:val="00D4042E"/>
    <w:rsid w:val="00D41F59"/>
    <w:rsid w:val="00D420EB"/>
    <w:rsid w:val="00D421B3"/>
    <w:rsid w:val="00D429C6"/>
    <w:rsid w:val="00D43976"/>
    <w:rsid w:val="00D44C69"/>
    <w:rsid w:val="00D45071"/>
    <w:rsid w:val="00D474EE"/>
    <w:rsid w:val="00D47748"/>
    <w:rsid w:val="00D52DA6"/>
    <w:rsid w:val="00D53C5D"/>
    <w:rsid w:val="00D53D54"/>
    <w:rsid w:val="00D54CC3"/>
    <w:rsid w:val="00D564C8"/>
    <w:rsid w:val="00D57303"/>
    <w:rsid w:val="00D6000B"/>
    <w:rsid w:val="00D6041A"/>
    <w:rsid w:val="00D61876"/>
    <w:rsid w:val="00D6212D"/>
    <w:rsid w:val="00D6255E"/>
    <w:rsid w:val="00D633EB"/>
    <w:rsid w:val="00D63869"/>
    <w:rsid w:val="00D656AB"/>
    <w:rsid w:val="00D67415"/>
    <w:rsid w:val="00D67EB0"/>
    <w:rsid w:val="00D71ECB"/>
    <w:rsid w:val="00D74B53"/>
    <w:rsid w:val="00D7508E"/>
    <w:rsid w:val="00D75DA4"/>
    <w:rsid w:val="00D76AB4"/>
    <w:rsid w:val="00D77069"/>
    <w:rsid w:val="00D81EF0"/>
    <w:rsid w:val="00D821FF"/>
    <w:rsid w:val="00D82FF7"/>
    <w:rsid w:val="00D832E1"/>
    <w:rsid w:val="00D847FE"/>
    <w:rsid w:val="00D8641A"/>
    <w:rsid w:val="00D87B1F"/>
    <w:rsid w:val="00D90EC4"/>
    <w:rsid w:val="00D92D7F"/>
    <w:rsid w:val="00D94569"/>
    <w:rsid w:val="00D964EA"/>
    <w:rsid w:val="00D966D0"/>
    <w:rsid w:val="00D9690A"/>
    <w:rsid w:val="00D97390"/>
    <w:rsid w:val="00D97991"/>
    <w:rsid w:val="00D97D6D"/>
    <w:rsid w:val="00D97EF0"/>
    <w:rsid w:val="00DA08C9"/>
    <w:rsid w:val="00DA0C59"/>
    <w:rsid w:val="00DA1431"/>
    <w:rsid w:val="00DA202E"/>
    <w:rsid w:val="00DA3991"/>
    <w:rsid w:val="00DA3DD7"/>
    <w:rsid w:val="00DA46C8"/>
    <w:rsid w:val="00DA5793"/>
    <w:rsid w:val="00DA5CC3"/>
    <w:rsid w:val="00DA79B4"/>
    <w:rsid w:val="00DB6004"/>
    <w:rsid w:val="00DB66E2"/>
    <w:rsid w:val="00DB68C6"/>
    <w:rsid w:val="00DB6913"/>
    <w:rsid w:val="00DB7AB4"/>
    <w:rsid w:val="00DB7E6C"/>
    <w:rsid w:val="00DC434C"/>
    <w:rsid w:val="00DD05BC"/>
    <w:rsid w:val="00DD07FC"/>
    <w:rsid w:val="00DD15B1"/>
    <w:rsid w:val="00DD2764"/>
    <w:rsid w:val="00DD2FD1"/>
    <w:rsid w:val="00DD3501"/>
    <w:rsid w:val="00DD3CFC"/>
    <w:rsid w:val="00DD57B5"/>
    <w:rsid w:val="00DD5A29"/>
    <w:rsid w:val="00DD5D9D"/>
    <w:rsid w:val="00DE14CC"/>
    <w:rsid w:val="00DE1520"/>
    <w:rsid w:val="00DE181B"/>
    <w:rsid w:val="00DE1DC8"/>
    <w:rsid w:val="00DE1FE0"/>
    <w:rsid w:val="00DE35CB"/>
    <w:rsid w:val="00DE390D"/>
    <w:rsid w:val="00DE3A3C"/>
    <w:rsid w:val="00DE470C"/>
    <w:rsid w:val="00DE7207"/>
    <w:rsid w:val="00DE7C68"/>
    <w:rsid w:val="00DF042D"/>
    <w:rsid w:val="00DF06D7"/>
    <w:rsid w:val="00DF0DBE"/>
    <w:rsid w:val="00DF21E9"/>
    <w:rsid w:val="00DF31DD"/>
    <w:rsid w:val="00DF56C5"/>
    <w:rsid w:val="00DF744B"/>
    <w:rsid w:val="00DF7EE1"/>
    <w:rsid w:val="00E00F14"/>
    <w:rsid w:val="00E02222"/>
    <w:rsid w:val="00E03262"/>
    <w:rsid w:val="00E06386"/>
    <w:rsid w:val="00E07007"/>
    <w:rsid w:val="00E1039A"/>
    <w:rsid w:val="00E105CE"/>
    <w:rsid w:val="00E10F9F"/>
    <w:rsid w:val="00E11683"/>
    <w:rsid w:val="00E124D8"/>
    <w:rsid w:val="00E125FC"/>
    <w:rsid w:val="00E126E3"/>
    <w:rsid w:val="00E12B3E"/>
    <w:rsid w:val="00E13707"/>
    <w:rsid w:val="00E169DA"/>
    <w:rsid w:val="00E1777A"/>
    <w:rsid w:val="00E224EC"/>
    <w:rsid w:val="00E225F6"/>
    <w:rsid w:val="00E22689"/>
    <w:rsid w:val="00E22D93"/>
    <w:rsid w:val="00E238C8"/>
    <w:rsid w:val="00E23F77"/>
    <w:rsid w:val="00E24388"/>
    <w:rsid w:val="00E24EB4"/>
    <w:rsid w:val="00E252C4"/>
    <w:rsid w:val="00E27470"/>
    <w:rsid w:val="00E276E5"/>
    <w:rsid w:val="00E279B0"/>
    <w:rsid w:val="00E30409"/>
    <w:rsid w:val="00E30590"/>
    <w:rsid w:val="00E320ED"/>
    <w:rsid w:val="00E33AFB"/>
    <w:rsid w:val="00E34151"/>
    <w:rsid w:val="00E34218"/>
    <w:rsid w:val="00E34863"/>
    <w:rsid w:val="00E3588F"/>
    <w:rsid w:val="00E3596C"/>
    <w:rsid w:val="00E35FF7"/>
    <w:rsid w:val="00E360FC"/>
    <w:rsid w:val="00E37FE9"/>
    <w:rsid w:val="00E404EB"/>
    <w:rsid w:val="00E42B09"/>
    <w:rsid w:val="00E42E00"/>
    <w:rsid w:val="00E44785"/>
    <w:rsid w:val="00E449FA"/>
    <w:rsid w:val="00E461F1"/>
    <w:rsid w:val="00E46282"/>
    <w:rsid w:val="00E46EED"/>
    <w:rsid w:val="00E47B95"/>
    <w:rsid w:val="00E5216E"/>
    <w:rsid w:val="00E52A04"/>
    <w:rsid w:val="00E52D33"/>
    <w:rsid w:val="00E53C70"/>
    <w:rsid w:val="00E5494D"/>
    <w:rsid w:val="00E55332"/>
    <w:rsid w:val="00E5675C"/>
    <w:rsid w:val="00E57065"/>
    <w:rsid w:val="00E62803"/>
    <w:rsid w:val="00E65C60"/>
    <w:rsid w:val="00E66AC1"/>
    <w:rsid w:val="00E6790E"/>
    <w:rsid w:val="00E7053A"/>
    <w:rsid w:val="00E710C7"/>
    <w:rsid w:val="00E72375"/>
    <w:rsid w:val="00E72A7F"/>
    <w:rsid w:val="00E7396D"/>
    <w:rsid w:val="00E74A71"/>
    <w:rsid w:val="00E75046"/>
    <w:rsid w:val="00E771E0"/>
    <w:rsid w:val="00E779F0"/>
    <w:rsid w:val="00E77F31"/>
    <w:rsid w:val="00E77F70"/>
    <w:rsid w:val="00E815FA"/>
    <w:rsid w:val="00E81F0A"/>
    <w:rsid w:val="00E82344"/>
    <w:rsid w:val="00E831EA"/>
    <w:rsid w:val="00E845E3"/>
    <w:rsid w:val="00E84C82"/>
    <w:rsid w:val="00E84D64"/>
    <w:rsid w:val="00E85272"/>
    <w:rsid w:val="00E85605"/>
    <w:rsid w:val="00E86B4B"/>
    <w:rsid w:val="00E87408"/>
    <w:rsid w:val="00E8770B"/>
    <w:rsid w:val="00E914C4"/>
    <w:rsid w:val="00E92215"/>
    <w:rsid w:val="00E92B1B"/>
    <w:rsid w:val="00E92B48"/>
    <w:rsid w:val="00E934F5"/>
    <w:rsid w:val="00E93571"/>
    <w:rsid w:val="00E94665"/>
    <w:rsid w:val="00E9616F"/>
    <w:rsid w:val="00E96961"/>
    <w:rsid w:val="00E96E65"/>
    <w:rsid w:val="00EA162C"/>
    <w:rsid w:val="00EA22AE"/>
    <w:rsid w:val="00EA47DA"/>
    <w:rsid w:val="00EA4943"/>
    <w:rsid w:val="00EA72EC"/>
    <w:rsid w:val="00EB11CB"/>
    <w:rsid w:val="00EB1650"/>
    <w:rsid w:val="00EB2441"/>
    <w:rsid w:val="00EB275A"/>
    <w:rsid w:val="00EB3474"/>
    <w:rsid w:val="00EB3785"/>
    <w:rsid w:val="00EB61BB"/>
    <w:rsid w:val="00EB6DE9"/>
    <w:rsid w:val="00EB7556"/>
    <w:rsid w:val="00EB7583"/>
    <w:rsid w:val="00EB786A"/>
    <w:rsid w:val="00EB79D7"/>
    <w:rsid w:val="00EC01EF"/>
    <w:rsid w:val="00EC1578"/>
    <w:rsid w:val="00EC1C72"/>
    <w:rsid w:val="00EC2563"/>
    <w:rsid w:val="00EC3BC7"/>
    <w:rsid w:val="00EC3CC9"/>
    <w:rsid w:val="00EC4913"/>
    <w:rsid w:val="00EC533D"/>
    <w:rsid w:val="00EC60EC"/>
    <w:rsid w:val="00EC680A"/>
    <w:rsid w:val="00EC6C31"/>
    <w:rsid w:val="00EC7A3D"/>
    <w:rsid w:val="00EC7C01"/>
    <w:rsid w:val="00ED0C95"/>
    <w:rsid w:val="00ED1913"/>
    <w:rsid w:val="00ED2333"/>
    <w:rsid w:val="00ED3AAF"/>
    <w:rsid w:val="00ED46DC"/>
    <w:rsid w:val="00ED4D0E"/>
    <w:rsid w:val="00ED503B"/>
    <w:rsid w:val="00ED7728"/>
    <w:rsid w:val="00ED7E46"/>
    <w:rsid w:val="00EE297D"/>
    <w:rsid w:val="00EE2BED"/>
    <w:rsid w:val="00EE374B"/>
    <w:rsid w:val="00EE5017"/>
    <w:rsid w:val="00EE621E"/>
    <w:rsid w:val="00EE703D"/>
    <w:rsid w:val="00EE7748"/>
    <w:rsid w:val="00EE7ED3"/>
    <w:rsid w:val="00EF06B6"/>
    <w:rsid w:val="00EF112D"/>
    <w:rsid w:val="00EF1E6C"/>
    <w:rsid w:val="00EF1E7C"/>
    <w:rsid w:val="00EF2668"/>
    <w:rsid w:val="00EF2E1F"/>
    <w:rsid w:val="00EF36FD"/>
    <w:rsid w:val="00EF524A"/>
    <w:rsid w:val="00EF6BA7"/>
    <w:rsid w:val="00F03471"/>
    <w:rsid w:val="00F075D2"/>
    <w:rsid w:val="00F11BB5"/>
    <w:rsid w:val="00F12369"/>
    <w:rsid w:val="00F133A9"/>
    <w:rsid w:val="00F13BCD"/>
    <w:rsid w:val="00F13F06"/>
    <w:rsid w:val="00F1417B"/>
    <w:rsid w:val="00F14C02"/>
    <w:rsid w:val="00F155B6"/>
    <w:rsid w:val="00F157A3"/>
    <w:rsid w:val="00F15C38"/>
    <w:rsid w:val="00F16D8F"/>
    <w:rsid w:val="00F175CA"/>
    <w:rsid w:val="00F21850"/>
    <w:rsid w:val="00F2236C"/>
    <w:rsid w:val="00F22375"/>
    <w:rsid w:val="00F225EF"/>
    <w:rsid w:val="00F26DCA"/>
    <w:rsid w:val="00F27817"/>
    <w:rsid w:val="00F30148"/>
    <w:rsid w:val="00F3034D"/>
    <w:rsid w:val="00F31475"/>
    <w:rsid w:val="00F31CDD"/>
    <w:rsid w:val="00F31FA6"/>
    <w:rsid w:val="00F338B3"/>
    <w:rsid w:val="00F34B99"/>
    <w:rsid w:val="00F352B6"/>
    <w:rsid w:val="00F35879"/>
    <w:rsid w:val="00F37FB1"/>
    <w:rsid w:val="00F409B8"/>
    <w:rsid w:val="00F418B3"/>
    <w:rsid w:val="00F42B9F"/>
    <w:rsid w:val="00F430F2"/>
    <w:rsid w:val="00F44194"/>
    <w:rsid w:val="00F451FD"/>
    <w:rsid w:val="00F464EB"/>
    <w:rsid w:val="00F50203"/>
    <w:rsid w:val="00F50832"/>
    <w:rsid w:val="00F51D6A"/>
    <w:rsid w:val="00F527E4"/>
    <w:rsid w:val="00F52DAB"/>
    <w:rsid w:val="00F543F0"/>
    <w:rsid w:val="00F54941"/>
    <w:rsid w:val="00F571D5"/>
    <w:rsid w:val="00F57C2D"/>
    <w:rsid w:val="00F6041D"/>
    <w:rsid w:val="00F62676"/>
    <w:rsid w:val="00F63DA1"/>
    <w:rsid w:val="00F64505"/>
    <w:rsid w:val="00F64682"/>
    <w:rsid w:val="00F656D5"/>
    <w:rsid w:val="00F656FB"/>
    <w:rsid w:val="00F65F3F"/>
    <w:rsid w:val="00F70E44"/>
    <w:rsid w:val="00F7191C"/>
    <w:rsid w:val="00F743C5"/>
    <w:rsid w:val="00F74725"/>
    <w:rsid w:val="00F7655A"/>
    <w:rsid w:val="00F77EFD"/>
    <w:rsid w:val="00F80A8A"/>
    <w:rsid w:val="00F81330"/>
    <w:rsid w:val="00F818D6"/>
    <w:rsid w:val="00F81998"/>
    <w:rsid w:val="00F81D29"/>
    <w:rsid w:val="00F82AFC"/>
    <w:rsid w:val="00F82DDD"/>
    <w:rsid w:val="00F84947"/>
    <w:rsid w:val="00F84C9F"/>
    <w:rsid w:val="00F85EE3"/>
    <w:rsid w:val="00F91C4D"/>
    <w:rsid w:val="00F9232D"/>
    <w:rsid w:val="00F929A4"/>
    <w:rsid w:val="00F92FD9"/>
    <w:rsid w:val="00F93483"/>
    <w:rsid w:val="00F94BEA"/>
    <w:rsid w:val="00F950E3"/>
    <w:rsid w:val="00F96E0B"/>
    <w:rsid w:val="00F972F2"/>
    <w:rsid w:val="00FA15A5"/>
    <w:rsid w:val="00FA1EF4"/>
    <w:rsid w:val="00FA29D3"/>
    <w:rsid w:val="00FA3313"/>
    <w:rsid w:val="00FA36F4"/>
    <w:rsid w:val="00FA3D4E"/>
    <w:rsid w:val="00FA5610"/>
    <w:rsid w:val="00FA565B"/>
    <w:rsid w:val="00FA5C90"/>
    <w:rsid w:val="00FA6684"/>
    <w:rsid w:val="00FA731E"/>
    <w:rsid w:val="00FA7757"/>
    <w:rsid w:val="00FA79D4"/>
    <w:rsid w:val="00FB0849"/>
    <w:rsid w:val="00FB1233"/>
    <w:rsid w:val="00FB20BE"/>
    <w:rsid w:val="00FB277E"/>
    <w:rsid w:val="00FB2B38"/>
    <w:rsid w:val="00FB4936"/>
    <w:rsid w:val="00FB5D42"/>
    <w:rsid w:val="00FB61B8"/>
    <w:rsid w:val="00FB6F0A"/>
    <w:rsid w:val="00FB6FBF"/>
    <w:rsid w:val="00FB7AC9"/>
    <w:rsid w:val="00FB7B4A"/>
    <w:rsid w:val="00FC06DF"/>
    <w:rsid w:val="00FC091B"/>
    <w:rsid w:val="00FC0A08"/>
    <w:rsid w:val="00FC20AB"/>
    <w:rsid w:val="00FC4C85"/>
    <w:rsid w:val="00FC6358"/>
    <w:rsid w:val="00FC7FCD"/>
    <w:rsid w:val="00FD187F"/>
    <w:rsid w:val="00FD320D"/>
    <w:rsid w:val="00FD359C"/>
    <w:rsid w:val="00FD449A"/>
    <w:rsid w:val="00FD4A7E"/>
    <w:rsid w:val="00FD57C2"/>
    <w:rsid w:val="00FE0211"/>
    <w:rsid w:val="00FE1264"/>
    <w:rsid w:val="00FE23DE"/>
    <w:rsid w:val="00FE2DA0"/>
    <w:rsid w:val="00FE4AA5"/>
    <w:rsid w:val="00FE4D74"/>
    <w:rsid w:val="00FF1F69"/>
    <w:rsid w:val="00FF34BE"/>
    <w:rsid w:val="00FF6F59"/>
    <w:rsid w:val="00FF7561"/>
    <w:rsid w:val="00FF791D"/>
    <w:rsid w:val="01112020"/>
    <w:rsid w:val="10F45010"/>
    <w:rsid w:val="1607217B"/>
    <w:rsid w:val="1F826019"/>
    <w:rsid w:val="218849C7"/>
    <w:rsid w:val="23CF76EC"/>
    <w:rsid w:val="24F04065"/>
    <w:rsid w:val="2D6571C2"/>
    <w:rsid w:val="3C8E2751"/>
    <w:rsid w:val="3CE22A27"/>
    <w:rsid w:val="453B2E04"/>
    <w:rsid w:val="6D8E58D3"/>
    <w:rsid w:val="7EE05E3F"/>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qFormat="1" w:unhideWhenUsed="0" w:uiPriority="99" w:semiHidden="0" w:name="index 2"/>
    <w:lsdException w:qFormat="1" w:unhideWhenUsed="0" w:uiPriority="99" w:semiHidden="0" w:name="index 3"/>
    <w:lsdException w:qFormat="1" w:unhideWhenUsed="0" w:uiPriority="99" w:semiHidden="0" w:name="index 4"/>
    <w:lsdException w:qFormat="1" w:unhideWhenUsed="0" w:uiPriority="99" w:semiHidden="0" w:name="index 5"/>
    <w:lsdException w:qFormat="1" w:unhideWhenUsed="0" w:uiPriority="99" w:semiHidden="0" w:name="index 6"/>
    <w:lsdException w:qFormat="1" w:unhideWhenUsed="0" w:uiPriority="99" w:semiHidden="0" w:name="index 7"/>
    <w:lsdException w:qFormat="1" w:unhideWhenUsed="0" w:uiPriority="99" w:semiHidden="0" w:name="index 8"/>
    <w:lsdException w:qFormat="1" w:unhideWhenUsed="0" w:uiPriority="99"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99" w:name="toc 4"/>
    <w:lsdException w:qFormat="1" w:unhideWhenUsed="0" w:uiPriority="99" w:name="toc 5"/>
    <w:lsdException w:qFormat="1" w:unhideWhenUsed="0" w:uiPriority="99" w:name="toc 6"/>
    <w:lsdException w:qFormat="1" w:unhideWhenUsed="0" w:uiPriority="99" w:name="toc 7"/>
    <w:lsdException w:qFormat="1" w:unhideWhenUsed="0" w:uiPriority="99" w:name="toc 8"/>
    <w:lsdException w:qFormat="1" w:unhideWhenUsed="0" w:uiPriority="99" w:name="toc 9"/>
    <w:lsdException w:uiPriority="99" w:name="Normal Indent" w:locked="1"/>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uiPriority="99" w:name="table of figures" w:locked="1"/>
    <w:lsdException w:uiPriority="99" w:name="envelope address" w:locked="1"/>
    <w:lsdException w:uiPriority="99" w:name="envelope return" w:locked="1"/>
    <w:lsdException w:qFormat="1" w:unhideWhenUsed="0" w:uiPriority="99" w:name="footnote reference"/>
    <w:lsdException w:qFormat="1" w:unhideWhenUsed="0" w:uiPriority="99" w:semiHidden="0" w:name="annotation reference"/>
    <w:lsdException w:uiPriority="99" w:name="line number" w:locked="1"/>
    <w:lsdException w:qFormat="1" w:unhideWhenUsed="0" w:uiPriority="99" w:semiHidden="0" w:name="page number"/>
    <w:lsdException w:qFormat="1" w:unhideWhenUsed="0" w:uiPriority="99" w:name="endnote reference"/>
    <w:lsdException w:qFormat="1" w:unhideWhenUsed="0" w:uiPriority="99" w:name="endnote text"/>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name="Default Paragraph Font"/>
    <w:lsdException w:qFormat="1" w:unhideWhenUsed="0" w:uiPriority="99" w:semiHidden="0" w:name="Body Text"/>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semiHidden="0" w:name="Body Text Indent 3" w:locked="1"/>
    <w:lsdException w:uiPriority="99" w:name="Block Text" w:locked="1"/>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99" w:name="Document Map"/>
    <w:lsdException w:unhideWhenUsed="0" w:uiPriority="0" w:semiHidden="0"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uiPriority="99" w:name="Normal Table"/>
    <w:lsdException w:qFormat="1" w:unhideWhenUsed="0" w:uiPriority="99"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qFormat="1" w:unhideWhenUsed="0" w:uiPriority="39" w:semiHidden="0" w:name="Table Grid"/>
    <w:lsdException w:uiPriority="99" w:name="Table Theme" w:locked="1"/>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8"/>
    <w:qFormat/>
    <w:uiPriority w:val="99"/>
    <w:pPr>
      <w:keepNext/>
      <w:keepLines/>
      <w:spacing w:before="340" w:after="330" w:line="578" w:lineRule="auto"/>
      <w:outlineLvl w:val="0"/>
    </w:pPr>
    <w:rPr>
      <w:rFonts w:eastAsia="黑体"/>
      <w:b/>
      <w:bCs/>
      <w:kern w:val="44"/>
      <w:sz w:val="30"/>
      <w:szCs w:val="44"/>
    </w:rPr>
  </w:style>
  <w:style w:type="paragraph" w:styleId="3">
    <w:name w:val="heading 2"/>
    <w:basedOn w:val="1"/>
    <w:next w:val="1"/>
    <w:link w:val="49"/>
    <w:qFormat/>
    <w:uiPriority w:val="99"/>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50"/>
    <w:qFormat/>
    <w:uiPriority w:val="99"/>
    <w:pPr>
      <w:keepNext/>
      <w:widowControl/>
      <w:spacing w:before="240" w:after="60"/>
      <w:jc w:val="left"/>
      <w:outlineLvl w:val="2"/>
    </w:pPr>
    <w:rPr>
      <w:rFonts w:ascii="Cambria" w:hAnsi="Cambria"/>
      <w:b/>
      <w:bCs/>
      <w:kern w:val="0"/>
      <w:sz w:val="26"/>
      <w:szCs w:val="26"/>
      <w:lang w:eastAsia="en-US"/>
    </w:rPr>
  </w:style>
  <w:style w:type="paragraph" w:styleId="5">
    <w:name w:val="heading 4"/>
    <w:basedOn w:val="1"/>
    <w:next w:val="1"/>
    <w:link w:val="51"/>
    <w:qFormat/>
    <w:uiPriority w:val="99"/>
    <w:pPr>
      <w:keepNext/>
      <w:keepLines/>
      <w:spacing w:before="280" w:after="290" w:line="376" w:lineRule="auto"/>
      <w:outlineLvl w:val="3"/>
    </w:pPr>
    <w:rPr>
      <w:rFonts w:ascii="Arial" w:hAnsi="Arial" w:eastAsia="黑体"/>
      <w:b/>
      <w:bCs/>
      <w:sz w:val="28"/>
      <w:szCs w:val="28"/>
    </w:rPr>
  </w:style>
  <w:style w:type="character" w:default="1" w:styleId="41">
    <w:name w:val="Default Paragraph Font"/>
    <w:semiHidden/>
    <w:unhideWhenUsed/>
    <w:qFormat/>
    <w:uiPriority w:val="1"/>
  </w:style>
  <w:style w:type="table" w:default="1" w:styleId="39">
    <w:name w:val="Normal Table"/>
    <w:semiHidden/>
    <w:unhideWhenUsed/>
    <w:uiPriority w:val="99"/>
    <w:tblPr>
      <w:tblCellMar>
        <w:top w:w="0" w:type="dxa"/>
        <w:left w:w="108" w:type="dxa"/>
        <w:bottom w:w="0" w:type="dxa"/>
        <w:right w:w="108" w:type="dxa"/>
      </w:tblCellMar>
    </w:tblPr>
  </w:style>
  <w:style w:type="paragraph" w:styleId="6">
    <w:name w:val="toc 7"/>
    <w:basedOn w:val="1"/>
    <w:next w:val="1"/>
    <w:semiHidden/>
    <w:qFormat/>
    <w:uiPriority w:val="99"/>
    <w:pPr>
      <w:tabs>
        <w:tab w:val="right" w:leader="dot" w:pos="9241"/>
      </w:tabs>
      <w:ind w:firstLine="500" w:firstLineChars="500"/>
      <w:jc w:val="left"/>
    </w:pPr>
    <w:rPr>
      <w:rFonts w:ascii="宋体"/>
      <w:szCs w:val="21"/>
    </w:rPr>
  </w:style>
  <w:style w:type="paragraph" w:styleId="7">
    <w:name w:val="index 8"/>
    <w:basedOn w:val="1"/>
    <w:next w:val="1"/>
    <w:qFormat/>
    <w:uiPriority w:val="99"/>
    <w:pPr>
      <w:ind w:left="1680" w:hanging="210"/>
      <w:jc w:val="left"/>
    </w:pPr>
    <w:rPr>
      <w:rFonts w:ascii="Calibri" w:hAnsi="Calibri"/>
      <w:sz w:val="20"/>
      <w:szCs w:val="20"/>
    </w:rPr>
  </w:style>
  <w:style w:type="paragraph" w:styleId="8">
    <w:name w:val="caption"/>
    <w:basedOn w:val="1"/>
    <w:next w:val="1"/>
    <w:qFormat/>
    <w:uiPriority w:val="99"/>
    <w:pPr>
      <w:spacing w:before="152" w:after="160"/>
    </w:pPr>
    <w:rPr>
      <w:rFonts w:ascii="Arial" w:hAnsi="Arial" w:eastAsia="黑体" w:cs="Arial"/>
      <w:sz w:val="20"/>
      <w:szCs w:val="20"/>
    </w:rPr>
  </w:style>
  <w:style w:type="paragraph" w:styleId="9">
    <w:name w:val="index 5"/>
    <w:basedOn w:val="1"/>
    <w:next w:val="1"/>
    <w:qFormat/>
    <w:uiPriority w:val="99"/>
    <w:pPr>
      <w:ind w:left="1050" w:hanging="210"/>
      <w:jc w:val="left"/>
    </w:pPr>
    <w:rPr>
      <w:rFonts w:ascii="Calibri" w:hAnsi="Calibri"/>
      <w:sz w:val="20"/>
      <w:szCs w:val="20"/>
    </w:rPr>
  </w:style>
  <w:style w:type="paragraph" w:styleId="10">
    <w:name w:val="Document Map"/>
    <w:basedOn w:val="1"/>
    <w:link w:val="138"/>
    <w:semiHidden/>
    <w:qFormat/>
    <w:uiPriority w:val="99"/>
    <w:pPr>
      <w:shd w:val="clear" w:color="auto" w:fill="000080"/>
    </w:pPr>
  </w:style>
  <w:style w:type="paragraph" w:styleId="11">
    <w:name w:val="annotation text"/>
    <w:basedOn w:val="1"/>
    <w:link w:val="155"/>
    <w:qFormat/>
    <w:uiPriority w:val="99"/>
    <w:pPr>
      <w:jc w:val="left"/>
    </w:pPr>
  </w:style>
  <w:style w:type="paragraph" w:styleId="12">
    <w:name w:val="index 6"/>
    <w:basedOn w:val="1"/>
    <w:next w:val="1"/>
    <w:qFormat/>
    <w:uiPriority w:val="99"/>
    <w:pPr>
      <w:ind w:left="1260" w:hanging="210"/>
      <w:jc w:val="left"/>
    </w:pPr>
    <w:rPr>
      <w:rFonts w:ascii="Calibri" w:hAnsi="Calibri"/>
      <w:sz w:val="20"/>
      <w:szCs w:val="20"/>
    </w:rPr>
  </w:style>
  <w:style w:type="paragraph" w:styleId="13">
    <w:name w:val="Body Text"/>
    <w:basedOn w:val="1"/>
    <w:link w:val="159"/>
    <w:qFormat/>
    <w:uiPriority w:val="99"/>
    <w:pPr>
      <w:spacing w:after="120"/>
    </w:pPr>
    <w:rPr>
      <w:szCs w:val="20"/>
    </w:rPr>
  </w:style>
  <w:style w:type="paragraph" w:styleId="14">
    <w:name w:val="index 4"/>
    <w:basedOn w:val="1"/>
    <w:next w:val="1"/>
    <w:qFormat/>
    <w:uiPriority w:val="99"/>
    <w:pPr>
      <w:ind w:left="840" w:hanging="210"/>
      <w:jc w:val="left"/>
    </w:pPr>
    <w:rPr>
      <w:rFonts w:ascii="Calibri" w:hAnsi="Calibri"/>
      <w:sz w:val="20"/>
      <w:szCs w:val="20"/>
    </w:rPr>
  </w:style>
  <w:style w:type="paragraph" w:styleId="15">
    <w:name w:val="toc 5"/>
    <w:basedOn w:val="1"/>
    <w:next w:val="1"/>
    <w:semiHidden/>
    <w:qFormat/>
    <w:uiPriority w:val="99"/>
    <w:pPr>
      <w:tabs>
        <w:tab w:val="right" w:leader="dot" w:pos="9241"/>
      </w:tabs>
      <w:ind w:firstLine="300" w:firstLineChars="300"/>
      <w:jc w:val="left"/>
    </w:pPr>
    <w:rPr>
      <w:rFonts w:ascii="宋体"/>
      <w:szCs w:val="21"/>
    </w:rPr>
  </w:style>
  <w:style w:type="paragraph" w:styleId="16">
    <w:name w:val="toc 3"/>
    <w:basedOn w:val="1"/>
    <w:next w:val="1"/>
    <w:qFormat/>
    <w:uiPriority w:val="39"/>
    <w:pPr>
      <w:tabs>
        <w:tab w:val="right" w:leader="dot" w:pos="9241"/>
      </w:tabs>
      <w:ind w:firstLine="100" w:firstLineChars="100"/>
      <w:jc w:val="left"/>
    </w:pPr>
    <w:rPr>
      <w:rFonts w:ascii="宋体"/>
      <w:szCs w:val="21"/>
    </w:rPr>
  </w:style>
  <w:style w:type="paragraph" w:styleId="17">
    <w:name w:val="Plain Text"/>
    <w:basedOn w:val="1"/>
    <w:link w:val="167"/>
    <w:locked/>
    <w:uiPriority w:val="0"/>
    <w:rPr>
      <w:rFonts w:ascii="宋体" w:hAnsi="Courier New"/>
      <w:szCs w:val="20"/>
    </w:rPr>
  </w:style>
  <w:style w:type="paragraph" w:styleId="18">
    <w:name w:val="toc 8"/>
    <w:basedOn w:val="1"/>
    <w:next w:val="1"/>
    <w:semiHidden/>
    <w:qFormat/>
    <w:uiPriority w:val="99"/>
    <w:pPr>
      <w:tabs>
        <w:tab w:val="right" w:leader="dot" w:pos="9241"/>
      </w:tabs>
      <w:ind w:firstLine="607" w:firstLineChars="600"/>
      <w:jc w:val="left"/>
    </w:pPr>
    <w:rPr>
      <w:rFonts w:ascii="宋体"/>
      <w:szCs w:val="21"/>
    </w:rPr>
  </w:style>
  <w:style w:type="paragraph" w:styleId="19">
    <w:name w:val="index 3"/>
    <w:basedOn w:val="1"/>
    <w:next w:val="1"/>
    <w:qFormat/>
    <w:uiPriority w:val="99"/>
    <w:pPr>
      <w:ind w:left="630" w:hanging="210"/>
      <w:jc w:val="left"/>
    </w:pPr>
    <w:rPr>
      <w:rFonts w:ascii="Calibri" w:hAnsi="Calibri"/>
      <w:sz w:val="20"/>
      <w:szCs w:val="20"/>
    </w:rPr>
  </w:style>
  <w:style w:type="paragraph" w:styleId="20">
    <w:name w:val="Date"/>
    <w:basedOn w:val="1"/>
    <w:next w:val="1"/>
    <w:link w:val="166"/>
    <w:semiHidden/>
    <w:unhideWhenUsed/>
    <w:locked/>
    <w:uiPriority w:val="99"/>
    <w:pPr>
      <w:ind w:left="100" w:leftChars="2500"/>
    </w:pPr>
  </w:style>
  <w:style w:type="paragraph" w:styleId="21">
    <w:name w:val="endnote text"/>
    <w:basedOn w:val="1"/>
    <w:link w:val="137"/>
    <w:semiHidden/>
    <w:qFormat/>
    <w:uiPriority w:val="99"/>
    <w:pPr>
      <w:snapToGrid w:val="0"/>
      <w:jc w:val="left"/>
    </w:pPr>
  </w:style>
  <w:style w:type="paragraph" w:styleId="22">
    <w:name w:val="Balloon Text"/>
    <w:basedOn w:val="1"/>
    <w:link w:val="153"/>
    <w:semiHidden/>
    <w:qFormat/>
    <w:uiPriority w:val="99"/>
    <w:rPr>
      <w:sz w:val="18"/>
      <w:szCs w:val="18"/>
    </w:rPr>
  </w:style>
  <w:style w:type="paragraph" w:styleId="23">
    <w:name w:val="footer"/>
    <w:basedOn w:val="1"/>
    <w:link w:val="68"/>
    <w:qFormat/>
    <w:uiPriority w:val="99"/>
    <w:pPr>
      <w:snapToGrid w:val="0"/>
      <w:ind w:right="210" w:rightChars="100"/>
      <w:jc w:val="right"/>
    </w:pPr>
    <w:rPr>
      <w:sz w:val="18"/>
      <w:szCs w:val="18"/>
    </w:rPr>
  </w:style>
  <w:style w:type="paragraph" w:styleId="24">
    <w:name w:val="header"/>
    <w:basedOn w:val="1"/>
    <w:link w:val="69"/>
    <w:qFormat/>
    <w:uiPriority w:val="99"/>
    <w:pPr>
      <w:snapToGrid w:val="0"/>
      <w:jc w:val="left"/>
    </w:pPr>
    <w:rPr>
      <w:sz w:val="18"/>
      <w:szCs w:val="18"/>
    </w:rPr>
  </w:style>
  <w:style w:type="paragraph" w:styleId="25">
    <w:name w:val="toc 1"/>
    <w:basedOn w:val="1"/>
    <w:next w:val="1"/>
    <w:qFormat/>
    <w:uiPriority w:val="39"/>
    <w:pPr>
      <w:tabs>
        <w:tab w:val="right" w:leader="dot" w:pos="9242"/>
      </w:tabs>
      <w:jc w:val="center"/>
    </w:pPr>
    <w:rPr>
      <w:rFonts w:ascii="宋体"/>
      <w:szCs w:val="21"/>
    </w:rPr>
  </w:style>
  <w:style w:type="paragraph" w:styleId="26">
    <w:name w:val="toc 4"/>
    <w:basedOn w:val="1"/>
    <w:next w:val="1"/>
    <w:semiHidden/>
    <w:qFormat/>
    <w:uiPriority w:val="99"/>
    <w:pPr>
      <w:tabs>
        <w:tab w:val="right" w:leader="dot" w:pos="9241"/>
      </w:tabs>
      <w:ind w:firstLine="200" w:firstLineChars="200"/>
      <w:jc w:val="left"/>
    </w:pPr>
    <w:rPr>
      <w:rFonts w:ascii="宋体"/>
      <w:szCs w:val="21"/>
    </w:rPr>
  </w:style>
  <w:style w:type="paragraph" w:styleId="27">
    <w:name w:val="index heading"/>
    <w:basedOn w:val="1"/>
    <w:next w:val="28"/>
    <w:qFormat/>
    <w:uiPriority w:val="99"/>
    <w:pPr>
      <w:spacing w:before="120" w:after="120"/>
      <w:jc w:val="center"/>
    </w:pPr>
    <w:rPr>
      <w:rFonts w:ascii="Calibri" w:hAnsi="Calibri"/>
      <w:b/>
      <w:bCs/>
      <w:iCs/>
      <w:szCs w:val="20"/>
    </w:rPr>
  </w:style>
  <w:style w:type="paragraph" w:styleId="28">
    <w:name w:val="index 1"/>
    <w:basedOn w:val="1"/>
    <w:next w:val="29"/>
    <w:qFormat/>
    <w:uiPriority w:val="99"/>
    <w:pPr>
      <w:tabs>
        <w:tab w:val="right" w:leader="dot" w:pos="9299"/>
      </w:tabs>
      <w:jc w:val="left"/>
    </w:pPr>
    <w:rPr>
      <w:rFonts w:ascii="宋体"/>
      <w:szCs w:val="21"/>
    </w:rPr>
  </w:style>
  <w:style w:type="paragraph" w:customStyle="1" w:styleId="29">
    <w:name w:val="段"/>
    <w:link w:val="52"/>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2"/>
      <w:szCs w:val="22"/>
      <w:lang w:val="en-US" w:eastAsia="zh-CN" w:bidi="ar-SA"/>
    </w:rPr>
  </w:style>
  <w:style w:type="paragraph" w:styleId="30">
    <w:name w:val="footnote text"/>
    <w:basedOn w:val="1"/>
    <w:link w:val="119"/>
    <w:qFormat/>
    <w:uiPriority w:val="99"/>
    <w:pPr>
      <w:numPr>
        <w:ilvl w:val="0"/>
        <w:numId w:val="1"/>
      </w:numPr>
      <w:snapToGrid w:val="0"/>
      <w:jc w:val="left"/>
    </w:pPr>
    <w:rPr>
      <w:rFonts w:ascii="宋体"/>
      <w:sz w:val="18"/>
      <w:szCs w:val="18"/>
    </w:rPr>
  </w:style>
  <w:style w:type="paragraph" w:styleId="31">
    <w:name w:val="toc 6"/>
    <w:basedOn w:val="1"/>
    <w:next w:val="1"/>
    <w:semiHidden/>
    <w:qFormat/>
    <w:uiPriority w:val="99"/>
    <w:pPr>
      <w:tabs>
        <w:tab w:val="right" w:leader="dot" w:pos="9241"/>
      </w:tabs>
      <w:ind w:firstLine="400" w:firstLineChars="400"/>
      <w:jc w:val="left"/>
    </w:pPr>
    <w:rPr>
      <w:rFonts w:ascii="宋体"/>
      <w:szCs w:val="21"/>
    </w:rPr>
  </w:style>
  <w:style w:type="paragraph" w:styleId="32">
    <w:name w:val="Body Text Indent 3"/>
    <w:basedOn w:val="1"/>
    <w:link w:val="165"/>
    <w:unhideWhenUsed/>
    <w:locked/>
    <w:uiPriority w:val="99"/>
    <w:pPr>
      <w:spacing w:after="120"/>
      <w:ind w:left="420" w:leftChars="200"/>
    </w:pPr>
    <w:rPr>
      <w:sz w:val="16"/>
      <w:szCs w:val="16"/>
    </w:rPr>
  </w:style>
  <w:style w:type="paragraph" w:styleId="33">
    <w:name w:val="index 7"/>
    <w:basedOn w:val="1"/>
    <w:next w:val="1"/>
    <w:qFormat/>
    <w:uiPriority w:val="99"/>
    <w:pPr>
      <w:ind w:left="1470" w:hanging="210"/>
      <w:jc w:val="left"/>
    </w:pPr>
    <w:rPr>
      <w:rFonts w:ascii="Calibri" w:hAnsi="Calibri"/>
      <w:sz w:val="20"/>
      <w:szCs w:val="20"/>
    </w:rPr>
  </w:style>
  <w:style w:type="paragraph" w:styleId="34">
    <w:name w:val="index 9"/>
    <w:basedOn w:val="1"/>
    <w:next w:val="1"/>
    <w:qFormat/>
    <w:uiPriority w:val="99"/>
    <w:pPr>
      <w:ind w:left="1890" w:hanging="210"/>
      <w:jc w:val="left"/>
    </w:pPr>
    <w:rPr>
      <w:rFonts w:ascii="Calibri" w:hAnsi="Calibri"/>
      <w:sz w:val="20"/>
      <w:szCs w:val="20"/>
    </w:rPr>
  </w:style>
  <w:style w:type="paragraph" w:styleId="35">
    <w:name w:val="toc 2"/>
    <w:basedOn w:val="1"/>
    <w:next w:val="1"/>
    <w:qFormat/>
    <w:uiPriority w:val="39"/>
    <w:pPr>
      <w:tabs>
        <w:tab w:val="right" w:leader="dot" w:pos="9242"/>
      </w:tabs>
    </w:pPr>
    <w:rPr>
      <w:rFonts w:ascii="宋体"/>
      <w:szCs w:val="21"/>
    </w:rPr>
  </w:style>
  <w:style w:type="paragraph" w:styleId="36">
    <w:name w:val="toc 9"/>
    <w:basedOn w:val="1"/>
    <w:next w:val="1"/>
    <w:semiHidden/>
    <w:qFormat/>
    <w:uiPriority w:val="99"/>
    <w:pPr>
      <w:ind w:left="1470"/>
      <w:jc w:val="left"/>
    </w:pPr>
    <w:rPr>
      <w:sz w:val="20"/>
      <w:szCs w:val="20"/>
    </w:rPr>
  </w:style>
  <w:style w:type="paragraph" w:styleId="37">
    <w:name w:val="index 2"/>
    <w:basedOn w:val="1"/>
    <w:next w:val="1"/>
    <w:qFormat/>
    <w:uiPriority w:val="99"/>
    <w:pPr>
      <w:ind w:left="420" w:hanging="210"/>
      <w:jc w:val="left"/>
    </w:pPr>
    <w:rPr>
      <w:rFonts w:ascii="Calibri" w:hAnsi="Calibri"/>
      <w:sz w:val="20"/>
      <w:szCs w:val="20"/>
    </w:rPr>
  </w:style>
  <w:style w:type="paragraph" w:styleId="38">
    <w:name w:val="annotation subject"/>
    <w:basedOn w:val="11"/>
    <w:next w:val="11"/>
    <w:link w:val="160"/>
    <w:qFormat/>
    <w:uiPriority w:val="99"/>
    <w:rPr>
      <w:b/>
      <w:bCs/>
    </w:rPr>
  </w:style>
  <w:style w:type="table" w:styleId="40">
    <w:name w:val="Table Grid"/>
    <w:basedOn w:val="39"/>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2">
    <w:name w:val="endnote reference"/>
    <w:semiHidden/>
    <w:qFormat/>
    <w:uiPriority w:val="99"/>
    <w:rPr>
      <w:rFonts w:cs="Times New Roman"/>
      <w:vertAlign w:val="superscript"/>
    </w:rPr>
  </w:style>
  <w:style w:type="character" w:styleId="43">
    <w:name w:val="page number"/>
    <w:qFormat/>
    <w:uiPriority w:val="99"/>
    <w:rPr>
      <w:rFonts w:ascii="Times New Roman" w:hAnsi="Times New Roman" w:eastAsia="宋体" w:cs="Times New Roman"/>
      <w:sz w:val="18"/>
    </w:rPr>
  </w:style>
  <w:style w:type="character" w:styleId="44">
    <w:name w:val="FollowedHyperlink"/>
    <w:qFormat/>
    <w:uiPriority w:val="99"/>
    <w:rPr>
      <w:rFonts w:cs="Times New Roman"/>
      <w:color w:val="800080"/>
      <w:u w:val="single"/>
    </w:rPr>
  </w:style>
  <w:style w:type="character" w:styleId="45">
    <w:name w:val="Hyperlink"/>
    <w:qFormat/>
    <w:uiPriority w:val="99"/>
    <w:rPr>
      <w:rFonts w:cs="Times New Roman"/>
      <w:color w:val="0000FF"/>
      <w:spacing w:val="0"/>
      <w:w w:val="100"/>
      <w:sz w:val="21"/>
      <w:u w:val="single"/>
    </w:rPr>
  </w:style>
  <w:style w:type="character" w:styleId="46">
    <w:name w:val="annotation reference"/>
    <w:qFormat/>
    <w:uiPriority w:val="99"/>
    <w:rPr>
      <w:rFonts w:cs="Times New Roman"/>
      <w:sz w:val="21"/>
    </w:rPr>
  </w:style>
  <w:style w:type="character" w:styleId="47">
    <w:name w:val="footnote reference"/>
    <w:semiHidden/>
    <w:qFormat/>
    <w:uiPriority w:val="99"/>
    <w:rPr>
      <w:rFonts w:cs="Times New Roman"/>
      <w:vertAlign w:val="superscript"/>
    </w:rPr>
  </w:style>
  <w:style w:type="character" w:customStyle="1" w:styleId="48">
    <w:name w:val="标题 1 字符"/>
    <w:link w:val="2"/>
    <w:qFormat/>
    <w:locked/>
    <w:uiPriority w:val="99"/>
    <w:rPr>
      <w:rFonts w:eastAsia="黑体"/>
      <w:b/>
      <w:bCs/>
      <w:kern w:val="44"/>
      <w:sz w:val="30"/>
      <w:szCs w:val="44"/>
    </w:rPr>
  </w:style>
  <w:style w:type="character" w:customStyle="1" w:styleId="49">
    <w:name w:val="标题 2 字符"/>
    <w:link w:val="3"/>
    <w:semiHidden/>
    <w:qFormat/>
    <w:locked/>
    <w:uiPriority w:val="99"/>
    <w:rPr>
      <w:rFonts w:ascii="Cambria" w:hAnsi="Cambria" w:eastAsia="宋体" w:cs="Times New Roman"/>
      <w:b/>
      <w:bCs/>
      <w:sz w:val="32"/>
      <w:szCs w:val="32"/>
    </w:rPr>
  </w:style>
  <w:style w:type="character" w:customStyle="1" w:styleId="50">
    <w:name w:val="标题 3 字符"/>
    <w:link w:val="4"/>
    <w:qFormat/>
    <w:locked/>
    <w:uiPriority w:val="99"/>
    <w:rPr>
      <w:rFonts w:ascii="Cambria" w:hAnsi="Cambria" w:eastAsia="宋体" w:cs="Times New Roman"/>
      <w:b/>
      <w:sz w:val="26"/>
      <w:lang w:val="en-US" w:eastAsia="en-US"/>
    </w:rPr>
  </w:style>
  <w:style w:type="character" w:customStyle="1" w:styleId="51">
    <w:name w:val="标题 4 字符"/>
    <w:link w:val="5"/>
    <w:semiHidden/>
    <w:qFormat/>
    <w:locked/>
    <w:uiPriority w:val="99"/>
    <w:rPr>
      <w:rFonts w:ascii="Cambria" w:hAnsi="Cambria" w:eastAsia="宋体" w:cs="Times New Roman"/>
      <w:b/>
      <w:bCs/>
      <w:sz w:val="28"/>
      <w:szCs w:val="28"/>
    </w:rPr>
  </w:style>
  <w:style w:type="character" w:customStyle="1" w:styleId="52">
    <w:name w:val="段 Char"/>
    <w:link w:val="29"/>
    <w:qFormat/>
    <w:locked/>
    <w:uiPriority w:val="0"/>
    <w:rPr>
      <w:rFonts w:ascii="宋体"/>
      <w:sz w:val="22"/>
      <w:lang w:val="en-US" w:eastAsia="zh-CN"/>
    </w:rPr>
  </w:style>
  <w:style w:type="paragraph" w:customStyle="1" w:styleId="53">
    <w:name w:val="一级条标题"/>
    <w:next w:val="29"/>
    <w:qFormat/>
    <w:uiPriority w:val="99"/>
    <w:pPr>
      <w:numPr>
        <w:ilvl w:val="1"/>
        <w:numId w:val="2"/>
      </w:numPr>
      <w:spacing w:beforeLines="50" w:afterLines="50"/>
      <w:outlineLvl w:val="2"/>
    </w:pPr>
    <w:rPr>
      <w:rFonts w:ascii="黑体" w:hAnsi="Times New Roman" w:eastAsia="黑体" w:cs="Times New Roman"/>
      <w:sz w:val="21"/>
      <w:szCs w:val="21"/>
      <w:lang w:val="en-US" w:eastAsia="zh-CN" w:bidi="ar-SA"/>
    </w:rPr>
  </w:style>
  <w:style w:type="paragraph" w:customStyle="1" w:styleId="54">
    <w:name w:val="标准书脚_奇数页"/>
    <w:qFormat/>
    <w:uiPriority w:val="99"/>
    <w:pPr>
      <w:spacing w:before="120"/>
      <w:ind w:right="198"/>
      <w:jc w:val="right"/>
    </w:pPr>
    <w:rPr>
      <w:rFonts w:ascii="宋体" w:hAnsi="Times New Roman" w:eastAsia="宋体" w:cs="Times New Roman"/>
      <w:sz w:val="18"/>
      <w:szCs w:val="18"/>
      <w:lang w:val="en-US" w:eastAsia="zh-CN" w:bidi="ar-SA"/>
    </w:rPr>
  </w:style>
  <w:style w:type="paragraph" w:customStyle="1" w:styleId="55">
    <w:name w:val="标准书眉_奇数页"/>
    <w:next w:val="1"/>
    <w:qFormat/>
    <w:uiPriority w:val="99"/>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56">
    <w:name w:val="章标题"/>
    <w:next w:val="29"/>
    <w:qFormat/>
    <w:uiPriority w:val="99"/>
    <w:pPr>
      <w:numPr>
        <w:ilvl w:val="0"/>
        <w:numId w:val="2"/>
      </w:numPr>
      <w:spacing w:beforeLines="100" w:afterLines="100"/>
      <w:jc w:val="both"/>
      <w:outlineLvl w:val="1"/>
    </w:pPr>
    <w:rPr>
      <w:rFonts w:ascii="黑体" w:hAnsi="Times New Roman" w:eastAsia="黑体" w:cs="Times New Roman"/>
      <w:sz w:val="21"/>
      <w:lang w:val="en-US" w:eastAsia="zh-CN" w:bidi="ar-SA"/>
    </w:rPr>
  </w:style>
  <w:style w:type="paragraph" w:customStyle="1" w:styleId="57">
    <w:name w:val="二级条标题"/>
    <w:basedOn w:val="53"/>
    <w:next w:val="29"/>
    <w:qFormat/>
    <w:uiPriority w:val="99"/>
    <w:pPr>
      <w:numPr>
        <w:ilvl w:val="2"/>
      </w:numPr>
      <w:spacing w:before="50" w:after="50"/>
      <w:outlineLvl w:val="3"/>
    </w:pPr>
  </w:style>
  <w:style w:type="paragraph" w:customStyle="1" w:styleId="58">
    <w:name w:val="封面标准号2"/>
    <w:qFormat/>
    <w:uiPriority w:val="99"/>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59">
    <w:name w:val="列项——（一级）"/>
    <w:qFormat/>
    <w:uiPriority w:val="99"/>
    <w:pPr>
      <w:widowControl w:val="0"/>
      <w:numPr>
        <w:ilvl w:val="0"/>
        <w:numId w:val="3"/>
      </w:numPr>
      <w:jc w:val="both"/>
    </w:pPr>
    <w:rPr>
      <w:rFonts w:ascii="宋体" w:hAnsi="Times New Roman" w:eastAsia="宋体" w:cs="Times New Roman"/>
      <w:sz w:val="21"/>
      <w:lang w:val="en-US" w:eastAsia="zh-CN" w:bidi="ar-SA"/>
    </w:rPr>
  </w:style>
  <w:style w:type="paragraph" w:customStyle="1" w:styleId="60">
    <w:name w:val="列项●（二级）"/>
    <w:qFormat/>
    <w:uiPriority w:val="99"/>
    <w:pPr>
      <w:numPr>
        <w:ilvl w:val="1"/>
        <w:numId w:val="3"/>
      </w:numPr>
      <w:tabs>
        <w:tab w:val="left" w:pos="840"/>
      </w:tabs>
      <w:jc w:val="both"/>
    </w:pPr>
    <w:rPr>
      <w:rFonts w:ascii="宋体" w:hAnsi="Times New Roman" w:eastAsia="宋体" w:cs="Times New Roman"/>
      <w:sz w:val="21"/>
      <w:lang w:val="en-US" w:eastAsia="zh-CN" w:bidi="ar-SA"/>
    </w:rPr>
  </w:style>
  <w:style w:type="paragraph" w:customStyle="1" w:styleId="61">
    <w:name w:val="目次、标准名称标题"/>
    <w:basedOn w:val="1"/>
    <w:next w:val="29"/>
    <w:qFormat/>
    <w:uiPriority w:val="99"/>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62">
    <w:name w:val="三级条标题"/>
    <w:basedOn w:val="57"/>
    <w:next w:val="29"/>
    <w:qFormat/>
    <w:uiPriority w:val="99"/>
    <w:pPr>
      <w:numPr>
        <w:ilvl w:val="3"/>
      </w:numPr>
      <w:outlineLvl w:val="4"/>
    </w:pPr>
  </w:style>
  <w:style w:type="paragraph" w:customStyle="1" w:styleId="63">
    <w:name w:val="示例"/>
    <w:next w:val="64"/>
    <w:qFormat/>
    <w:uiPriority w:val="99"/>
    <w:pPr>
      <w:widowControl w:val="0"/>
      <w:numPr>
        <w:ilvl w:val="0"/>
        <w:numId w:val="4"/>
      </w:numPr>
      <w:jc w:val="both"/>
    </w:pPr>
    <w:rPr>
      <w:rFonts w:ascii="宋体" w:hAnsi="Times New Roman" w:eastAsia="宋体" w:cs="Times New Roman"/>
      <w:sz w:val="18"/>
      <w:szCs w:val="18"/>
      <w:lang w:val="en-US" w:eastAsia="zh-CN" w:bidi="ar-SA"/>
    </w:rPr>
  </w:style>
  <w:style w:type="paragraph" w:customStyle="1" w:styleId="64">
    <w:name w:val="示例内容"/>
    <w:qFormat/>
    <w:uiPriority w:val="99"/>
    <w:pPr>
      <w:ind w:firstLine="200" w:firstLineChars="200"/>
    </w:pPr>
    <w:rPr>
      <w:rFonts w:ascii="宋体" w:hAnsi="Times New Roman" w:eastAsia="宋体" w:cs="Times New Roman"/>
      <w:sz w:val="18"/>
      <w:szCs w:val="18"/>
      <w:lang w:val="en-US" w:eastAsia="zh-CN" w:bidi="ar-SA"/>
    </w:rPr>
  </w:style>
  <w:style w:type="paragraph" w:customStyle="1" w:styleId="65">
    <w:name w:val="数字编号列项（二级）"/>
    <w:qFormat/>
    <w:uiPriority w:val="99"/>
    <w:pPr>
      <w:numPr>
        <w:ilvl w:val="1"/>
        <w:numId w:val="5"/>
      </w:numPr>
      <w:jc w:val="both"/>
    </w:pPr>
    <w:rPr>
      <w:rFonts w:ascii="宋体" w:hAnsi="Times New Roman" w:eastAsia="宋体" w:cs="Times New Roman"/>
      <w:sz w:val="21"/>
      <w:lang w:val="en-US" w:eastAsia="zh-CN" w:bidi="ar-SA"/>
    </w:rPr>
  </w:style>
  <w:style w:type="paragraph" w:customStyle="1" w:styleId="66">
    <w:name w:val="四级条标题"/>
    <w:basedOn w:val="62"/>
    <w:next w:val="29"/>
    <w:qFormat/>
    <w:uiPriority w:val="99"/>
    <w:pPr>
      <w:numPr>
        <w:ilvl w:val="4"/>
      </w:numPr>
      <w:ind w:left="0"/>
      <w:outlineLvl w:val="5"/>
    </w:pPr>
  </w:style>
  <w:style w:type="paragraph" w:customStyle="1" w:styleId="67">
    <w:name w:val="五级条标题"/>
    <w:basedOn w:val="66"/>
    <w:next w:val="29"/>
    <w:qFormat/>
    <w:uiPriority w:val="99"/>
    <w:pPr>
      <w:numPr>
        <w:ilvl w:val="5"/>
      </w:numPr>
      <w:outlineLvl w:val="6"/>
    </w:pPr>
  </w:style>
  <w:style w:type="character" w:customStyle="1" w:styleId="68">
    <w:name w:val="页脚 字符"/>
    <w:link w:val="23"/>
    <w:qFormat/>
    <w:locked/>
    <w:uiPriority w:val="99"/>
    <w:rPr>
      <w:rFonts w:cs="Times New Roman"/>
      <w:kern w:val="2"/>
      <w:sz w:val="18"/>
    </w:rPr>
  </w:style>
  <w:style w:type="character" w:customStyle="1" w:styleId="69">
    <w:name w:val="页眉 字符"/>
    <w:link w:val="24"/>
    <w:semiHidden/>
    <w:qFormat/>
    <w:locked/>
    <w:uiPriority w:val="99"/>
    <w:rPr>
      <w:rFonts w:cs="Times New Roman"/>
      <w:sz w:val="18"/>
      <w:szCs w:val="18"/>
    </w:rPr>
  </w:style>
  <w:style w:type="paragraph" w:customStyle="1" w:styleId="70">
    <w:name w:val="注："/>
    <w:next w:val="29"/>
    <w:qFormat/>
    <w:uiPriority w:val="99"/>
    <w:pPr>
      <w:widowControl w:val="0"/>
      <w:numPr>
        <w:ilvl w:val="0"/>
        <w:numId w:val="6"/>
      </w:numPr>
      <w:autoSpaceDE w:val="0"/>
      <w:autoSpaceDN w:val="0"/>
      <w:jc w:val="both"/>
    </w:pPr>
    <w:rPr>
      <w:rFonts w:ascii="宋体" w:hAnsi="Times New Roman" w:eastAsia="宋体" w:cs="Times New Roman"/>
      <w:sz w:val="18"/>
      <w:szCs w:val="18"/>
      <w:lang w:val="en-US" w:eastAsia="zh-CN" w:bidi="ar-SA"/>
    </w:rPr>
  </w:style>
  <w:style w:type="paragraph" w:customStyle="1" w:styleId="71">
    <w:name w:val="注×："/>
    <w:qFormat/>
    <w:uiPriority w:val="99"/>
    <w:pPr>
      <w:widowControl w:val="0"/>
      <w:numPr>
        <w:ilvl w:val="0"/>
        <w:numId w:val="7"/>
      </w:numPr>
      <w:autoSpaceDE w:val="0"/>
      <w:autoSpaceDN w:val="0"/>
      <w:jc w:val="both"/>
    </w:pPr>
    <w:rPr>
      <w:rFonts w:ascii="宋体" w:hAnsi="Times New Roman" w:eastAsia="宋体" w:cs="Times New Roman"/>
      <w:sz w:val="18"/>
      <w:szCs w:val="18"/>
      <w:lang w:val="en-US" w:eastAsia="zh-CN" w:bidi="ar-SA"/>
    </w:rPr>
  </w:style>
  <w:style w:type="paragraph" w:customStyle="1" w:styleId="72">
    <w:name w:val="字母编号列项（一级）"/>
    <w:qFormat/>
    <w:uiPriority w:val="0"/>
    <w:pPr>
      <w:numPr>
        <w:ilvl w:val="0"/>
        <w:numId w:val="5"/>
      </w:numPr>
      <w:jc w:val="both"/>
    </w:pPr>
    <w:rPr>
      <w:rFonts w:ascii="宋体" w:hAnsi="Times New Roman" w:eastAsia="宋体" w:cs="Times New Roman"/>
      <w:sz w:val="21"/>
      <w:lang w:val="en-US" w:eastAsia="zh-CN" w:bidi="ar-SA"/>
    </w:rPr>
  </w:style>
  <w:style w:type="paragraph" w:customStyle="1" w:styleId="73">
    <w:name w:val="列项◆（三级）"/>
    <w:basedOn w:val="1"/>
    <w:qFormat/>
    <w:uiPriority w:val="99"/>
    <w:pPr>
      <w:numPr>
        <w:ilvl w:val="2"/>
        <w:numId w:val="3"/>
      </w:numPr>
    </w:pPr>
    <w:rPr>
      <w:rFonts w:ascii="宋体"/>
      <w:szCs w:val="21"/>
    </w:rPr>
  </w:style>
  <w:style w:type="paragraph" w:customStyle="1" w:styleId="74">
    <w:name w:val="编号列项（三级）"/>
    <w:qFormat/>
    <w:uiPriority w:val="99"/>
    <w:pPr>
      <w:numPr>
        <w:ilvl w:val="2"/>
        <w:numId w:val="5"/>
      </w:numPr>
    </w:pPr>
    <w:rPr>
      <w:rFonts w:ascii="宋体" w:hAnsi="Times New Roman" w:eastAsia="宋体" w:cs="Times New Roman"/>
      <w:sz w:val="21"/>
      <w:lang w:val="en-US" w:eastAsia="zh-CN" w:bidi="ar-SA"/>
    </w:rPr>
  </w:style>
  <w:style w:type="paragraph" w:customStyle="1" w:styleId="75">
    <w:name w:val="示例×："/>
    <w:basedOn w:val="56"/>
    <w:qFormat/>
    <w:uiPriority w:val="99"/>
    <w:pPr>
      <w:numPr>
        <w:numId w:val="8"/>
      </w:numPr>
      <w:spacing w:beforeLines="0" w:afterLines="0"/>
      <w:outlineLvl w:val="9"/>
    </w:pPr>
    <w:rPr>
      <w:rFonts w:ascii="宋体" w:eastAsia="宋体"/>
      <w:sz w:val="18"/>
      <w:szCs w:val="18"/>
    </w:rPr>
  </w:style>
  <w:style w:type="paragraph" w:customStyle="1" w:styleId="76">
    <w:name w:val="二级无"/>
    <w:basedOn w:val="57"/>
    <w:qFormat/>
    <w:uiPriority w:val="99"/>
    <w:pPr>
      <w:spacing w:beforeLines="0" w:afterLines="0"/>
    </w:pPr>
    <w:rPr>
      <w:rFonts w:ascii="宋体" w:eastAsia="宋体"/>
    </w:rPr>
  </w:style>
  <w:style w:type="paragraph" w:customStyle="1" w:styleId="77">
    <w:name w:val="注：（正文）"/>
    <w:basedOn w:val="70"/>
    <w:next w:val="29"/>
    <w:qFormat/>
    <w:uiPriority w:val="99"/>
  </w:style>
  <w:style w:type="paragraph" w:customStyle="1" w:styleId="78">
    <w:name w:val="注×：（正文）"/>
    <w:qFormat/>
    <w:uiPriority w:val="99"/>
    <w:pPr>
      <w:numPr>
        <w:ilvl w:val="0"/>
        <w:numId w:val="9"/>
      </w:numPr>
      <w:jc w:val="both"/>
    </w:pPr>
    <w:rPr>
      <w:rFonts w:ascii="宋体" w:hAnsi="Times New Roman" w:eastAsia="宋体" w:cs="Times New Roman"/>
      <w:sz w:val="18"/>
      <w:szCs w:val="18"/>
      <w:lang w:val="en-US" w:eastAsia="zh-CN" w:bidi="ar-SA"/>
    </w:rPr>
  </w:style>
  <w:style w:type="paragraph" w:customStyle="1" w:styleId="79">
    <w:name w:val="标准标志"/>
    <w:next w:val="1"/>
    <w:qFormat/>
    <w:uiPriority w:val="99"/>
    <w:pPr>
      <w:framePr w:w="2546" w:h="1389" w:hRule="exact" w:hSpace="181" w:vSpace="181" w:wrap="around" w:vAnchor="margin" w:hAnchor="margin" w:x="6522" w:y="398" w:anchorLock="1"/>
      <w:shd w:val="solid" w:color="FFFFFF" w:fill="FFFFFF"/>
      <w:spacing w:line="240" w:lineRule="atLeast"/>
      <w:jc w:val="right"/>
    </w:pPr>
    <w:rPr>
      <w:rFonts w:ascii="Times New Roman" w:hAnsi="Times New Roman" w:eastAsia="宋体" w:cs="Times New Roman"/>
      <w:b/>
      <w:w w:val="170"/>
      <w:sz w:val="96"/>
      <w:szCs w:val="96"/>
      <w:lang w:val="en-US" w:eastAsia="zh-CN" w:bidi="ar-SA"/>
    </w:rPr>
  </w:style>
  <w:style w:type="paragraph" w:customStyle="1" w:styleId="80">
    <w:name w:val="标准称谓"/>
    <w:next w:val="1"/>
    <w:qFormat/>
    <w:uiPriority w:val="99"/>
    <w:pPr>
      <w:framePr w:w="9639" w:h="624" w:hRule="exact" w:hSpace="181" w:vSpace="181" w:wrap="around" w:vAnchor="page" w:hAnchor="page" w:x="1419" w:y="2286" w:anchorLock="1"/>
      <w:widowControl w:val="0"/>
      <w:kinsoku w:val="0"/>
      <w:overflowPunct w:val="0"/>
      <w:autoSpaceDE w:val="0"/>
      <w:autoSpaceDN w:val="0"/>
      <w:spacing w:line="240" w:lineRule="atLeast"/>
      <w:jc w:val="distribute"/>
    </w:pPr>
    <w:rPr>
      <w:rFonts w:ascii="宋体" w:hAnsi="Times New Roman" w:eastAsia="宋体" w:cs="Times New Roman"/>
      <w:b/>
      <w:bCs/>
      <w:spacing w:val="20"/>
      <w:w w:val="148"/>
      <w:sz w:val="48"/>
      <w:lang w:val="en-US" w:eastAsia="zh-CN" w:bidi="ar-SA"/>
    </w:rPr>
  </w:style>
  <w:style w:type="paragraph" w:customStyle="1" w:styleId="81">
    <w:name w:val="标准书脚_偶数页"/>
    <w:qFormat/>
    <w:uiPriority w:val="99"/>
    <w:pPr>
      <w:spacing w:before="120"/>
      <w:ind w:left="221"/>
    </w:pPr>
    <w:rPr>
      <w:rFonts w:ascii="宋体" w:hAnsi="Times New Roman" w:eastAsia="宋体" w:cs="Times New Roman"/>
      <w:sz w:val="18"/>
      <w:szCs w:val="18"/>
      <w:lang w:val="en-US" w:eastAsia="zh-CN" w:bidi="ar-SA"/>
    </w:rPr>
  </w:style>
  <w:style w:type="paragraph" w:customStyle="1" w:styleId="82">
    <w:name w:val="标准书眉_偶数页"/>
    <w:basedOn w:val="55"/>
    <w:next w:val="1"/>
    <w:qFormat/>
    <w:uiPriority w:val="99"/>
    <w:pPr>
      <w:jc w:val="left"/>
    </w:pPr>
  </w:style>
  <w:style w:type="paragraph" w:customStyle="1" w:styleId="83">
    <w:name w:val="标准书眉一"/>
    <w:qFormat/>
    <w:uiPriority w:val="99"/>
    <w:pPr>
      <w:jc w:val="both"/>
    </w:pPr>
    <w:rPr>
      <w:rFonts w:ascii="Times New Roman" w:hAnsi="Times New Roman" w:eastAsia="宋体" w:cs="Times New Roman"/>
      <w:lang w:val="en-US" w:eastAsia="zh-CN" w:bidi="ar-SA"/>
    </w:rPr>
  </w:style>
  <w:style w:type="paragraph" w:customStyle="1" w:styleId="84">
    <w:name w:val="参考文献"/>
    <w:basedOn w:val="1"/>
    <w:next w:val="29"/>
    <w:qFormat/>
    <w:uiPriority w:val="99"/>
    <w:pPr>
      <w:keepNext/>
      <w:pageBreakBefore/>
      <w:widowControl/>
      <w:shd w:val="clear" w:color="FFFFFF" w:fill="FFFFFF"/>
      <w:spacing w:before="640" w:after="200"/>
      <w:jc w:val="center"/>
      <w:outlineLvl w:val="0"/>
    </w:pPr>
    <w:rPr>
      <w:rFonts w:ascii="黑体" w:eastAsia="黑体"/>
      <w:kern w:val="0"/>
      <w:szCs w:val="20"/>
    </w:rPr>
  </w:style>
  <w:style w:type="paragraph" w:customStyle="1" w:styleId="85">
    <w:name w:val="参考文献、索引标题"/>
    <w:basedOn w:val="1"/>
    <w:next w:val="29"/>
    <w:qFormat/>
    <w:uiPriority w:val="99"/>
    <w:pPr>
      <w:keepNext/>
      <w:pageBreakBefore/>
      <w:widowControl/>
      <w:shd w:val="clear" w:color="FFFFFF" w:fill="FFFFFF"/>
      <w:spacing w:before="640" w:after="200"/>
      <w:jc w:val="center"/>
      <w:outlineLvl w:val="0"/>
    </w:pPr>
    <w:rPr>
      <w:rFonts w:ascii="黑体" w:eastAsia="黑体"/>
      <w:kern w:val="0"/>
      <w:szCs w:val="20"/>
    </w:rPr>
  </w:style>
  <w:style w:type="character" w:customStyle="1" w:styleId="86">
    <w:name w:val="发布"/>
    <w:qFormat/>
    <w:uiPriority w:val="99"/>
    <w:rPr>
      <w:rFonts w:ascii="黑体" w:eastAsia="黑体"/>
      <w:spacing w:val="85"/>
      <w:w w:val="100"/>
      <w:position w:val="3"/>
      <w:sz w:val="28"/>
    </w:rPr>
  </w:style>
  <w:style w:type="paragraph" w:customStyle="1" w:styleId="87">
    <w:name w:val="发布部门"/>
    <w:next w:val="29"/>
    <w:qFormat/>
    <w:uiPriority w:val="99"/>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88">
    <w:name w:val="发布日期"/>
    <w:qFormat/>
    <w:uiPriority w:val="99"/>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89">
    <w:name w:val="封面标准代替信息"/>
    <w:qFormat/>
    <w:uiPriority w:val="99"/>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90">
    <w:name w:val="封面标准号1"/>
    <w:qFormat/>
    <w:uiPriority w:val="99"/>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91">
    <w:name w:val="封面标准名称"/>
    <w:qFormat/>
    <w:uiPriority w:val="99"/>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92">
    <w:name w:val="封面标准英文名称"/>
    <w:basedOn w:val="91"/>
    <w:qFormat/>
    <w:uiPriority w:val="99"/>
    <w:pPr>
      <w:framePr w:wrap="around"/>
      <w:spacing w:before="370" w:line="400" w:lineRule="exact"/>
    </w:pPr>
    <w:rPr>
      <w:rFonts w:ascii="Times New Roman"/>
      <w:sz w:val="28"/>
      <w:szCs w:val="28"/>
    </w:rPr>
  </w:style>
  <w:style w:type="paragraph" w:customStyle="1" w:styleId="93">
    <w:name w:val="封面一致性程度标识"/>
    <w:basedOn w:val="92"/>
    <w:qFormat/>
    <w:uiPriority w:val="99"/>
    <w:pPr>
      <w:framePr w:wrap="around"/>
      <w:spacing w:before="440"/>
    </w:pPr>
    <w:rPr>
      <w:rFonts w:ascii="宋体" w:eastAsia="宋体"/>
    </w:rPr>
  </w:style>
  <w:style w:type="paragraph" w:customStyle="1" w:styleId="94">
    <w:name w:val="封面标准文稿类别"/>
    <w:basedOn w:val="93"/>
    <w:qFormat/>
    <w:uiPriority w:val="99"/>
    <w:pPr>
      <w:framePr w:wrap="around"/>
      <w:spacing w:after="160" w:line="240" w:lineRule="auto"/>
    </w:pPr>
    <w:rPr>
      <w:sz w:val="24"/>
    </w:rPr>
  </w:style>
  <w:style w:type="paragraph" w:customStyle="1" w:styleId="95">
    <w:name w:val="封面标准文稿编辑信息"/>
    <w:basedOn w:val="94"/>
    <w:qFormat/>
    <w:uiPriority w:val="99"/>
    <w:pPr>
      <w:framePr w:wrap="around"/>
      <w:spacing w:before="180" w:line="180" w:lineRule="exact"/>
    </w:pPr>
    <w:rPr>
      <w:sz w:val="21"/>
    </w:rPr>
  </w:style>
  <w:style w:type="paragraph" w:customStyle="1" w:styleId="96">
    <w:name w:val="封面正文"/>
    <w:qFormat/>
    <w:uiPriority w:val="99"/>
    <w:pPr>
      <w:jc w:val="both"/>
    </w:pPr>
    <w:rPr>
      <w:rFonts w:ascii="Times New Roman" w:hAnsi="Times New Roman" w:eastAsia="宋体" w:cs="Times New Roman"/>
      <w:lang w:val="en-US" w:eastAsia="zh-CN" w:bidi="ar-SA"/>
    </w:rPr>
  </w:style>
  <w:style w:type="paragraph" w:customStyle="1" w:styleId="97">
    <w:name w:val="附录标识"/>
    <w:basedOn w:val="1"/>
    <w:next w:val="29"/>
    <w:qFormat/>
    <w:uiPriority w:val="99"/>
    <w:pPr>
      <w:keepNext/>
      <w:widowControl/>
      <w:numPr>
        <w:ilvl w:val="0"/>
        <w:numId w:val="10"/>
      </w:numPr>
      <w:shd w:val="clear" w:color="FFFFFF" w:fill="FFFFFF"/>
      <w:tabs>
        <w:tab w:val="left" w:pos="6405"/>
      </w:tabs>
      <w:spacing w:before="640" w:after="280"/>
      <w:jc w:val="center"/>
      <w:outlineLvl w:val="0"/>
    </w:pPr>
    <w:rPr>
      <w:rFonts w:ascii="黑体" w:eastAsia="黑体"/>
      <w:kern w:val="0"/>
      <w:szCs w:val="20"/>
    </w:rPr>
  </w:style>
  <w:style w:type="paragraph" w:customStyle="1" w:styleId="98">
    <w:name w:val="附录标题"/>
    <w:basedOn w:val="29"/>
    <w:next w:val="29"/>
    <w:qFormat/>
    <w:uiPriority w:val="99"/>
    <w:pPr>
      <w:ind w:firstLine="0" w:firstLineChars="0"/>
      <w:jc w:val="center"/>
    </w:pPr>
    <w:rPr>
      <w:rFonts w:ascii="黑体" w:eastAsia="黑体"/>
    </w:rPr>
  </w:style>
  <w:style w:type="paragraph" w:customStyle="1" w:styleId="99">
    <w:name w:val="附录表标号"/>
    <w:basedOn w:val="1"/>
    <w:next w:val="29"/>
    <w:qFormat/>
    <w:uiPriority w:val="99"/>
    <w:pPr>
      <w:numPr>
        <w:ilvl w:val="0"/>
        <w:numId w:val="11"/>
      </w:numPr>
      <w:spacing w:line="14" w:lineRule="exact"/>
      <w:ind w:left="811" w:hanging="448"/>
      <w:jc w:val="center"/>
      <w:outlineLvl w:val="0"/>
    </w:pPr>
    <w:rPr>
      <w:color w:val="FFFFFF"/>
    </w:rPr>
  </w:style>
  <w:style w:type="paragraph" w:customStyle="1" w:styleId="100">
    <w:name w:val="附录表标题"/>
    <w:basedOn w:val="1"/>
    <w:next w:val="29"/>
    <w:qFormat/>
    <w:uiPriority w:val="99"/>
    <w:pPr>
      <w:numPr>
        <w:ilvl w:val="1"/>
        <w:numId w:val="11"/>
      </w:numPr>
      <w:tabs>
        <w:tab w:val="left" w:pos="180"/>
      </w:tabs>
      <w:spacing w:beforeLines="50" w:afterLines="50"/>
      <w:jc w:val="center"/>
    </w:pPr>
    <w:rPr>
      <w:rFonts w:ascii="黑体" w:eastAsia="黑体"/>
      <w:szCs w:val="21"/>
    </w:rPr>
  </w:style>
  <w:style w:type="paragraph" w:customStyle="1" w:styleId="101">
    <w:name w:val="附录二级条标题"/>
    <w:basedOn w:val="1"/>
    <w:next w:val="29"/>
    <w:qFormat/>
    <w:uiPriority w:val="99"/>
    <w:pPr>
      <w:widowControl/>
      <w:numPr>
        <w:ilvl w:val="3"/>
        <w:numId w:val="10"/>
      </w:numPr>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102">
    <w:name w:val="附录二级无"/>
    <w:basedOn w:val="101"/>
    <w:qFormat/>
    <w:uiPriority w:val="99"/>
    <w:pPr>
      <w:spacing w:beforeLines="0" w:afterLines="0"/>
    </w:pPr>
    <w:rPr>
      <w:rFonts w:ascii="宋体" w:eastAsia="宋体"/>
      <w:szCs w:val="21"/>
    </w:rPr>
  </w:style>
  <w:style w:type="paragraph" w:customStyle="1" w:styleId="103">
    <w:name w:val="附录公式"/>
    <w:basedOn w:val="29"/>
    <w:next w:val="29"/>
    <w:link w:val="104"/>
    <w:qFormat/>
    <w:uiPriority w:val="99"/>
  </w:style>
  <w:style w:type="character" w:customStyle="1" w:styleId="104">
    <w:name w:val="附录公式 Char"/>
    <w:link w:val="103"/>
    <w:qFormat/>
    <w:locked/>
    <w:uiPriority w:val="99"/>
    <w:rPr>
      <w:rFonts w:ascii="宋体" w:cs="Times New Roman"/>
      <w:sz w:val="22"/>
      <w:szCs w:val="22"/>
      <w:lang w:val="en-US" w:eastAsia="zh-CN" w:bidi="ar-SA"/>
    </w:rPr>
  </w:style>
  <w:style w:type="paragraph" w:customStyle="1" w:styleId="105">
    <w:name w:val="附录公式编号制表符"/>
    <w:basedOn w:val="1"/>
    <w:next w:val="29"/>
    <w:qFormat/>
    <w:uiPriority w:val="99"/>
    <w:pPr>
      <w:widowControl/>
      <w:tabs>
        <w:tab w:val="center" w:pos="4201"/>
        <w:tab w:val="right" w:leader="dot" w:pos="9298"/>
      </w:tabs>
      <w:autoSpaceDE w:val="0"/>
      <w:autoSpaceDN w:val="0"/>
    </w:pPr>
    <w:rPr>
      <w:rFonts w:ascii="宋体"/>
      <w:kern w:val="0"/>
      <w:szCs w:val="20"/>
    </w:rPr>
  </w:style>
  <w:style w:type="paragraph" w:customStyle="1" w:styleId="106">
    <w:name w:val="附录三级条标题"/>
    <w:basedOn w:val="101"/>
    <w:next w:val="29"/>
    <w:qFormat/>
    <w:uiPriority w:val="99"/>
    <w:pPr>
      <w:numPr>
        <w:ilvl w:val="4"/>
      </w:numPr>
      <w:outlineLvl w:val="4"/>
    </w:pPr>
  </w:style>
  <w:style w:type="paragraph" w:customStyle="1" w:styleId="107">
    <w:name w:val="附录三级无"/>
    <w:basedOn w:val="106"/>
    <w:qFormat/>
    <w:uiPriority w:val="99"/>
    <w:pPr>
      <w:spacing w:beforeLines="0" w:afterLines="0"/>
    </w:pPr>
    <w:rPr>
      <w:rFonts w:ascii="宋体" w:eastAsia="宋体"/>
      <w:szCs w:val="21"/>
    </w:rPr>
  </w:style>
  <w:style w:type="paragraph" w:customStyle="1" w:styleId="108">
    <w:name w:val="附录数字编号列项（二级）"/>
    <w:qFormat/>
    <w:uiPriority w:val="99"/>
    <w:pPr>
      <w:numPr>
        <w:ilvl w:val="1"/>
        <w:numId w:val="12"/>
      </w:numPr>
    </w:pPr>
    <w:rPr>
      <w:rFonts w:ascii="宋体" w:hAnsi="Times New Roman" w:eastAsia="宋体" w:cs="Times New Roman"/>
      <w:sz w:val="21"/>
      <w:lang w:val="en-US" w:eastAsia="zh-CN" w:bidi="ar-SA"/>
    </w:rPr>
  </w:style>
  <w:style w:type="paragraph" w:customStyle="1" w:styleId="109">
    <w:name w:val="附录四级条标题"/>
    <w:basedOn w:val="106"/>
    <w:next w:val="29"/>
    <w:qFormat/>
    <w:uiPriority w:val="99"/>
    <w:pPr>
      <w:numPr>
        <w:ilvl w:val="5"/>
      </w:numPr>
      <w:outlineLvl w:val="5"/>
    </w:pPr>
  </w:style>
  <w:style w:type="paragraph" w:customStyle="1" w:styleId="110">
    <w:name w:val="附录四级无"/>
    <w:basedOn w:val="109"/>
    <w:qFormat/>
    <w:uiPriority w:val="99"/>
    <w:pPr>
      <w:spacing w:beforeLines="0" w:afterLines="0"/>
    </w:pPr>
    <w:rPr>
      <w:rFonts w:ascii="宋体" w:eastAsia="宋体"/>
      <w:szCs w:val="21"/>
    </w:rPr>
  </w:style>
  <w:style w:type="paragraph" w:customStyle="1" w:styleId="111">
    <w:name w:val="附录图标号"/>
    <w:basedOn w:val="1"/>
    <w:qFormat/>
    <w:uiPriority w:val="99"/>
    <w:pPr>
      <w:keepNext/>
      <w:pageBreakBefore/>
      <w:widowControl/>
      <w:numPr>
        <w:ilvl w:val="0"/>
        <w:numId w:val="13"/>
      </w:numPr>
      <w:spacing w:line="14" w:lineRule="exact"/>
      <w:ind w:firstLine="363"/>
      <w:jc w:val="center"/>
      <w:outlineLvl w:val="0"/>
    </w:pPr>
    <w:rPr>
      <w:color w:val="FFFFFF"/>
    </w:rPr>
  </w:style>
  <w:style w:type="paragraph" w:customStyle="1" w:styleId="112">
    <w:name w:val="附录图标题"/>
    <w:basedOn w:val="1"/>
    <w:next w:val="29"/>
    <w:qFormat/>
    <w:uiPriority w:val="99"/>
    <w:pPr>
      <w:numPr>
        <w:ilvl w:val="1"/>
        <w:numId w:val="13"/>
      </w:numPr>
      <w:tabs>
        <w:tab w:val="left" w:pos="363"/>
      </w:tabs>
      <w:spacing w:beforeLines="50" w:afterLines="50"/>
      <w:jc w:val="center"/>
    </w:pPr>
    <w:rPr>
      <w:rFonts w:ascii="黑体" w:eastAsia="黑体"/>
      <w:szCs w:val="21"/>
    </w:rPr>
  </w:style>
  <w:style w:type="paragraph" w:customStyle="1" w:styleId="113">
    <w:name w:val="附录五级条标题"/>
    <w:basedOn w:val="109"/>
    <w:next w:val="29"/>
    <w:qFormat/>
    <w:uiPriority w:val="99"/>
    <w:pPr>
      <w:numPr>
        <w:ilvl w:val="6"/>
      </w:numPr>
      <w:outlineLvl w:val="6"/>
    </w:pPr>
  </w:style>
  <w:style w:type="paragraph" w:customStyle="1" w:styleId="114">
    <w:name w:val="附录五级无"/>
    <w:basedOn w:val="113"/>
    <w:qFormat/>
    <w:uiPriority w:val="99"/>
    <w:pPr>
      <w:spacing w:beforeLines="0" w:afterLines="0"/>
    </w:pPr>
    <w:rPr>
      <w:rFonts w:ascii="宋体" w:eastAsia="宋体"/>
      <w:szCs w:val="21"/>
    </w:rPr>
  </w:style>
  <w:style w:type="paragraph" w:customStyle="1" w:styleId="115">
    <w:name w:val="附录章标题"/>
    <w:next w:val="29"/>
    <w:link w:val="157"/>
    <w:qFormat/>
    <w:uiPriority w:val="99"/>
    <w:pPr>
      <w:numPr>
        <w:ilvl w:val="1"/>
        <w:numId w:val="10"/>
      </w:numPr>
      <w:wordWrap w:val="0"/>
      <w:overflowPunct w:val="0"/>
      <w:autoSpaceDE w:val="0"/>
      <w:spacing w:beforeLines="100" w:afterLines="100"/>
      <w:jc w:val="both"/>
      <w:textAlignment w:val="baseline"/>
      <w:outlineLvl w:val="1"/>
    </w:pPr>
    <w:rPr>
      <w:rFonts w:ascii="黑体" w:hAnsi="Times New Roman" w:eastAsia="黑体" w:cs="Times New Roman"/>
      <w:kern w:val="21"/>
      <w:sz w:val="22"/>
      <w:szCs w:val="22"/>
      <w:lang w:val="en-US" w:eastAsia="zh-CN" w:bidi="ar-SA"/>
    </w:rPr>
  </w:style>
  <w:style w:type="paragraph" w:customStyle="1" w:styleId="116">
    <w:name w:val="附录一级条标题"/>
    <w:basedOn w:val="115"/>
    <w:next w:val="29"/>
    <w:qFormat/>
    <w:uiPriority w:val="99"/>
    <w:pPr>
      <w:numPr>
        <w:ilvl w:val="2"/>
      </w:numPr>
      <w:autoSpaceDN w:val="0"/>
      <w:spacing w:beforeLines="50" w:afterLines="50"/>
      <w:outlineLvl w:val="2"/>
    </w:pPr>
  </w:style>
  <w:style w:type="paragraph" w:customStyle="1" w:styleId="117">
    <w:name w:val="附录一级无"/>
    <w:basedOn w:val="116"/>
    <w:qFormat/>
    <w:uiPriority w:val="99"/>
    <w:pPr>
      <w:spacing w:beforeLines="0" w:afterLines="0"/>
    </w:pPr>
    <w:rPr>
      <w:rFonts w:ascii="宋体" w:eastAsia="宋体"/>
      <w:szCs w:val="21"/>
    </w:rPr>
  </w:style>
  <w:style w:type="paragraph" w:customStyle="1" w:styleId="118">
    <w:name w:val="附录字母编号列项（一级）"/>
    <w:qFormat/>
    <w:uiPriority w:val="99"/>
    <w:pPr>
      <w:numPr>
        <w:ilvl w:val="0"/>
        <w:numId w:val="12"/>
      </w:numPr>
    </w:pPr>
    <w:rPr>
      <w:rFonts w:ascii="宋体" w:hAnsi="Times New Roman" w:eastAsia="宋体" w:cs="Times New Roman"/>
      <w:sz w:val="21"/>
      <w:lang w:val="en-US" w:eastAsia="zh-CN" w:bidi="ar-SA"/>
    </w:rPr>
  </w:style>
  <w:style w:type="character" w:customStyle="1" w:styleId="119">
    <w:name w:val="脚注文本 字符"/>
    <w:link w:val="30"/>
    <w:semiHidden/>
    <w:qFormat/>
    <w:locked/>
    <w:uiPriority w:val="99"/>
    <w:rPr>
      <w:rFonts w:cs="Times New Roman"/>
      <w:sz w:val="18"/>
      <w:szCs w:val="18"/>
    </w:rPr>
  </w:style>
  <w:style w:type="paragraph" w:customStyle="1" w:styleId="120">
    <w:name w:val="列项说明"/>
    <w:basedOn w:val="1"/>
    <w:qFormat/>
    <w:uiPriority w:val="99"/>
    <w:pPr>
      <w:adjustRightInd w:val="0"/>
      <w:spacing w:line="320" w:lineRule="exact"/>
      <w:ind w:left="400" w:leftChars="200" w:hanging="200" w:hangingChars="200"/>
      <w:jc w:val="left"/>
      <w:textAlignment w:val="baseline"/>
    </w:pPr>
    <w:rPr>
      <w:rFonts w:ascii="宋体"/>
      <w:kern w:val="0"/>
      <w:szCs w:val="20"/>
    </w:rPr>
  </w:style>
  <w:style w:type="paragraph" w:customStyle="1" w:styleId="121">
    <w:name w:val="列项说明数字编号"/>
    <w:qFormat/>
    <w:uiPriority w:val="99"/>
    <w:pPr>
      <w:ind w:left="600" w:leftChars="400" w:hanging="200" w:hangingChars="200"/>
    </w:pPr>
    <w:rPr>
      <w:rFonts w:ascii="宋体" w:hAnsi="Times New Roman" w:eastAsia="宋体" w:cs="Times New Roman"/>
      <w:sz w:val="21"/>
      <w:lang w:val="en-US" w:eastAsia="zh-CN" w:bidi="ar-SA"/>
    </w:rPr>
  </w:style>
  <w:style w:type="paragraph" w:customStyle="1" w:styleId="122">
    <w:name w:val="目次、索引正文"/>
    <w:qFormat/>
    <w:uiPriority w:val="99"/>
    <w:pPr>
      <w:spacing w:line="320" w:lineRule="exact"/>
      <w:jc w:val="both"/>
    </w:pPr>
    <w:rPr>
      <w:rFonts w:ascii="宋体" w:hAnsi="Times New Roman" w:eastAsia="宋体" w:cs="Times New Roman"/>
      <w:sz w:val="21"/>
      <w:lang w:val="en-US" w:eastAsia="zh-CN" w:bidi="ar-SA"/>
    </w:rPr>
  </w:style>
  <w:style w:type="paragraph" w:customStyle="1" w:styleId="123">
    <w:name w:val="其他标准标志"/>
    <w:basedOn w:val="79"/>
    <w:qFormat/>
    <w:uiPriority w:val="99"/>
    <w:pPr>
      <w:framePr w:w="6101" w:wrap="around" w:vAnchor="page" w:hAnchor="page" w:x="4673" w:y="942"/>
    </w:pPr>
    <w:rPr>
      <w:w w:val="130"/>
    </w:rPr>
  </w:style>
  <w:style w:type="paragraph" w:customStyle="1" w:styleId="124">
    <w:name w:val="其他标准称谓"/>
    <w:next w:val="1"/>
    <w:qFormat/>
    <w:uiPriority w:val="99"/>
    <w:pPr>
      <w:framePr w:hSpace="181" w:vSpace="181" w:wrap="around" w:vAnchor="page" w:hAnchor="page" w:x="1419" w:y="2286" w:anchorLock="1"/>
      <w:spacing w:line="240" w:lineRule="atLeast"/>
      <w:jc w:val="distribute"/>
    </w:pPr>
    <w:rPr>
      <w:rFonts w:ascii="黑体" w:hAnsi="宋体" w:eastAsia="黑体" w:cs="Times New Roman"/>
      <w:spacing w:val="-40"/>
      <w:sz w:val="48"/>
      <w:szCs w:val="52"/>
      <w:lang w:val="en-US" w:eastAsia="zh-CN" w:bidi="ar-SA"/>
    </w:rPr>
  </w:style>
  <w:style w:type="paragraph" w:customStyle="1" w:styleId="125">
    <w:name w:val="其他发布部门"/>
    <w:basedOn w:val="87"/>
    <w:qFormat/>
    <w:uiPriority w:val="99"/>
    <w:pPr>
      <w:framePr w:wrap="around" w:y="15310"/>
      <w:spacing w:line="240" w:lineRule="atLeast"/>
    </w:pPr>
    <w:rPr>
      <w:rFonts w:ascii="黑体" w:eastAsia="黑体"/>
      <w:b w:val="0"/>
    </w:rPr>
  </w:style>
  <w:style w:type="paragraph" w:customStyle="1" w:styleId="126">
    <w:name w:val="前言、引言标题"/>
    <w:next w:val="29"/>
    <w:qFormat/>
    <w:uiPriority w:val="99"/>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27">
    <w:name w:val="三级无"/>
    <w:basedOn w:val="62"/>
    <w:qFormat/>
    <w:uiPriority w:val="99"/>
    <w:pPr>
      <w:spacing w:beforeLines="0" w:afterLines="0"/>
    </w:pPr>
    <w:rPr>
      <w:rFonts w:ascii="宋体" w:eastAsia="宋体"/>
    </w:rPr>
  </w:style>
  <w:style w:type="paragraph" w:customStyle="1" w:styleId="128">
    <w:name w:val="实施日期"/>
    <w:basedOn w:val="88"/>
    <w:qFormat/>
    <w:uiPriority w:val="99"/>
    <w:pPr>
      <w:framePr w:wrap="around" w:vAnchor="page" w:hAnchor="text"/>
      <w:jc w:val="right"/>
    </w:pPr>
  </w:style>
  <w:style w:type="paragraph" w:customStyle="1" w:styleId="129">
    <w:name w:val="示例后文字"/>
    <w:basedOn w:val="29"/>
    <w:next w:val="29"/>
    <w:qFormat/>
    <w:uiPriority w:val="99"/>
    <w:pPr>
      <w:ind w:firstLine="360"/>
    </w:pPr>
    <w:rPr>
      <w:sz w:val="18"/>
    </w:rPr>
  </w:style>
  <w:style w:type="paragraph" w:customStyle="1" w:styleId="130">
    <w:name w:val="首示例"/>
    <w:next w:val="29"/>
    <w:link w:val="131"/>
    <w:qFormat/>
    <w:uiPriority w:val="99"/>
    <w:pPr>
      <w:numPr>
        <w:ilvl w:val="0"/>
        <w:numId w:val="14"/>
      </w:numPr>
    </w:pPr>
    <w:rPr>
      <w:rFonts w:ascii="宋体" w:hAnsi="Times New Roman" w:eastAsia="宋体" w:cs="Times New Roman"/>
      <w:kern w:val="2"/>
      <w:sz w:val="22"/>
      <w:szCs w:val="22"/>
      <w:lang w:val="en-US" w:eastAsia="zh-CN" w:bidi="ar-SA"/>
    </w:rPr>
  </w:style>
  <w:style w:type="character" w:customStyle="1" w:styleId="131">
    <w:name w:val="首示例 Char"/>
    <w:link w:val="130"/>
    <w:qFormat/>
    <w:locked/>
    <w:uiPriority w:val="99"/>
    <w:rPr>
      <w:rFonts w:ascii="宋体"/>
      <w:kern w:val="2"/>
      <w:sz w:val="22"/>
    </w:rPr>
  </w:style>
  <w:style w:type="paragraph" w:customStyle="1" w:styleId="132">
    <w:name w:val="四级无"/>
    <w:basedOn w:val="66"/>
    <w:qFormat/>
    <w:uiPriority w:val="99"/>
    <w:pPr>
      <w:spacing w:beforeLines="0" w:afterLines="0"/>
    </w:pPr>
    <w:rPr>
      <w:rFonts w:ascii="宋体" w:eastAsia="宋体"/>
    </w:rPr>
  </w:style>
  <w:style w:type="paragraph" w:customStyle="1" w:styleId="133">
    <w:name w:val="条文脚注"/>
    <w:basedOn w:val="30"/>
    <w:qFormat/>
    <w:uiPriority w:val="99"/>
    <w:pPr>
      <w:numPr>
        <w:numId w:val="0"/>
      </w:numPr>
      <w:jc w:val="both"/>
    </w:pPr>
  </w:style>
  <w:style w:type="paragraph" w:customStyle="1" w:styleId="134">
    <w:name w:val="图标脚注说明"/>
    <w:basedOn w:val="29"/>
    <w:qFormat/>
    <w:uiPriority w:val="99"/>
    <w:pPr>
      <w:ind w:left="840" w:hanging="420" w:firstLineChars="0"/>
    </w:pPr>
    <w:rPr>
      <w:sz w:val="18"/>
      <w:szCs w:val="18"/>
    </w:rPr>
  </w:style>
  <w:style w:type="paragraph" w:customStyle="1" w:styleId="135">
    <w:name w:val="图表脚注说明"/>
    <w:basedOn w:val="1"/>
    <w:qFormat/>
    <w:uiPriority w:val="99"/>
    <w:pPr>
      <w:numPr>
        <w:ilvl w:val="0"/>
        <w:numId w:val="15"/>
      </w:numPr>
    </w:pPr>
    <w:rPr>
      <w:rFonts w:ascii="宋体"/>
      <w:sz w:val="18"/>
      <w:szCs w:val="18"/>
    </w:rPr>
  </w:style>
  <w:style w:type="paragraph" w:customStyle="1" w:styleId="136">
    <w:name w:val="图的脚注"/>
    <w:next w:val="29"/>
    <w:qFormat/>
    <w:uiPriority w:val="99"/>
    <w:pPr>
      <w:widowControl w:val="0"/>
      <w:ind w:left="840" w:leftChars="200" w:hanging="420" w:hangingChars="200"/>
      <w:jc w:val="both"/>
    </w:pPr>
    <w:rPr>
      <w:rFonts w:ascii="宋体" w:hAnsi="Times New Roman" w:eastAsia="宋体" w:cs="Times New Roman"/>
      <w:sz w:val="18"/>
      <w:lang w:val="en-US" w:eastAsia="zh-CN" w:bidi="ar-SA"/>
    </w:rPr>
  </w:style>
  <w:style w:type="character" w:customStyle="1" w:styleId="137">
    <w:name w:val="尾注文本 字符"/>
    <w:link w:val="21"/>
    <w:semiHidden/>
    <w:qFormat/>
    <w:locked/>
    <w:uiPriority w:val="99"/>
    <w:rPr>
      <w:rFonts w:cs="Times New Roman"/>
      <w:sz w:val="24"/>
      <w:szCs w:val="24"/>
    </w:rPr>
  </w:style>
  <w:style w:type="character" w:customStyle="1" w:styleId="138">
    <w:name w:val="文档结构图 字符"/>
    <w:link w:val="10"/>
    <w:semiHidden/>
    <w:qFormat/>
    <w:locked/>
    <w:uiPriority w:val="99"/>
    <w:rPr>
      <w:rFonts w:cs="Times New Roman"/>
      <w:sz w:val="2"/>
    </w:rPr>
  </w:style>
  <w:style w:type="paragraph" w:customStyle="1" w:styleId="139">
    <w:name w:val="文献分类号"/>
    <w:qFormat/>
    <w:uiPriority w:val="99"/>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140">
    <w:name w:val="五级无"/>
    <w:basedOn w:val="67"/>
    <w:qFormat/>
    <w:uiPriority w:val="99"/>
    <w:pPr>
      <w:spacing w:beforeLines="0" w:afterLines="0"/>
    </w:pPr>
    <w:rPr>
      <w:rFonts w:ascii="宋体" w:eastAsia="宋体"/>
    </w:rPr>
  </w:style>
  <w:style w:type="paragraph" w:customStyle="1" w:styleId="141">
    <w:name w:val="一级无"/>
    <w:basedOn w:val="53"/>
    <w:qFormat/>
    <w:uiPriority w:val="99"/>
    <w:pPr>
      <w:spacing w:beforeLines="0" w:afterLines="0"/>
    </w:pPr>
    <w:rPr>
      <w:rFonts w:ascii="宋体" w:eastAsia="宋体"/>
    </w:rPr>
  </w:style>
  <w:style w:type="paragraph" w:customStyle="1" w:styleId="142">
    <w:name w:val="正文表标题"/>
    <w:next w:val="29"/>
    <w:qFormat/>
    <w:uiPriority w:val="99"/>
    <w:pPr>
      <w:numPr>
        <w:ilvl w:val="0"/>
        <w:numId w:val="16"/>
      </w:numPr>
      <w:spacing w:beforeLines="50" w:afterLines="50"/>
      <w:jc w:val="center"/>
    </w:pPr>
    <w:rPr>
      <w:rFonts w:ascii="黑体" w:hAnsi="Times New Roman" w:eastAsia="黑体" w:cs="Times New Roman"/>
      <w:sz w:val="21"/>
      <w:lang w:val="en-US" w:eastAsia="zh-CN" w:bidi="ar-SA"/>
    </w:rPr>
  </w:style>
  <w:style w:type="paragraph" w:customStyle="1" w:styleId="143">
    <w:name w:val="正文公式编号制表符"/>
    <w:basedOn w:val="29"/>
    <w:next w:val="29"/>
    <w:qFormat/>
    <w:uiPriority w:val="99"/>
    <w:pPr>
      <w:ind w:firstLine="0" w:firstLineChars="0"/>
    </w:pPr>
  </w:style>
  <w:style w:type="paragraph" w:customStyle="1" w:styleId="144">
    <w:name w:val="正文图标题"/>
    <w:next w:val="29"/>
    <w:qFormat/>
    <w:uiPriority w:val="99"/>
    <w:pPr>
      <w:numPr>
        <w:ilvl w:val="0"/>
        <w:numId w:val="17"/>
      </w:numPr>
      <w:spacing w:beforeLines="50" w:afterLines="50"/>
      <w:jc w:val="center"/>
    </w:pPr>
    <w:rPr>
      <w:rFonts w:ascii="黑体" w:hAnsi="Times New Roman" w:eastAsia="黑体" w:cs="Times New Roman"/>
      <w:sz w:val="21"/>
      <w:lang w:val="en-US" w:eastAsia="zh-CN" w:bidi="ar-SA"/>
    </w:rPr>
  </w:style>
  <w:style w:type="paragraph" w:customStyle="1" w:styleId="145">
    <w:name w:val="终结线"/>
    <w:basedOn w:val="1"/>
    <w:qFormat/>
    <w:uiPriority w:val="0"/>
    <w:pPr>
      <w:framePr w:hSpace="181" w:vSpace="181" w:wrap="around" w:vAnchor="text" w:hAnchor="margin" w:xAlign="center" w:y="285"/>
    </w:pPr>
  </w:style>
  <w:style w:type="paragraph" w:customStyle="1" w:styleId="146">
    <w:name w:val="其他发布日期"/>
    <w:basedOn w:val="88"/>
    <w:uiPriority w:val="99"/>
    <w:pPr>
      <w:framePr w:wrap="around" w:vAnchor="page" w:hAnchor="text" w:x="1419"/>
    </w:pPr>
  </w:style>
  <w:style w:type="paragraph" w:customStyle="1" w:styleId="147">
    <w:name w:val="其他实施日期"/>
    <w:basedOn w:val="128"/>
    <w:uiPriority w:val="99"/>
    <w:pPr>
      <w:framePr w:wrap="around"/>
    </w:pPr>
  </w:style>
  <w:style w:type="paragraph" w:customStyle="1" w:styleId="148">
    <w:name w:val="封面标准名称2"/>
    <w:basedOn w:val="91"/>
    <w:uiPriority w:val="99"/>
    <w:pPr>
      <w:framePr w:wrap="around" w:y="4469"/>
      <w:spacing w:beforeLines="630"/>
    </w:pPr>
  </w:style>
  <w:style w:type="paragraph" w:customStyle="1" w:styleId="149">
    <w:name w:val="封面标准英文名称2"/>
    <w:basedOn w:val="92"/>
    <w:uiPriority w:val="99"/>
    <w:pPr>
      <w:framePr w:wrap="around" w:y="4469"/>
    </w:pPr>
  </w:style>
  <w:style w:type="paragraph" w:customStyle="1" w:styleId="150">
    <w:name w:val="封面一致性程度标识2"/>
    <w:basedOn w:val="93"/>
    <w:uiPriority w:val="99"/>
    <w:pPr>
      <w:framePr w:wrap="around" w:y="4469"/>
    </w:pPr>
  </w:style>
  <w:style w:type="paragraph" w:customStyle="1" w:styleId="151">
    <w:name w:val="封面标准文稿类别2"/>
    <w:basedOn w:val="94"/>
    <w:uiPriority w:val="99"/>
    <w:pPr>
      <w:framePr w:wrap="around" w:y="4469"/>
    </w:pPr>
  </w:style>
  <w:style w:type="paragraph" w:customStyle="1" w:styleId="152">
    <w:name w:val="封面标准文稿编辑信息2"/>
    <w:basedOn w:val="95"/>
    <w:uiPriority w:val="99"/>
    <w:pPr>
      <w:framePr w:wrap="around" w:y="4469"/>
    </w:pPr>
  </w:style>
  <w:style w:type="character" w:customStyle="1" w:styleId="153">
    <w:name w:val="批注框文本 字符"/>
    <w:link w:val="22"/>
    <w:semiHidden/>
    <w:locked/>
    <w:uiPriority w:val="99"/>
    <w:rPr>
      <w:rFonts w:cs="Times New Roman"/>
      <w:sz w:val="2"/>
    </w:rPr>
  </w:style>
  <w:style w:type="paragraph" w:customStyle="1" w:styleId="154">
    <w:name w:val="样式6"/>
    <w:basedOn w:val="1"/>
    <w:uiPriority w:val="99"/>
    <w:pPr>
      <w:widowControl/>
      <w:spacing w:beforeLines="10" w:afterLines="10" w:line="360" w:lineRule="auto"/>
      <w:jc w:val="center"/>
      <w:outlineLvl w:val="3"/>
    </w:pPr>
    <w:rPr>
      <w:spacing w:val="-2"/>
      <w:kern w:val="0"/>
      <w:sz w:val="24"/>
      <w:szCs w:val="20"/>
    </w:rPr>
  </w:style>
  <w:style w:type="character" w:customStyle="1" w:styleId="155">
    <w:name w:val="批注文字 字符"/>
    <w:link w:val="11"/>
    <w:locked/>
    <w:uiPriority w:val="99"/>
    <w:rPr>
      <w:rFonts w:cs="Times New Roman"/>
      <w:kern w:val="2"/>
      <w:sz w:val="24"/>
    </w:rPr>
  </w:style>
  <w:style w:type="paragraph" w:customStyle="1" w:styleId="156">
    <w:name w:val="Default"/>
    <w:uiPriority w:val="99"/>
    <w:pPr>
      <w:widowControl w:val="0"/>
      <w:autoSpaceDE w:val="0"/>
      <w:autoSpaceDN w:val="0"/>
      <w:adjustRightInd w:val="0"/>
    </w:pPr>
    <w:rPr>
      <w:rFonts w:ascii="黑体" w:hAnsi="Times New Roman" w:eastAsia="黑体" w:cs="黑体"/>
      <w:color w:val="000000"/>
      <w:sz w:val="24"/>
      <w:szCs w:val="24"/>
      <w:lang w:val="en-US" w:eastAsia="zh-CN" w:bidi="ar-SA"/>
    </w:rPr>
  </w:style>
  <w:style w:type="character" w:customStyle="1" w:styleId="157">
    <w:name w:val="附录章标题 Char"/>
    <w:link w:val="115"/>
    <w:locked/>
    <w:uiPriority w:val="99"/>
    <w:rPr>
      <w:rFonts w:ascii="黑体" w:eastAsia="黑体"/>
      <w:kern w:val="21"/>
      <w:sz w:val="22"/>
    </w:rPr>
  </w:style>
  <w:style w:type="paragraph" w:customStyle="1" w:styleId="158">
    <w:name w:val="默认段落字体 Para Char Char Char Char Char Char Char1 Char Char Char Char"/>
    <w:basedOn w:val="1"/>
    <w:uiPriority w:val="99"/>
  </w:style>
  <w:style w:type="character" w:customStyle="1" w:styleId="159">
    <w:name w:val="正文文本 字符"/>
    <w:link w:val="13"/>
    <w:locked/>
    <w:uiPriority w:val="99"/>
    <w:rPr>
      <w:rFonts w:cs="Times New Roman"/>
      <w:kern w:val="2"/>
      <w:sz w:val="21"/>
    </w:rPr>
  </w:style>
  <w:style w:type="character" w:customStyle="1" w:styleId="160">
    <w:name w:val="批注主题 字符"/>
    <w:link w:val="38"/>
    <w:locked/>
    <w:uiPriority w:val="99"/>
    <w:rPr>
      <w:rFonts w:cs="Times New Roman"/>
      <w:b/>
      <w:kern w:val="2"/>
      <w:sz w:val="24"/>
    </w:rPr>
  </w:style>
  <w:style w:type="character" w:styleId="161">
    <w:name w:val="Placeholder Text"/>
    <w:semiHidden/>
    <w:uiPriority w:val="99"/>
    <w:rPr>
      <w:rFonts w:cs="Times New Roman"/>
      <w:color w:val="808080"/>
    </w:rPr>
  </w:style>
  <w:style w:type="character" w:customStyle="1" w:styleId="162">
    <w:name w:val="Char Char9"/>
    <w:uiPriority w:val="99"/>
    <w:rPr>
      <w:kern w:val="44"/>
      <w:sz w:val="44"/>
    </w:rPr>
  </w:style>
  <w:style w:type="character" w:customStyle="1" w:styleId="163">
    <w:name w:val="Char Char6"/>
    <w:semiHidden/>
    <w:uiPriority w:val="99"/>
    <w:rPr>
      <w:sz w:val="18"/>
    </w:rPr>
  </w:style>
  <w:style w:type="paragraph" w:styleId="164">
    <w:name w:val="List Paragraph"/>
    <w:basedOn w:val="1"/>
    <w:qFormat/>
    <w:uiPriority w:val="34"/>
    <w:pPr>
      <w:tabs>
        <w:tab w:val="left" w:pos="0"/>
        <w:tab w:val="left" w:pos="960"/>
        <w:tab w:val="right" w:pos="4800"/>
      </w:tabs>
      <w:ind w:firstLine="420" w:firstLineChars="200"/>
    </w:pPr>
  </w:style>
  <w:style w:type="character" w:customStyle="1" w:styleId="165">
    <w:name w:val="正文文本缩进 3 字符"/>
    <w:basedOn w:val="41"/>
    <w:link w:val="32"/>
    <w:uiPriority w:val="99"/>
    <w:rPr>
      <w:kern w:val="2"/>
      <w:sz w:val="16"/>
      <w:szCs w:val="16"/>
    </w:rPr>
  </w:style>
  <w:style w:type="character" w:customStyle="1" w:styleId="166">
    <w:name w:val="日期 字符"/>
    <w:basedOn w:val="41"/>
    <w:link w:val="20"/>
    <w:semiHidden/>
    <w:uiPriority w:val="99"/>
    <w:rPr>
      <w:kern w:val="2"/>
      <w:sz w:val="21"/>
      <w:szCs w:val="24"/>
    </w:rPr>
  </w:style>
  <w:style w:type="character" w:customStyle="1" w:styleId="167">
    <w:name w:val="纯文本 字符"/>
    <w:basedOn w:val="41"/>
    <w:link w:val="17"/>
    <w:uiPriority w:val="0"/>
    <w:rPr>
      <w:rFonts w:ascii="宋体" w:hAnsi="Courier New"/>
      <w:kern w:val="2"/>
      <w:sz w:val="21"/>
    </w:rPr>
  </w:style>
  <w:style w:type="paragraph" w:customStyle="1" w:styleId="168">
    <w:name w:val="TOC Heading"/>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microsoft.com/office/2006/relationships/keyMapCustomizations" Target="customizations.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2050"/>
    <customShpInfo spid="_x0000_s2066"/>
    <customShpInfo spid="_x0000_s2065"/>
    <customShpInfo spid="_x0000_s2064"/>
    <customShpInfo spid="_x0000_s2063"/>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AD3365-EA16-4449-9F83-40526D50E9F0}">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17</Pages>
  <Words>3624</Words>
  <Characters>4839</Characters>
  <Lines>39</Lines>
  <Paragraphs>11</Paragraphs>
  <TotalTime>2314</TotalTime>
  <ScaleCrop>false</ScaleCrop>
  <LinksUpToDate>false</LinksUpToDate>
  <CharactersWithSpaces>5179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2018-04-04T02:40:00Z</dcterms:created>
  <dc:creator>CNIS</dc:creator>
  <cp:lastModifiedBy>技术部</cp:lastModifiedBy>
  <cp:lastPrinted>2016-01-19T00:52:00Z</cp:lastPrinted>
  <dcterms:modified xsi:type="dcterms:W3CDTF">2024-05-23T06:53:57Z</dcterms:modified>
  <dc:title>标准名称</dc:title>
  <cp:revision>112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KSOProductBuildVer">
    <vt:lpwstr>2052-12.1.0.16929</vt:lpwstr>
  </property>
  <property fmtid="{D5CDD505-2E9C-101B-9397-08002B2CF9AE}" pid="4" name="ICV">
    <vt:lpwstr>1B097B64C83B4D2F8F69159BCAB52292</vt:lpwstr>
  </property>
</Properties>
</file>