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color w:val="auto"/>
        </w:rPr>
      </w:pPr>
    </w:p>
    <w:p>
      <w:pPr>
        <w:ind w:firstLine="180" w:firstLineChars="50"/>
        <w:rPr>
          <w:color w:val="auto"/>
          <w:sz w:val="36"/>
          <w:szCs w:val="36"/>
        </w:rPr>
      </w:pPr>
      <w:r>
        <w:rPr>
          <w:rFonts w:hint="eastAsia"/>
          <w:color w:val="auto"/>
          <w:sz w:val="36"/>
          <w:szCs w:val="36"/>
        </w:rPr>
        <w:t>UDC</w:t>
      </w:r>
    </w:p>
    <w:p>
      <w:pPr>
        <w:ind w:firstLine="160" w:firstLineChars="50"/>
        <w:rPr>
          <w:color w:val="auto"/>
          <w:sz w:val="32"/>
          <w:szCs w:val="32"/>
        </w:rPr>
        <w:sectPr>
          <w:headerReference r:id="rId3" w:type="default"/>
          <w:footerReference r:id="rId4" w:type="default"/>
          <w:pgSz w:w="11906" w:h="16838"/>
          <w:pgMar w:top="1134" w:right="1134" w:bottom="1134" w:left="1134" w:header="851" w:footer="992" w:gutter="0"/>
          <w:cols w:space="720" w:num="1"/>
          <w:docGrid w:type="lines" w:linePitch="312" w:charSpace="0"/>
        </w:sectPr>
      </w:pPr>
      <w:r>
        <w:rPr>
          <w:color w:val="auto"/>
          <w:sz w:val="32"/>
          <w:szCs w:val="32"/>
        </w:rPr>
        <w:pict>
          <v:shape id="_x0000_s1036" o:spid="_x0000_s1036" o:spt="202" type="#_x0000_t202" style="position:absolute;left:0pt;margin-left:14.2pt;margin-top:257.9pt;height:368.6pt;width:470pt;mso-position-horizontal-relative:margin;mso-position-vertical-relative:margin;z-index:251667456;mso-width-relative:page;mso-height-relative:page;" stroked="f" coordsize="21600,21600" o:gfxdata="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w0J0dkAAAALAQAADwAAAAAAAAABACAAAAAiAAAA&#10;ZHJzL2Rvd25yZXYueG1sUEsBAhQAFAAAAAgAh07iQDzWFKkGAgAA4QMAAA4AAAAAAAAAAQAgAAAA&#10;KAEAAGRycy9lMm9Eb2MueG1sUEsFBgAAAAAGAAYAWQEAAKAFAAAAAA==&#10;">
            <v:path/>
            <v:fill focussize="0,0"/>
            <v:stroke on="f" joinstyle="miter"/>
            <v:imagedata o:title=""/>
            <o:lock v:ext="edit"/>
            <v:textbox inset="0mm,0mm,0mm,0mm">
              <w:txbxContent>
                <w:p>
                  <w:pPr>
                    <w:jc w:val="center"/>
                    <w:rPr>
                      <w:sz w:val="28"/>
                      <w:szCs w:val="28"/>
                    </w:rPr>
                  </w:pPr>
                  <w:r>
                    <w:rPr>
                      <w:rFonts w:hint="eastAsia" w:ascii="黑体" w:eastAsia="黑体"/>
                      <w:kern w:val="0"/>
                      <w:sz w:val="44"/>
                      <w:szCs w:val="44"/>
                    </w:rPr>
                    <w:t>钢铁厂协同处置城市危险废物预处理回转窑设计标准</w:t>
                  </w:r>
                </w:p>
                <w:p>
                  <w:pPr>
                    <w:jc w:val="center"/>
                    <w:rPr>
                      <w:rFonts w:ascii="Arial" w:hAnsi="Arial" w:cs="Arial"/>
                      <w:sz w:val="28"/>
                      <w:szCs w:val="28"/>
                    </w:rPr>
                  </w:pPr>
                  <w:r>
                    <w:rPr>
                      <w:rFonts w:ascii="Arial" w:hAnsi="Arial" w:cs="Arial"/>
                      <w:sz w:val="28"/>
                      <w:szCs w:val="28"/>
                    </w:rPr>
                    <w:t>Standard</w:t>
                  </w:r>
                  <w:r>
                    <w:rPr>
                      <w:rFonts w:hint="eastAsia" w:ascii="Arial" w:hAnsi="Arial" w:cs="Arial"/>
                      <w:sz w:val="28"/>
                      <w:szCs w:val="28"/>
                    </w:rPr>
                    <w:t xml:space="preserve"> </w:t>
                  </w:r>
                  <w:r>
                    <w:rPr>
                      <w:rFonts w:ascii="Arial" w:hAnsi="Arial" w:cs="Arial"/>
                      <w:sz w:val="28"/>
                      <w:szCs w:val="28"/>
                    </w:rPr>
                    <w:t xml:space="preserve"> for designing of pre-treatment rotary kiln in iron and steel plant co-processing hazardous waste project</w:t>
                  </w:r>
                </w:p>
                <w:p>
                  <w:pPr>
                    <w:jc w:val="center"/>
                    <w:rPr>
                      <w:rFonts w:ascii="Arial" w:hAnsi="Arial" w:cs="Arial"/>
                      <w:sz w:val="28"/>
                      <w:szCs w:val="28"/>
                    </w:rPr>
                  </w:pPr>
                </w:p>
                <w:p/>
              </w:txbxContent>
            </v:textbox>
            <w10:anchorlock/>
          </v:shape>
        </w:pict>
      </w:r>
      <w:r>
        <w:rPr>
          <w:color w:val="auto"/>
          <w:sz w:val="32"/>
          <w:szCs w:val="32"/>
        </w:rPr>
        <w:pict>
          <v:shape id="_x0000_s1035" o:spid="_x0000_s1035" o:spt="202" type="#_x0000_t202" style="position:absolute;left:0pt;margin-left:10.1pt;margin-top:672pt;height:65.7pt;width:489.6pt;mso-position-horizontal-relative:margin;mso-position-vertical-relative:margin;z-index:251666432;mso-width-relative:page;mso-height-relative:page;" stroked="f" coordsize="21600,21600" o:gfxdata="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mt1nNoAAAAMAQAADwAAAAAAAAABACAA&#10;AAAiAAAAZHJzL2Rvd25yZXYueG1sUEsBAhQAFAAAAAgAh07iQFMsDXILAgAA7gMAAA4AAAAAAAAA&#10;AQAgAAAAKQEAAGRycy9lMm9Eb2MueG1sUEsFBgAAAAAGAAYAWQEAAKYFAAAAAA==&#10;">
            <v:path/>
            <v:fill focussize="0,0"/>
            <v:stroke on="f" joinstyle="miter"/>
            <v:imagedata o:title=""/>
            <o:lock v:ext="edit"/>
            <v:textbox inset="0mm,0mm,0mm,0mm">
              <w:txbxContent>
                <w:p>
                  <w:pPr>
                    <w:rPr>
                      <w:rFonts w:ascii="黑体" w:hAnsi="黑体" w:eastAsia="黑体"/>
                      <w:sz w:val="24"/>
                    </w:rPr>
                  </w:pPr>
                  <w:r>
                    <w:rPr>
                      <w:rFonts w:ascii="黑体" w:hAnsi="黑体" w:eastAsia="黑体"/>
                      <w:sz w:val="24"/>
                    </w:rPr>
                    <w:drawing>
                      <wp:inline distT="0" distB="0" distL="0" distR="0">
                        <wp:extent cx="6141720" cy="228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141720" cy="22860"/>
                                </a:xfrm>
                                <a:prstGeom prst="rect">
                                  <a:avLst/>
                                </a:prstGeom>
                                <a:noFill/>
                                <a:ln>
                                  <a:noFill/>
                                </a:ln>
                              </pic:spPr>
                            </pic:pic>
                          </a:graphicData>
                        </a:graphic>
                      </wp:inline>
                    </w:drawing>
                  </w:r>
                </w:p>
                <w:p>
                  <w:pPr>
                    <w:rPr>
                      <w:rFonts w:ascii="黑体" w:hAnsi="黑体" w:eastAsia="黑体"/>
                      <w:sz w:val="24"/>
                    </w:rPr>
                  </w:pPr>
                </w:p>
                <w:p>
                  <w:pPr>
                    <w:jc w:val="center"/>
                    <w:rPr>
                      <w:rFonts w:ascii="黑体" w:hAnsi="黑体" w:eastAsia="黑体"/>
                      <w:sz w:val="32"/>
                      <w:szCs w:val="32"/>
                    </w:rPr>
                  </w:pPr>
                  <w:r>
                    <w:rPr>
                      <w:rFonts w:hint="eastAsia" w:ascii="黑体" w:hAnsi="黑体" w:eastAsia="黑体"/>
                      <w:sz w:val="32"/>
                      <w:szCs w:val="32"/>
                    </w:rPr>
                    <w:t>中国冶金建设协会 发布</w:t>
                  </w:r>
                </w:p>
              </w:txbxContent>
            </v:textbox>
            <w10:anchorlock/>
          </v:shape>
        </w:pict>
      </w:r>
      <w:r>
        <w:rPr>
          <w:color w:val="auto"/>
          <w:sz w:val="32"/>
          <w:szCs w:val="32"/>
        </w:rPr>
        <w:pict>
          <v:line id="_x0000_s1034" o:spid="_x0000_s1034" o:spt="20" style="position:absolute;left:0pt;margin-left:14.2pt;margin-top:671.65pt;height:0pt;width:482pt;z-index:251665408;mso-width-relative:page;mso-height-relative:page;" stroked="t" coordsize="21600,21600" o:gfxdata="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LyJCb1gAAAAwBAAAPAAAAAAAAAAEAIAAAACIAAABkcnMvZG93&#10;bnJldi54bWxQSwECFAAUAAAACACHTuJAh/JNz8kBAABdAwAADgAAAAAAAAABACAAAAAlAQAAZHJz&#10;L2Uyb0RvYy54bWxQSwUGAAAAAAYABgBZAQAAYAUAAAAA&#10;">
            <v:path arrowok="t"/>
            <v:fill focussize="0,0"/>
            <v:stroke weight="1pt" color="#800008"/>
            <v:imagedata o:title=""/>
            <o:lock v:ext="edit"/>
          </v:line>
        </w:pict>
      </w:r>
      <w:r>
        <w:rPr>
          <w:color w:val="auto"/>
          <w:sz w:val="32"/>
          <w:szCs w:val="32"/>
        </w:rPr>
        <w:pict>
          <v:line id="_x0000_s1033" o:spid="_x0000_s1033" o:spt="20" style="position:absolute;left:0pt;margin-left:14.2pt;margin-top:150.65pt;height:0pt;width:482pt;z-index:251664384;mso-width-relative:page;mso-height-relative:page;" stroked="t" coordsize="21600,21600"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KuSbYfWAAAACgEAAA8AAAAAAAAAAQAgAAAAIgAAAGRycy9kb3du&#10;cmV2LnhtbFBLAQIUABQAAAAIAIdO4kB6/JQGyAEAAF0DAAAOAAAAAAAAAAEAIAAAACUBAABkcnMv&#10;ZTJvRG9jLnhtbFBLBQYAAAAABgAGAFkBAABfBQAAAAA=&#10;">
            <v:path arrowok="t"/>
            <v:fill focussize="0,0"/>
            <v:stroke weight="1pt" color="#800008"/>
            <v:imagedata o:title=""/>
            <o:lock v:ext="edit"/>
          </v:line>
        </w:pict>
      </w:r>
      <w:r>
        <w:rPr>
          <w:color w:val="auto"/>
          <w:sz w:val="32"/>
          <w:szCs w:val="32"/>
        </w:rPr>
        <w:pict>
          <v:shape id="_x0000_s1032" o:spid="_x0000_s1032" o:spt="202" type="#_x0000_t202" style="position:absolute;left:0pt;margin-left:337.1pt;margin-top:645.95pt;height:24.6pt;width:159pt;mso-position-horizontal-relative:margin;mso-position-vertical-relative:margin;z-index:251663360;mso-width-relative:page;mso-height-relative:page;" stroked="f" coordsize="21600,21600" o:gfxdata="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CGg2g2gAAAA0BAAAPAAAAAAAAAAEAIAAAACIAAABk&#10;cnMvZG93bnJldi54bWxQSwECFAAUAAAACACHTuJAFw+whQQCAADgAwAADgAAAAAAAAABACAAAAAp&#10;AQAAZHJzL2Uyb0RvYy54bWxQSwUGAAAAAAYABgBZAQAAnwUAAAAA&#10;">
            <v:path/>
            <v:fill focussize="0,0"/>
            <v:stroke on="f" joinstyle="miter"/>
            <v:imagedata o:title=""/>
            <o:lock v:ext="edit"/>
            <v:textbox inset="0mm,0mm,0mm,0mm">
              <w:txbxContent>
                <w:p>
                  <w:pPr>
                    <w:ind w:firstLine="300" w:firstLineChars="100"/>
                    <w:rPr>
                      <w:sz w:val="30"/>
                      <w:szCs w:val="30"/>
                    </w:rPr>
                  </w:pPr>
                  <w:r>
                    <w:rPr>
                      <w:rFonts w:ascii="Arial" w:hAnsi="Arial" w:cs="Arial"/>
                      <w:sz w:val="30"/>
                      <w:szCs w:val="30"/>
                    </w:rPr>
                    <w:t>20xx-xx-xx</w:t>
                  </w:r>
                  <w:r>
                    <w:rPr>
                      <w:rFonts w:hint="eastAsia"/>
                      <w:sz w:val="30"/>
                      <w:szCs w:val="30"/>
                    </w:rPr>
                    <w:t>实施</w:t>
                  </w:r>
                </w:p>
              </w:txbxContent>
            </v:textbox>
            <w10:anchorlock/>
          </v:shape>
        </w:pict>
      </w:r>
      <w:r>
        <w:rPr>
          <w:color w:val="auto"/>
          <w:sz w:val="32"/>
          <w:szCs w:val="32"/>
        </w:rPr>
        <w:pict>
          <v:shape id="_x0000_s1031" o:spid="_x0000_s1031" o:spt="202" type="#_x0000_t202" style="position:absolute;left:0pt;margin-left:14.2pt;margin-top:645.95pt;height:24.6pt;width:159pt;mso-position-horizontal-relative:margin;mso-position-vertical-relative:margin;z-index:251662336;mso-width-relative:page;mso-height-relative:page;" stroked="f" coordsize="21600,21600" o:gfxdata="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v9HAstoAAAAMAQAADwAAAAAAAAABACAAAAAiAAAA&#10;ZHJzL2Rvd25yZXYueG1sUEsBAhQAFAAAAAgAh07iQIW9stUFAgAA4AMAAA4AAAAAAAAAAQAgAAAA&#10;KQEAAGRycy9lMm9Eb2MueG1sUEsFBgAAAAAGAAYAWQEAAKAFAAAAAA==&#10;">
            <v:path/>
            <v:fill focussize="0,0"/>
            <v:stroke on="f" joinstyle="miter"/>
            <v:imagedata o:title=""/>
            <o:lock v:ext="edit"/>
            <v:textbox inset="0mm,0mm,0mm,0mm">
              <w:txbxContent>
                <w:p>
                  <w:pPr>
                    <w:rPr>
                      <w:sz w:val="30"/>
                      <w:szCs w:val="30"/>
                    </w:rPr>
                  </w:pPr>
                  <w:r>
                    <w:rPr>
                      <w:rFonts w:ascii="Arial" w:hAnsi="Arial" w:cs="Arial"/>
                      <w:sz w:val="30"/>
                      <w:szCs w:val="30"/>
                    </w:rPr>
                    <w:t>2022-xx-xx</w:t>
                  </w:r>
                  <w:r>
                    <w:rPr>
                      <w:rFonts w:hint="eastAsia"/>
                      <w:sz w:val="30"/>
                      <w:szCs w:val="30"/>
                    </w:rPr>
                    <w:t>发布</w:t>
                  </w:r>
                </w:p>
              </w:txbxContent>
            </v:textbox>
            <w10:anchorlock/>
          </v:shape>
        </w:pict>
      </w:r>
      <w:r>
        <w:rPr>
          <w:color w:val="auto"/>
          <w:sz w:val="32"/>
          <w:szCs w:val="32"/>
        </w:rPr>
        <w:pict>
          <v:shape id="_x0000_s1030" o:spid="_x0000_s1030" o:spt="202" type="#_x0000_t202" style="position:absolute;left:0pt;margin-left:14.2pt;margin-top:89.7pt;height:42pt;width:456.9pt;mso-position-horizontal-relative:margin;mso-position-vertical-relative:margin;z-index:251661312;mso-width-relative:page;mso-height-relative:page;" stroked="f" coordsize="21600,21600" o:gfxdata="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3C27V2AAAAAoBAAAPAAAAAAAAAAEAIAAAACIAAABk&#10;cnMvZG93bnJldi54bWxQSwECFAAUAAAACACHTuJA1eT8PwYCAADgAwAADgAAAAAAAAABACAAAAAn&#10;AQAAZHJzL2Uyb0RvYy54bWxQSwUGAAAAAAYABgBZAQAAnwUAAAAA&#10;">
            <v:path/>
            <v:fill focussize="0,0"/>
            <v:stroke on="f" joinstyle="miter"/>
            <v:imagedata o:title=""/>
            <o:lock v:ext="edit"/>
            <v:textbox inset="0mm,0mm,0mm,0mm">
              <w:txbxContent>
                <w:p>
                  <w:pPr>
                    <w:rPr>
                      <w:rFonts w:ascii="Arial" w:hAnsi="Arial" w:cs="Arial"/>
                      <w:color w:val="000000"/>
                      <w:sz w:val="36"/>
                      <w:szCs w:val="36"/>
                    </w:rPr>
                  </w:pPr>
                  <w:r>
                    <w:rPr>
                      <w:rFonts w:hint="eastAsia"/>
                      <w:sz w:val="36"/>
                      <w:szCs w:val="36"/>
                    </w:rPr>
                    <w:t xml:space="preserve">P </w:t>
                  </w:r>
                  <w:r>
                    <w:rPr>
                      <w:rFonts w:hint="eastAsia"/>
                      <w:sz w:val="28"/>
                      <w:szCs w:val="28"/>
                    </w:rPr>
                    <w:t xml:space="preserve">                                    </w:t>
                  </w:r>
                  <w:r>
                    <w:rPr>
                      <w:sz w:val="28"/>
                      <w:szCs w:val="28"/>
                    </w:rPr>
                    <w:t xml:space="preserve">   </w:t>
                  </w:r>
                  <w:r>
                    <w:rPr>
                      <w:color w:val="000000"/>
                      <w:sz w:val="36"/>
                      <w:szCs w:val="36"/>
                    </w:rPr>
                    <w:t xml:space="preserve">T/CMCA </w:t>
                  </w:r>
                  <w:r>
                    <w:rPr>
                      <w:sz w:val="36"/>
                      <w:szCs w:val="36"/>
                    </w:rPr>
                    <w:t>2</w:t>
                  </w:r>
                  <w:r>
                    <w:rPr>
                      <w:rFonts w:hint="eastAsia"/>
                      <w:sz w:val="36"/>
                      <w:szCs w:val="36"/>
                    </w:rPr>
                    <w:t>xxx</w:t>
                  </w:r>
                  <w:r>
                    <w:rPr>
                      <w:color w:val="000000"/>
                      <w:sz w:val="36"/>
                      <w:szCs w:val="36"/>
                    </w:rPr>
                    <w:t>-2022</w:t>
                  </w:r>
                </w:p>
                <w:p/>
                <w:p/>
              </w:txbxContent>
            </v:textbox>
            <w10:anchorlock/>
          </v:shape>
        </w:pict>
      </w:r>
      <w:r>
        <w:rPr>
          <w:color w:val="auto"/>
          <w:sz w:val="32"/>
          <w:szCs w:val="32"/>
        </w:rPr>
        <w:pict>
          <v:shape id="_x0000_s1029" o:spid="_x0000_s1029" o:spt="202" type="#_x0000_t202" style="position:absolute;left:0pt;margin-left:59.3pt;margin-top:51.25pt;height:30.8pt;width:369.9pt;mso-position-horizontal-relative:margin;mso-position-vertical-relative:margin;z-index:251660288;mso-width-relative:page;mso-height-relative:page;" stroked="f" coordsize="21600,21600" o:gfxdata="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DW+7sdkAAAALAQAADwAAAAAAAAABACAAAAAiAAAA&#10;ZHJzL2Rvd25yZXYueG1sUEsBAhQAFAAAAAgAh07iQFTewcMGAgAA4AMAAA4AAAAAAAAAAQAgAAAA&#10;KAEAAGRycy9lMm9Eb2MueG1sUEsFBgAAAAAGAAYAWQEAAKAFAAAAAA==&#10;">
            <v:path/>
            <v:fill focussize="0,0"/>
            <v:stroke on="f" joinstyle="miter"/>
            <v:imagedata o:title=""/>
            <o:lock v:ext="edit"/>
            <v:textbox inset="0mm,0mm,0mm,0mm">
              <w:txbxContent>
                <w:p>
                  <w:pPr>
                    <w:ind w:firstLine="1440" w:firstLineChars="300"/>
                    <w:jc w:val="left"/>
                    <w:rPr>
                      <w:rFonts w:ascii="黑体" w:hAnsi="黑体" w:eastAsia="黑体"/>
                      <w:sz w:val="48"/>
                      <w:szCs w:val="48"/>
                    </w:rPr>
                  </w:pPr>
                  <w:r>
                    <w:rPr>
                      <w:rFonts w:hint="eastAsia" w:ascii="黑体" w:hAnsi="黑体" w:eastAsia="黑体"/>
                      <w:sz w:val="48"/>
                      <w:szCs w:val="48"/>
                    </w:rPr>
                    <w:t>团   体   标   准</w:t>
                  </w:r>
                </w:p>
              </w:txbxContent>
            </v:textbox>
            <w10:anchorlock/>
          </v:shape>
        </w:pict>
      </w:r>
    </w:p>
    <w:p>
      <w:pPr>
        <w:jc w:val="center"/>
        <w:rPr>
          <w:rFonts w:ascii="Arial" w:hAnsi="Arial" w:eastAsia="黑体"/>
          <w:color w:val="auto"/>
          <w:sz w:val="32"/>
          <w:szCs w:val="32"/>
        </w:rPr>
      </w:pPr>
      <w:bookmarkStart w:id="0" w:name="_Toc305074559"/>
      <w:bookmarkStart w:id="1" w:name="_Toc304821877"/>
      <w:r>
        <w:rPr>
          <w:rFonts w:hint="eastAsia" w:ascii="Arial" w:hAnsi="Arial" w:eastAsia="黑体"/>
          <w:color w:val="auto"/>
          <w:sz w:val="32"/>
          <w:szCs w:val="32"/>
        </w:rPr>
        <w:t>团  体  标  准</w:t>
      </w:r>
    </w:p>
    <w:p>
      <w:pPr>
        <w:jc w:val="center"/>
        <w:rPr>
          <w:rFonts w:ascii="Arial" w:hAnsi="Arial" w:eastAsia="黑体"/>
          <w:color w:val="auto"/>
          <w:sz w:val="28"/>
          <w:szCs w:val="28"/>
        </w:rPr>
      </w:pPr>
    </w:p>
    <w:p>
      <w:pPr>
        <w:jc w:val="center"/>
        <w:rPr>
          <w:rFonts w:ascii="Arial" w:hAnsi="Arial" w:eastAsia="黑体"/>
          <w:color w:val="auto"/>
          <w:sz w:val="28"/>
          <w:szCs w:val="28"/>
        </w:rPr>
      </w:pPr>
    </w:p>
    <w:p>
      <w:pPr>
        <w:ind w:left="834" w:leftChars="397" w:right="750" w:rightChars="357" w:firstLine="6"/>
        <w:jc w:val="center"/>
        <w:rPr>
          <w:rFonts w:ascii="Arial" w:hAnsi="Arial" w:eastAsia="黑体"/>
          <w:color w:val="auto"/>
          <w:kern w:val="0"/>
          <w:sz w:val="32"/>
          <w:szCs w:val="32"/>
        </w:rPr>
      </w:pPr>
      <w:r>
        <w:rPr>
          <w:rFonts w:hint="eastAsia" w:ascii="Arial" w:hAnsi="Arial" w:eastAsia="黑体"/>
          <w:color w:val="auto"/>
          <w:kern w:val="0"/>
          <w:sz w:val="32"/>
          <w:szCs w:val="32"/>
        </w:rPr>
        <w:t>钢铁厂协同处置城市危险废物预处理回转窑设计标准</w:t>
      </w:r>
    </w:p>
    <w:p>
      <w:pPr>
        <w:jc w:val="center"/>
        <w:rPr>
          <w:rFonts w:ascii="Arial" w:hAnsi="Arial" w:cs="Arial"/>
          <w:color w:val="auto"/>
          <w:sz w:val="24"/>
        </w:rPr>
      </w:pPr>
      <w:r>
        <w:rPr>
          <w:rFonts w:ascii="Arial" w:hAnsi="Arial" w:cs="Arial"/>
          <w:color w:val="auto"/>
          <w:sz w:val="24"/>
        </w:rPr>
        <w:t xml:space="preserve">Standard for designing of pre-treatment rotary kiln in iron and steel plant co-processing hazardous waste project </w:t>
      </w:r>
    </w:p>
    <w:p>
      <w:pPr>
        <w:jc w:val="center"/>
        <w:rPr>
          <w:rFonts w:ascii="Arial" w:hAnsi="Arial" w:eastAsia="黑体"/>
          <w:color w:val="auto"/>
          <w:sz w:val="30"/>
          <w:szCs w:val="30"/>
        </w:rPr>
      </w:pPr>
    </w:p>
    <w:p>
      <w:pPr>
        <w:jc w:val="center"/>
        <w:rPr>
          <w:rFonts w:ascii="Arial" w:hAnsi="Arial" w:cs="Arial"/>
          <w:b/>
          <w:color w:val="auto"/>
          <w:sz w:val="28"/>
          <w:szCs w:val="28"/>
        </w:rPr>
      </w:pPr>
      <w:r>
        <w:rPr>
          <w:rFonts w:ascii="Arial" w:hAnsi="Arial" w:cs="Arial"/>
          <w:b/>
          <w:color w:val="auto"/>
          <w:sz w:val="28"/>
          <w:szCs w:val="28"/>
        </w:rPr>
        <w:t>T/CMCA xxxx-2022</w:t>
      </w:r>
    </w:p>
    <w:p>
      <w:pPr>
        <w:jc w:val="center"/>
        <w:rPr>
          <w:rFonts w:ascii="Arial" w:hAnsi="Arial"/>
          <w:color w:val="auto"/>
          <w:sz w:val="28"/>
          <w:szCs w:val="28"/>
        </w:rPr>
      </w:pPr>
    </w:p>
    <w:p>
      <w:pPr>
        <w:ind w:left="3574" w:leftChars="1102" w:hanging="1260" w:hangingChars="525"/>
        <w:rPr>
          <w:rFonts w:ascii="Arial" w:hAnsi="Arial"/>
          <w:color w:val="auto"/>
          <w:sz w:val="24"/>
        </w:rPr>
      </w:pPr>
      <w:r>
        <w:rPr>
          <w:rFonts w:hint="eastAsia" w:ascii="Arial" w:hAnsi="Arial"/>
          <w:color w:val="auto"/>
          <w:sz w:val="24"/>
        </w:rPr>
        <w:t>主编单位：中冶长天国际工程有限责任公司</w:t>
      </w:r>
    </w:p>
    <w:p>
      <w:pPr>
        <w:ind w:left="3499" w:leftChars="1666" w:firstLine="4"/>
        <w:rPr>
          <w:rFonts w:ascii="Arial" w:hAnsi="Arial"/>
          <w:color w:val="auto"/>
          <w:sz w:val="24"/>
        </w:rPr>
      </w:pPr>
      <w:r>
        <w:rPr>
          <w:rFonts w:hint="eastAsia" w:ascii="Arial" w:hAnsi="Arial"/>
          <w:color w:val="auto"/>
          <w:sz w:val="24"/>
        </w:rPr>
        <w:t>湖南中冶长天节能环保技术有限公司</w:t>
      </w:r>
    </w:p>
    <w:p>
      <w:pPr>
        <w:ind w:left="2318" w:leftChars="1104"/>
        <w:rPr>
          <w:rFonts w:ascii="Arial" w:hAnsi="Arial"/>
          <w:color w:val="auto"/>
          <w:sz w:val="24"/>
        </w:rPr>
      </w:pPr>
      <w:r>
        <w:rPr>
          <w:rFonts w:hint="eastAsia" w:ascii="Arial" w:hAnsi="Arial"/>
          <w:color w:val="auto"/>
          <w:sz w:val="24"/>
        </w:rPr>
        <w:t>发布单位：中国冶金建设协会</w:t>
      </w:r>
    </w:p>
    <w:p>
      <w:pPr>
        <w:ind w:left="2318" w:leftChars="1104"/>
        <w:rPr>
          <w:rFonts w:ascii="Arial" w:hAnsi="Arial"/>
          <w:color w:val="auto"/>
          <w:sz w:val="24"/>
        </w:rPr>
      </w:pPr>
      <w:r>
        <w:rPr>
          <w:rFonts w:hint="eastAsia" w:ascii="Arial" w:hAnsi="Arial"/>
          <w:color w:val="auto"/>
          <w:sz w:val="24"/>
        </w:rPr>
        <w:t>施行日期：20</w:t>
      </w:r>
      <w:r>
        <w:rPr>
          <w:rFonts w:ascii="Arial" w:hAnsi="Arial"/>
          <w:color w:val="auto"/>
          <w:sz w:val="24"/>
        </w:rPr>
        <w:t>22</w:t>
      </w:r>
      <w:r>
        <w:rPr>
          <w:rFonts w:hint="eastAsia" w:ascii="Arial" w:hAnsi="Arial"/>
          <w:color w:val="auto"/>
          <w:sz w:val="24"/>
        </w:rPr>
        <w:t>年xx月xx日</w:t>
      </w:r>
    </w:p>
    <w:p>
      <w:pPr>
        <w:jc w:val="center"/>
        <w:rPr>
          <w:rFonts w:ascii="Arial" w:hAnsi="Arial" w:eastAsia="楷体" w:cs="楷体"/>
          <w:color w:val="auto"/>
          <w:sz w:val="30"/>
          <w:szCs w:val="30"/>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jc w:val="center"/>
        <w:rPr>
          <w:color w:val="auto"/>
          <w:sz w:val="28"/>
          <w:szCs w:val="28"/>
        </w:rPr>
      </w:pPr>
    </w:p>
    <w:p>
      <w:pPr>
        <w:spacing w:line="360" w:lineRule="auto"/>
        <w:jc w:val="center"/>
        <w:rPr>
          <w:rFonts w:ascii="Arial" w:hAnsi="Arial" w:cs="楷体"/>
          <w:color w:val="auto"/>
          <w:sz w:val="28"/>
          <w:szCs w:val="28"/>
        </w:rPr>
      </w:pPr>
      <w:r>
        <w:rPr>
          <w:rFonts w:hint="eastAsia" w:ascii="Arial" w:hAnsi="Arial" w:cs="楷体"/>
          <w:color w:val="auto"/>
          <w:sz w:val="28"/>
          <w:szCs w:val="28"/>
        </w:rPr>
        <w:t>冶金工业出版社</w:t>
      </w:r>
    </w:p>
    <w:p>
      <w:pPr>
        <w:spacing w:line="360" w:lineRule="auto"/>
        <w:jc w:val="center"/>
        <w:rPr>
          <w:rFonts w:ascii="Arial" w:hAnsi="Arial"/>
          <w:color w:val="auto"/>
          <w:sz w:val="28"/>
          <w:szCs w:val="28"/>
        </w:rPr>
        <w:sectPr>
          <w:footerReference r:id="rId5" w:type="default"/>
          <w:footerReference r:id="rId6" w:type="even"/>
          <w:pgSz w:w="11906" w:h="16838"/>
          <w:pgMar w:top="1134" w:right="1134" w:bottom="1134" w:left="1622" w:header="851" w:footer="992" w:gutter="0"/>
          <w:pgNumType w:start="1"/>
          <w:cols w:space="720" w:num="1"/>
          <w:docGrid w:type="lines" w:linePitch="312" w:charSpace="0"/>
        </w:sectPr>
      </w:pPr>
      <w:r>
        <w:rPr>
          <w:rFonts w:ascii="Arial" w:hAnsi="Arial" w:cs="Arial"/>
          <w:color w:val="auto"/>
          <w:sz w:val="28"/>
          <w:szCs w:val="28"/>
        </w:rPr>
        <w:t>2022</w:t>
      </w:r>
      <w:r>
        <w:rPr>
          <w:rFonts w:hint="eastAsia" w:ascii="Arial" w:hAnsi="Arial"/>
          <w:color w:val="auto"/>
          <w:sz w:val="28"/>
          <w:szCs w:val="28"/>
        </w:rPr>
        <w:t xml:space="preserve">  北   京</w:t>
      </w:r>
    </w:p>
    <w:p>
      <w:pPr>
        <w:jc w:val="center"/>
        <w:rPr>
          <w:rFonts w:ascii="Arial" w:hAnsi="Arial" w:eastAsia="黑体"/>
          <w:color w:val="auto"/>
          <w:sz w:val="28"/>
          <w:szCs w:val="28"/>
        </w:rPr>
      </w:pPr>
      <w:r>
        <w:rPr>
          <w:rFonts w:hint="eastAsia" w:ascii="Arial" w:hAnsi="Arial" w:eastAsia="黑体"/>
          <w:color w:val="auto"/>
          <w:sz w:val="28"/>
          <w:szCs w:val="28"/>
        </w:rPr>
        <w:t>中国冶金建设协会公告</w:t>
      </w:r>
    </w:p>
    <w:p>
      <w:pPr>
        <w:jc w:val="center"/>
        <w:rPr>
          <w:rFonts w:ascii="Arial" w:hAnsi="Arial" w:eastAsia="黑体"/>
          <w:color w:val="auto"/>
          <w:sz w:val="28"/>
          <w:szCs w:val="28"/>
        </w:rPr>
      </w:pPr>
      <w:r>
        <w:rPr>
          <w:rFonts w:hint="eastAsia" w:ascii="Arial" w:hAnsi="Arial" w:eastAsia="黑体"/>
          <w:color w:val="auto"/>
          <w:sz w:val="28"/>
          <w:szCs w:val="28"/>
        </w:rPr>
        <w:t>第xxx号</w:t>
      </w:r>
    </w:p>
    <w:p>
      <w:pPr>
        <w:jc w:val="center"/>
        <w:rPr>
          <w:rFonts w:ascii="Arial" w:hAnsi="Arial" w:eastAsia="黑体"/>
          <w:color w:val="auto"/>
          <w:sz w:val="28"/>
          <w:szCs w:val="28"/>
        </w:rPr>
      </w:pPr>
    </w:p>
    <w:p>
      <w:pPr>
        <w:jc w:val="center"/>
        <w:rPr>
          <w:rFonts w:ascii="Arial" w:hAnsi="Arial"/>
          <w:color w:val="auto"/>
          <w:sz w:val="28"/>
          <w:szCs w:val="28"/>
        </w:rPr>
      </w:pPr>
      <w:r>
        <w:rPr>
          <w:rFonts w:hint="eastAsia" w:ascii="Arial" w:hAnsi="Arial"/>
          <w:color w:val="auto"/>
          <w:sz w:val="28"/>
          <w:szCs w:val="28"/>
        </w:rPr>
        <w:t>关于发布中国冶金建设协会团体标准</w:t>
      </w:r>
    </w:p>
    <w:p>
      <w:pPr>
        <w:jc w:val="center"/>
        <w:rPr>
          <w:rFonts w:ascii="Arial" w:hAnsi="Arial"/>
          <w:color w:val="auto"/>
          <w:sz w:val="28"/>
          <w:szCs w:val="28"/>
        </w:rPr>
      </w:pPr>
      <w:r>
        <w:rPr>
          <w:rFonts w:hint="eastAsia" w:ascii="Arial" w:hAnsi="Arial"/>
          <w:color w:val="auto"/>
          <w:sz w:val="28"/>
          <w:szCs w:val="28"/>
        </w:rPr>
        <w:t>《钢铁厂协同处置城市危险废物预处理回转窑设计标准》的公告</w:t>
      </w:r>
    </w:p>
    <w:p>
      <w:pPr>
        <w:jc w:val="center"/>
        <w:rPr>
          <w:rFonts w:ascii="Arial" w:hAnsi="Arial" w:eastAsia="黑体"/>
          <w:color w:val="auto"/>
          <w:sz w:val="30"/>
          <w:szCs w:val="30"/>
        </w:rPr>
      </w:pPr>
    </w:p>
    <w:p>
      <w:pPr>
        <w:spacing w:line="360" w:lineRule="auto"/>
        <w:ind w:firstLine="480" w:firstLineChars="200"/>
        <w:rPr>
          <w:rFonts w:ascii="Arial" w:hAnsi="Arial" w:cs="宋体"/>
          <w:color w:val="auto"/>
          <w:sz w:val="24"/>
        </w:rPr>
      </w:pPr>
      <w:r>
        <w:rPr>
          <w:rFonts w:hint="eastAsia" w:ascii="Arial" w:hAnsi="Arial" w:cs="宋体"/>
          <w:color w:val="auto"/>
          <w:sz w:val="24"/>
        </w:rPr>
        <w:t>现发布中国冶金建设协会团体标准《钢铁厂协同处置城市危险废物预处理回转窑设计标准》，编号为T/CMCAxxxx-20</w:t>
      </w:r>
      <w:r>
        <w:rPr>
          <w:rFonts w:ascii="Arial" w:hAnsi="Arial" w:cs="宋体"/>
          <w:color w:val="auto"/>
          <w:sz w:val="24"/>
        </w:rPr>
        <w:t>22</w:t>
      </w:r>
      <w:r>
        <w:rPr>
          <w:rFonts w:hint="eastAsia" w:ascii="Arial" w:hAnsi="Arial" w:cs="宋体"/>
          <w:color w:val="auto"/>
          <w:sz w:val="24"/>
        </w:rPr>
        <w:t>，自20</w:t>
      </w:r>
      <w:r>
        <w:rPr>
          <w:rFonts w:ascii="Arial" w:hAnsi="Arial" w:cs="宋体"/>
          <w:color w:val="auto"/>
          <w:sz w:val="24"/>
        </w:rPr>
        <w:t>22</w:t>
      </w:r>
      <w:r>
        <w:rPr>
          <w:rFonts w:hint="eastAsia" w:ascii="Arial" w:hAnsi="Arial" w:cs="宋体"/>
          <w:color w:val="auto"/>
          <w:sz w:val="24"/>
        </w:rPr>
        <w:t>年xx月xx日起实施。本标准由冶金工业出版社出版发行。</w:t>
      </w:r>
    </w:p>
    <w:p>
      <w:pPr>
        <w:spacing w:line="360" w:lineRule="auto"/>
        <w:ind w:firstLine="560" w:firstLineChars="200"/>
        <w:rPr>
          <w:rFonts w:ascii="Arial" w:hAnsi="Arial" w:cs="宋体"/>
          <w:color w:val="auto"/>
          <w:sz w:val="28"/>
          <w:szCs w:val="28"/>
        </w:rPr>
      </w:pPr>
    </w:p>
    <w:p>
      <w:pPr>
        <w:spacing w:line="360" w:lineRule="auto"/>
        <w:ind w:firstLine="560" w:firstLineChars="200"/>
        <w:rPr>
          <w:rFonts w:ascii="Arial" w:hAnsi="Arial" w:cs="宋体"/>
          <w:color w:val="auto"/>
          <w:sz w:val="28"/>
          <w:szCs w:val="28"/>
        </w:rPr>
      </w:pPr>
    </w:p>
    <w:p>
      <w:pPr>
        <w:spacing w:line="360" w:lineRule="auto"/>
        <w:ind w:firstLine="480" w:firstLineChars="200"/>
        <w:jc w:val="right"/>
        <w:rPr>
          <w:rFonts w:ascii="Arial" w:hAnsi="Arial" w:cs="宋体"/>
          <w:color w:val="auto"/>
          <w:sz w:val="24"/>
        </w:rPr>
      </w:pPr>
      <w:r>
        <w:rPr>
          <w:rFonts w:hint="eastAsia" w:ascii="Arial" w:hAnsi="Arial" w:cs="宋体"/>
          <w:color w:val="auto"/>
          <w:sz w:val="24"/>
        </w:rPr>
        <w:t>中国冶金建设协会</w:t>
      </w:r>
    </w:p>
    <w:p>
      <w:pPr>
        <w:spacing w:line="360" w:lineRule="auto"/>
        <w:ind w:firstLine="480" w:firstLineChars="200"/>
        <w:jc w:val="right"/>
        <w:rPr>
          <w:rFonts w:ascii="Arial" w:hAnsi="Arial" w:cs="宋体"/>
          <w:color w:val="auto"/>
          <w:sz w:val="24"/>
        </w:rPr>
        <w:sectPr>
          <w:footerReference r:id="rId7" w:type="default"/>
          <w:footerReference r:id="rId8" w:type="even"/>
          <w:pgSz w:w="11906" w:h="16838"/>
          <w:pgMar w:top="1134" w:right="1134" w:bottom="1134" w:left="1622" w:header="851" w:footer="992" w:gutter="0"/>
          <w:pgNumType w:start="1"/>
          <w:cols w:space="720" w:num="1"/>
          <w:docGrid w:type="lines" w:linePitch="312" w:charSpace="0"/>
        </w:sectPr>
      </w:pPr>
      <w:r>
        <w:rPr>
          <w:rFonts w:hint="eastAsia" w:ascii="Arial" w:hAnsi="Arial" w:cs="宋体"/>
          <w:color w:val="auto"/>
          <w:sz w:val="24"/>
        </w:rPr>
        <w:t>20</w:t>
      </w:r>
      <w:r>
        <w:rPr>
          <w:rFonts w:ascii="Arial" w:hAnsi="Arial" w:cs="宋体"/>
          <w:color w:val="auto"/>
          <w:sz w:val="24"/>
        </w:rPr>
        <w:t>22</w:t>
      </w:r>
      <w:r>
        <w:rPr>
          <w:rFonts w:hint="eastAsia" w:ascii="Arial" w:hAnsi="Arial" w:cs="宋体"/>
          <w:color w:val="auto"/>
          <w:sz w:val="24"/>
        </w:rPr>
        <w:t>年xx月xx日</w:t>
      </w:r>
    </w:p>
    <w:p>
      <w:pPr>
        <w:jc w:val="center"/>
        <w:rPr>
          <w:color w:val="auto"/>
          <w:sz w:val="28"/>
          <w:szCs w:val="28"/>
        </w:rPr>
      </w:pPr>
      <w:r>
        <w:rPr>
          <w:rFonts w:hint="eastAsia"/>
          <w:color w:val="auto"/>
          <w:sz w:val="28"/>
          <w:szCs w:val="28"/>
        </w:rPr>
        <w:t>前    言</w:t>
      </w:r>
      <w:bookmarkEnd w:id="0"/>
      <w:bookmarkEnd w:id="1"/>
    </w:p>
    <w:p>
      <w:pPr>
        <w:jc w:val="center"/>
        <w:rPr>
          <w:color w:val="auto"/>
          <w:sz w:val="28"/>
          <w:szCs w:val="28"/>
        </w:rPr>
      </w:pPr>
    </w:p>
    <w:p>
      <w:pPr>
        <w:numPr>
          <w:ilvl w:val="0"/>
          <w:numId w:val="1"/>
        </w:numPr>
        <w:spacing w:line="360" w:lineRule="auto"/>
        <w:ind w:firstLine="420" w:firstLineChars="200"/>
        <w:rPr>
          <w:color w:val="auto"/>
          <w:szCs w:val="21"/>
        </w:rPr>
      </w:pPr>
      <w:r>
        <w:rPr>
          <w:rFonts w:hint="eastAsia"/>
          <w:color w:val="auto"/>
          <w:szCs w:val="21"/>
        </w:rPr>
        <w:t>本</w:t>
      </w:r>
      <w:r>
        <w:rPr>
          <w:color w:val="auto"/>
          <w:szCs w:val="21"/>
        </w:rPr>
        <w:t>标准</w:t>
      </w:r>
      <w:r>
        <w:rPr>
          <w:rFonts w:hint="eastAsia"/>
          <w:color w:val="auto"/>
          <w:szCs w:val="21"/>
        </w:rPr>
        <w:t>根据中国冶金建设协会《关于印发20</w:t>
      </w:r>
      <w:r>
        <w:rPr>
          <w:color w:val="auto"/>
          <w:szCs w:val="21"/>
        </w:rPr>
        <w:t>20</w:t>
      </w:r>
      <w:r>
        <w:rPr>
          <w:rFonts w:hint="eastAsia"/>
          <w:color w:val="auto"/>
          <w:szCs w:val="21"/>
        </w:rPr>
        <w:t>年上半年工程建设协会标准制订计划的通知》（冶建协[</w:t>
      </w:r>
      <w:r>
        <w:rPr>
          <w:color w:val="auto"/>
          <w:szCs w:val="21"/>
        </w:rPr>
        <w:t>2020]26</w:t>
      </w:r>
      <w:r>
        <w:rPr>
          <w:rFonts w:hint="eastAsia"/>
          <w:color w:val="auto"/>
          <w:szCs w:val="21"/>
        </w:rPr>
        <w:t>号）要求，由中冶长天国际工程有限责任公司会同有关单位共同完成。</w:t>
      </w:r>
    </w:p>
    <w:p>
      <w:pPr>
        <w:numPr>
          <w:ilvl w:val="0"/>
          <w:numId w:val="1"/>
        </w:numPr>
        <w:spacing w:line="360" w:lineRule="auto"/>
        <w:ind w:firstLine="420" w:firstLineChars="200"/>
        <w:rPr>
          <w:color w:val="auto"/>
          <w:szCs w:val="21"/>
        </w:rPr>
      </w:pPr>
      <w:r>
        <w:rPr>
          <w:rFonts w:hint="eastAsia"/>
          <w:color w:val="auto"/>
          <w:szCs w:val="21"/>
        </w:rPr>
        <w:t>在标准制定过程中，标准编制组学习了有关国家法律、法规及标准，开展了深入的调查和试验研究，认真总结实践经验，在广泛征求意见的基础上，最后经审查定稿。</w:t>
      </w:r>
    </w:p>
    <w:p>
      <w:pPr>
        <w:numPr>
          <w:ilvl w:val="0"/>
          <w:numId w:val="1"/>
        </w:numPr>
        <w:spacing w:line="360" w:lineRule="auto"/>
        <w:ind w:firstLine="420" w:firstLineChars="200"/>
        <w:rPr>
          <w:color w:val="auto"/>
          <w:szCs w:val="21"/>
        </w:rPr>
      </w:pPr>
      <w:r>
        <w:rPr>
          <w:rFonts w:hint="eastAsia"/>
          <w:color w:val="auto"/>
          <w:szCs w:val="21"/>
        </w:rPr>
        <w:t>本标准共九章，主要内容包括总则，术语，基本</w:t>
      </w:r>
      <w:r>
        <w:rPr>
          <w:color w:val="auto"/>
          <w:szCs w:val="21"/>
        </w:rPr>
        <w:t>规定，焚烧</w:t>
      </w:r>
      <w:r>
        <w:rPr>
          <w:rFonts w:hint="eastAsia"/>
          <w:color w:val="auto"/>
          <w:szCs w:val="21"/>
        </w:rPr>
        <w:t>工程</w:t>
      </w:r>
      <w:r>
        <w:rPr>
          <w:color w:val="auto"/>
          <w:szCs w:val="21"/>
        </w:rPr>
        <w:t>总体设计，</w:t>
      </w:r>
      <w:r>
        <w:rPr>
          <w:rFonts w:hint="eastAsia"/>
          <w:color w:val="auto"/>
          <w:szCs w:val="21"/>
        </w:rPr>
        <w:t>接收</w:t>
      </w:r>
      <w:r>
        <w:rPr>
          <w:color w:val="auto"/>
          <w:szCs w:val="21"/>
        </w:rPr>
        <w:t>、分析鉴别和贮存，焚烧处置</w:t>
      </w:r>
      <w:r>
        <w:rPr>
          <w:rFonts w:hint="eastAsia"/>
          <w:color w:val="auto"/>
          <w:szCs w:val="21"/>
        </w:rPr>
        <w:t>系统</w:t>
      </w:r>
      <w:r>
        <w:rPr>
          <w:color w:val="auto"/>
          <w:szCs w:val="21"/>
        </w:rPr>
        <w:t>，辅助设施</w:t>
      </w:r>
      <w:r>
        <w:rPr>
          <w:rFonts w:hint="eastAsia"/>
          <w:color w:val="auto"/>
          <w:szCs w:val="21"/>
        </w:rPr>
        <w:t>，节能</w:t>
      </w:r>
      <w:r>
        <w:rPr>
          <w:color w:val="auto"/>
          <w:szCs w:val="21"/>
        </w:rPr>
        <w:t>与环境保护、</w:t>
      </w:r>
      <w:r>
        <w:rPr>
          <w:rFonts w:hint="eastAsia"/>
          <w:color w:val="auto"/>
          <w:szCs w:val="21"/>
        </w:rPr>
        <w:t>消防</w:t>
      </w:r>
      <w:r>
        <w:rPr>
          <w:color w:val="auto"/>
          <w:szCs w:val="21"/>
        </w:rPr>
        <w:t>、职业</w:t>
      </w:r>
      <w:r>
        <w:rPr>
          <w:rFonts w:hint="eastAsia"/>
          <w:color w:val="auto"/>
          <w:szCs w:val="21"/>
        </w:rPr>
        <w:t>卫生</w:t>
      </w:r>
      <w:r>
        <w:rPr>
          <w:color w:val="auto"/>
          <w:szCs w:val="21"/>
        </w:rPr>
        <w:t>与劳动安全</w:t>
      </w:r>
      <w:r>
        <w:rPr>
          <w:rFonts w:hint="eastAsia"/>
          <w:color w:val="auto"/>
          <w:szCs w:val="21"/>
        </w:rPr>
        <w:t>。</w:t>
      </w:r>
    </w:p>
    <w:p>
      <w:pPr>
        <w:numPr>
          <w:ilvl w:val="0"/>
          <w:numId w:val="1"/>
        </w:numPr>
        <w:spacing w:line="360" w:lineRule="auto"/>
        <w:ind w:firstLine="420" w:firstLineChars="200"/>
        <w:rPr>
          <w:color w:val="auto"/>
          <w:szCs w:val="21"/>
        </w:rPr>
      </w:pPr>
      <w:r>
        <w:rPr>
          <w:color w:val="auto"/>
          <w:szCs w:val="21"/>
        </w:rPr>
        <w:t>本标准由</w:t>
      </w:r>
      <w:r>
        <w:rPr>
          <w:rFonts w:hint="eastAsia"/>
          <w:color w:val="auto"/>
          <w:szCs w:val="21"/>
        </w:rPr>
        <w:t>中国冶金建设协会负责管理，由中冶长天国际工程有限责任公司</w:t>
      </w:r>
      <w:r>
        <w:rPr>
          <w:color w:val="auto"/>
          <w:szCs w:val="21"/>
        </w:rPr>
        <w:t>负责具体技术内容的解释。执行过程中如有意见或建议，请寄送至</w:t>
      </w:r>
      <w:r>
        <w:rPr>
          <w:rFonts w:hint="eastAsia"/>
          <w:color w:val="auto"/>
          <w:szCs w:val="21"/>
        </w:rPr>
        <w:t>中冶长天国际工程有限责任公司</w:t>
      </w:r>
      <w:r>
        <w:rPr>
          <w:color w:val="auto"/>
          <w:szCs w:val="21"/>
        </w:rPr>
        <w:t>（地址：</w:t>
      </w:r>
      <w:r>
        <w:rPr>
          <w:rFonts w:hint="eastAsia"/>
          <w:color w:val="auto"/>
          <w:szCs w:val="21"/>
        </w:rPr>
        <w:t>湖南省长沙市岳麓区节庆路7号</w:t>
      </w:r>
      <w:r>
        <w:rPr>
          <w:color w:val="auto"/>
          <w:szCs w:val="21"/>
        </w:rPr>
        <w:t>；邮编：</w:t>
      </w:r>
      <w:r>
        <w:rPr>
          <w:rFonts w:hint="eastAsia"/>
          <w:color w:val="auto"/>
          <w:szCs w:val="21"/>
        </w:rPr>
        <w:t>410</w:t>
      </w:r>
      <w:r>
        <w:rPr>
          <w:color w:val="auto"/>
          <w:szCs w:val="21"/>
        </w:rPr>
        <w:t>2</w:t>
      </w:r>
      <w:r>
        <w:rPr>
          <w:rFonts w:hint="eastAsia"/>
          <w:color w:val="auto"/>
          <w:szCs w:val="21"/>
        </w:rPr>
        <w:t>0</w:t>
      </w:r>
      <w:r>
        <w:rPr>
          <w:color w:val="auto"/>
          <w:szCs w:val="21"/>
        </w:rPr>
        <w:t>5）。</w:t>
      </w:r>
    </w:p>
    <w:p>
      <w:pPr>
        <w:numPr>
          <w:ilvl w:val="0"/>
          <w:numId w:val="1"/>
        </w:numPr>
        <w:spacing w:line="360" w:lineRule="auto"/>
        <w:ind w:firstLine="420" w:firstLineChars="200"/>
        <w:rPr>
          <w:color w:val="auto"/>
          <w:szCs w:val="21"/>
        </w:rPr>
      </w:pPr>
      <w:r>
        <w:rPr>
          <w:color w:val="auto"/>
          <w:szCs w:val="21"/>
        </w:rPr>
        <w:t>本标准</w:t>
      </w:r>
      <w:r>
        <w:rPr>
          <w:rFonts w:hint="eastAsia"/>
          <w:color w:val="auto"/>
          <w:szCs w:val="21"/>
        </w:rPr>
        <w:t>主编</w:t>
      </w:r>
      <w:r>
        <w:rPr>
          <w:color w:val="auto"/>
          <w:szCs w:val="21"/>
        </w:rPr>
        <w:t>单位、</w:t>
      </w:r>
      <w:r>
        <w:rPr>
          <w:rFonts w:hint="eastAsia"/>
          <w:color w:val="auto"/>
          <w:szCs w:val="21"/>
        </w:rPr>
        <w:t>参编</w:t>
      </w:r>
      <w:r>
        <w:rPr>
          <w:color w:val="auto"/>
          <w:szCs w:val="21"/>
        </w:rPr>
        <w:t>单位、主要起草人和主要审查人：</w:t>
      </w:r>
    </w:p>
    <w:p>
      <w:pPr>
        <w:numPr>
          <w:ilvl w:val="0"/>
          <w:numId w:val="1"/>
        </w:numPr>
        <w:spacing w:line="360" w:lineRule="auto"/>
        <w:ind w:left="1528" w:leftChars="201" w:hanging="1106" w:hangingChars="527"/>
        <w:rPr>
          <w:color w:val="auto"/>
          <w:szCs w:val="21"/>
        </w:rPr>
      </w:pPr>
      <w:r>
        <w:rPr>
          <w:rFonts w:hint="eastAsia"/>
          <w:color w:val="auto"/>
          <w:szCs w:val="21"/>
        </w:rPr>
        <w:t>主编</w:t>
      </w:r>
      <w:r>
        <w:rPr>
          <w:color w:val="auto"/>
          <w:szCs w:val="21"/>
        </w:rPr>
        <w:t>单位：</w:t>
      </w:r>
      <w:r>
        <w:rPr>
          <w:rFonts w:hint="eastAsia"/>
          <w:color w:val="auto"/>
          <w:szCs w:val="21"/>
        </w:rPr>
        <w:t>中冶长天国际工程有限责任公司</w:t>
      </w:r>
    </w:p>
    <w:p>
      <w:pPr>
        <w:numPr>
          <w:ilvl w:val="0"/>
          <w:numId w:val="1"/>
        </w:numPr>
        <w:spacing w:line="360" w:lineRule="auto"/>
        <w:ind w:left="422" w:leftChars="201" w:firstLine="995" w:firstLineChars="474"/>
        <w:rPr>
          <w:color w:val="auto"/>
          <w:szCs w:val="21"/>
        </w:rPr>
      </w:pPr>
      <w:r>
        <w:rPr>
          <w:rFonts w:hint="eastAsia"/>
          <w:color w:val="auto"/>
          <w:szCs w:val="21"/>
        </w:rPr>
        <w:t>湖南中冶长天</w:t>
      </w:r>
      <w:r>
        <w:rPr>
          <w:color w:val="auto"/>
          <w:szCs w:val="21"/>
        </w:rPr>
        <w:t>节能环保技术有限公司</w:t>
      </w:r>
    </w:p>
    <w:p>
      <w:pPr>
        <w:numPr>
          <w:ilvl w:val="0"/>
          <w:numId w:val="1"/>
        </w:numPr>
        <w:spacing w:line="360" w:lineRule="auto"/>
        <w:ind w:left="1528" w:leftChars="201" w:hanging="1106" w:hangingChars="527"/>
        <w:rPr>
          <w:color w:val="auto"/>
          <w:szCs w:val="21"/>
        </w:rPr>
      </w:pPr>
      <w:r>
        <w:rPr>
          <w:rFonts w:hint="eastAsia"/>
          <w:color w:val="auto"/>
          <w:szCs w:val="21"/>
        </w:rPr>
        <w:t>参编单位：国家烧结球团装备系统工程</w:t>
      </w:r>
      <w:r>
        <w:rPr>
          <w:color w:val="auto"/>
          <w:szCs w:val="21"/>
        </w:rPr>
        <w:t>技术</w:t>
      </w:r>
      <w:r>
        <w:rPr>
          <w:rFonts w:hint="eastAsia"/>
          <w:color w:val="auto"/>
          <w:szCs w:val="21"/>
        </w:rPr>
        <w:t>研究</w:t>
      </w:r>
      <w:r>
        <w:rPr>
          <w:color w:val="auto"/>
          <w:szCs w:val="21"/>
        </w:rPr>
        <w:t>中心</w:t>
      </w:r>
    </w:p>
    <w:p>
      <w:pPr>
        <w:spacing w:line="360" w:lineRule="auto"/>
        <w:ind w:left="1260" w:leftChars="200" w:hanging="840" w:hangingChars="400"/>
        <w:rPr>
          <w:color w:val="auto"/>
        </w:rPr>
      </w:pPr>
      <w:r>
        <w:rPr>
          <w:rFonts w:hint="eastAsia"/>
          <w:color w:val="auto"/>
          <w:szCs w:val="21"/>
        </w:rPr>
        <w:t xml:space="preserve">主要起草人： </w:t>
      </w:r>
    </w:p>
    <w:p>
      <w:pPr>
        <w:spacing w:line="360" w:lineRule="auto"/>
        <w:ind w:firstLine="420" w:firstLineChars="200"/>
        <w:rPr>
          <w:color w:val="auto"/>
        </w:rPr>
      </w:pPr>
      <w:r>
        <w:rPr>
          <w:color w:val="auto"/>
          <w:szCs w:val="21"/>
        </w:rPr>
        <w:t>主要审查人：</w:t>
      </w:r>
      <w:r>
        <w:rPr>
          <w:rFonts w:hint="eastAsia"/>
          <w:color w:val="auto"/>
        </w:rPr>
        <w:t xml:space="preserve"> </w:t>
      </w:r>
    </w:p>
    <w:p>
      <w:pPr>
        <w:widowControl/>
        <w:jc w:val="left"/>
        <w:rPr>
          <w:color w:val="auto"/>
        </w:rPr>
      </w:pPr>
      <w:r>
        <w:rPr>
          <w:color w:val="auto"/>
        </w:rPr>
        <w:br w:type="page"/>
      </w:r>
    </w:p>
    <w:p>
      <w:pPr>
        <w:spacing w:line="360" w:lineRule="auto"/>
        <w:jc w:val="center"/>
        <w:rPr>
          <w:b/>
          <w:color w:val="auto"/>
          <w:sz w:val="28"/>
          <w:szCs w:val="28"/>
        </w:rPr>
      </w:pPr>
      <w:bookmarkStart w:id="2" w:name="_Toc248741460"/>
      <w:bookmarkStart w:id="3" w:name="_Toc248742352"/>
      <w:bookmarkStart w:id="4" w:name="_Toc304821902"/>
      <w:bookmarkStart w:id="5" w:name="_Toc268104372"/>
      <w:bookmarkStart w:id="6" w:name="_Toc294010615"/>
      <w:bookmarkStart w:id="7" w:name="_Toc294010798"/>
      <w:r>
        <w:rPr>
          <w:rFonts w:hint="eastAsia"/>
          <w:b/>
          <w:color w:val="auto"/>
          <w:sz w:val="28"/>
          <w:szCs w:val="28"/>
        </w:rPr>
        <w:t>目   次</w:t>
      </w:r>
    </w:p>
    <w:p>
      <w:pPr>
        <w:pStyle w:val="12"/>
        <w:spacing w:line="20" w:lineRule="atLeast"/>
        <w:rPr>
          <w:rFonts w:eastAsiaTheme="minorEastAsia"/>
          <w:color w:val="auto"/>
          <w:sz w:val="21"/>
          <w:szCs w:val="22"/>
        </w:rPr>
      </w:pPr>
      <w:r>
        <w:rPr>
          <w:b/>
          <w:color w:val="auto"/>
          <w:sz w:val="21"/>
          <w:szCs w:val="21"/>
        </w:rPr>
        <w:fldChar w:fldCharType="begin"/>
      </w:r>
      <w:r>
        <w:rPr>
          <w:b/>
          <w:color w:val="auto"/>
          <w:sz w:val="21"/>
          <w:szCs w:val="21"/>
        </w:rPr>
        <w:instrText xml:space="preserve">TOC \o "1-3" \h \z \u</w:instrText>
      </w:r>
      <w:r>
        <w:rPr>
          <w:b/>
          <w:color w:val="auto"/>
          <w:sz w:val="21"/>
          <w:szCs w:val="21"/>
        </w:rPr>
        <w:fldChar w:fldCharType="separate"/>
      </w:r>
      <w:r>
        <w:rPr>
          <w:color w:val="auto"/>
        </w:rPr>
        <w:fldChar w:fldCharType="begin"/>
      </w:r>
      <w:r>
        <w:rPr>
          <w:color w:val="auto"/>
        </w:rPr>
        <w:instrText xml:space="preserve"> HYPERLINK \l "_Toc92877427" </w:instrText>
      </w:r>
      <w:r>
        <w:rPr>
          <w:color w:val="auto"/>
        </w:rPr>
        <w:fldChar w:fldCharType="separate"/>
      </w:r>
      <w:r>
        <w:rPr>
          <w:rStyle w:val="19"/>
          <w:color w:val="auto"/>
        </w:rPr>
        <w:t>1 总则</w:t>
      </w:r>
      <w:r>
        <w:rPr>
          <w:color w:val="auto"/>
        </w:rPr>
        <w:tab/>
      </w:r>
      <w:r>
        <w:rPr>
          <w:color w:val="auto"/>
        </w:rPr>
        <w:fldChar w:fldCharType="begin"/>
      </w:r>
      <w:r>
        <w:rPr>
          <w:color w:val="auto"/>
        </w:rPr>
        <w:instrText xml:space="preserve"> PAGEREF _Toc92877427 \h </w:instrText>
      </w:r>
      <w:r>
        <w:rPr>
          <w:color w:val="auto"/>
        </w:rPr>
        <w:fldChar w:fldCharType="separate"/>
      </w:r>
      <w:r>
        <w:rPr>
          <w:color w:val="auto"/>
        </w:rPr>
        <w:t>2</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"_Toc92877428" </w:instrText>
      </w:r>
      <w:r>
        <w:rPr>
          <w:color w:val="auto"/>
        </w:rPr>
        <w:fldChar w:fldCharType="separate"/>
      </w:r>
      <w:r>
        <w:rPr>
          <w:rStyle w:val="19"/>
          <w:color w:val="auto"/>
        </w:rPr>
        <w:t>2 术语</w:t>
      </w:r>
      <w:r>
        <w:rPr>
          <w:color w:val="auto"/>
        </w:rPr>
        <w:tab/>
      </w:r>
      <w:r>
        <w:rPr>
          <w:color w:val="auto"/>
        </w:rPr>
        <w:fldChar w:fldCharType="begin"/>
      </w:r>
      <w:r>
        <w:rPr>
          <w:color w:val="auto"/>
        </w:rPr>
        <w:instrText xml:space="preserve"> PAGEREF _Toc92877428 \h </w:instrText>
      </w:r>
      <w:r>
        <w:rPr>
          <w:color w:val="auto"/>
        </w:rPr>
        <w:fldChar w:fldCharType="separate"/>
      </w:r>
      <w:r>
        <w:rPr>
          <w:color w:val="auto"/>
        </w:rPr>
        <w:t>3</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"_Toc92877429" </w:instrText>
      </w:r>
      <w:r>
        <w:rPr>
          <w:color w:val="auto"/>
        </w:rPr>
        <w:fldChar w:fldCharType="separate"/>
      </w:r>
      <w:r>
        <w:rPr>
          <w:rStyle w:val="19"/>
          <w:color w:val="auto"/>
        </w:rPr>
        <w:t>3 基本规定</w:t>
      </w:r>
      <w:r>
        <w:rPr>
          <w:color w:val="auto"/>
        </w:rPr>
        <w:tab/>
      </w:r>
      <w:r>
        <w:rPr>
          <w:color w:val="auto"/>
        </w:rPr>
        <w:fldChar w:fldCharType="begin"/>
      </w:r>
      <w:r>
        <w:rPr>
          <w:color w:val="auto"/>
        </w:rPr>
        <w:instrText xml:space="preserve"> PAGEREF _Toc92877429 \h </w:instrText>
      </w:r>
      <w:r>
        <w:rPr>
          <w:color w:val="auto"/>
        </w:rPr>
        <w:fldChar w:fldCharType="separate"/>
      </w:r>
      <w:r>
        <w:rPr>
          <w:color w:val="auto"/>
        </w:rPr>
        <w:t>5</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"_Toc92877430" </w:instrText>
      </w:r>
      <w:r>
        <w:rPr>
          <w:color w:val="auto"/>
        </w:rPr>
        <w:fldChar w:fldCharType="separate"/>
      </w:r>
      <w:r>
        <w:rPr>
          <w:rStyle w:val="19"/>
          <w:color w:val="auto"/>
        </w:rPr>
        <w:t>4 焚烧</w:t>
      </w:r>
      <w:r>
        <w:rPr>
          <w:rStyle w:val="19"/>
          <w:rFonts w:hint="eastAsia"/>
          <w:color w:val="auto"/>
        </w:rPr>
        <w:t>工程</w:t>
      </w:r>
      <w:r>
        <w:rPr>
          <w:rStyle w:val="19"/>
          <w:color w:val="auto"/>
        </w:rPr>
        <w:t>总体设计</w:t>
      </w:r>
      <w:r>
        <w:rPr>
          <w:color w:val="auto"/>
        </w:rPr>
        <w:tab/>
      </w:r>
      <w:r>
        <w:rPr>
          <w:color w:val="auto"/>
        </w:rPr>
        <w:fldChar w:fldCharType="begin"/>
      </w:r>
      <w:r>
        <w:rPr>
          <w:color w:val="auto"/>
        </w:rPr>
        <w:instrText xml:space="preserve"> PAGEREF _Toc92877430 \h </w:instrText>
      </w:r>
      <w:r>
        <w:rPr>
          <w:color w:val="auto"/>
        </w:rPr>
        <w:fldChar w:fldCharType="separate"/>
      </w:r>
      <w:r>
        <w:rPr>
          <w:color w:val="auto"/>
        </w:rPr>
        <w:t>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"_Toc92877431" </w:instrText>
      </w:r>
      <w:r>
        <w:rPr>
          <w:color w:val="auto"/>
        </w:rPr>
        <w:fldChar w:fldCharType="separate"/>
      </w:r>
      <w:r>
        <w:rPr>
          <w:rStyle w:val="19"/>
          <w:color w:val="auto"/>
        </w:rPr>
        <w:t>4.1 建设规模</w:t>
      </w:r>
      <w:r>
        <w:rPr>
          <w:color w:val="auto"/>
        </w:rPr>
        <w:tab/>
      </w:r>
      <w:r>
        <w:rPr>
          <w:color w:val="auto"/>
        </w:rPr>
        <w:fldChar w:fldCharType="begin"/>
      </w:r>
      <w:r>
        <w:rPr>
          <w:color w:val="auto"/>
        </w:rPr>
        <w:instrText xml:space="preserve"> PAGEREF _Toc92877431 \h </w:instrText>
      </w:r>
      <w:r>
        <w:rPr>
          <w:color w:val="auto"/>
        </w:rPr>
        <w:fldChar w:fldCharType="separate"/>
      </w:r>
      <w:r>
        <w:rPr>
          <w:color w:val="auto"/>
        </w:rPr>
        <w:t>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"_Toc92877432" </w:instrText>
      </w:r>
      <w:r>
        <w:rPr>
          <w:color w:val="auto"/>
        </w:rPr>
        <w:fldChar w:fldCharType="separate"/>
      </w:r>
      <w:r>
        <w:rPr>
          <w:rStyle w:val="19"/>
          <w:color w:val="auto"/>
        </w:rPr>
        <w:t>4.2 厂址选择</w:t>
      </w:r>
      <w:r>
        <w:rPr>
          <w:color w:val="auto"/>
        </w:rPr>
        <w:tab/>
      </w:r>
      <w:r>
        <w:rPr>
          <w:color w:val="auto"/>
        </w:rPr>
        <w:fldChar w:fldCharType="begin"/>
      </w:r>
      <w:r>
        <w:rPr>
          <w:color w:val="auto"/>
        </w:rPr>
        <w:instrText xml:space="preserve"> PAGEREF _Toc92877432 \h </w:instrText>
      </w:r>
      <w:r>
        <w:rPr>
          <w:color w:val="auto"/>
        </w:rPr>
        <w:fldChar w:fldCharType="separate"/>
      </w:r>
      <w:r>
        <w:rPr>
          <w:color w:val="auto"/>
        </w:rPr>
        <w:t>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"_Toc92877433" </w:instrText>
      </w:r>
      <w:r>
        <w:rPr>
          <w:color w:val="auto"/>
        </w:rPr>
        <w:fldChar w:fldCharType="separate"/>
      </w:r>
      <w:r>
        <w:rPr>
          <w:rStyle w:val="19"/>
          <w:color w:val="auto"/>
        </w:rPr>
        <w:t>4.3 总图设计</w:t>
      </w:r>
      <w:r>
        <w:rPr>
          <w:color w:val="auto"/>
        </w:rPr>
        <w:tab/>
      </w:r>
      <w:r>
        <w:rPr>
          <w:color w:val="auto"/>
        </w:rPr>
        <w:fldChar w:fldCharType="begin"/>
      </w:r>
      <w:r>
        <w:rPr>
          <w:color w:val="auto"/>
        </w:rPr>
        <w:instrText xml:space="preserve"> PAGEREF _Toc92877433 \h </w:instrText>
      </w:r>
      <w:r>
        <w:rPr>
          <w:color w:val="auto"/>
        </w:rPr>
        <w:fldChar w:fldCharType="separate"/>
      </w:r>
      <w:r>
        <w:rPr>
          <w:color w:val="auto"/>
        </w:rPr>
        <w:t>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"_Toc92877434" </w:instrText>
      </w:r>
      <w:r>
        <w:rPr>
          <w:color w:val="auto"/>
        </w:rPr>
        <w:fldChar w:fldCharType="separate"/>
      </w:r>
      <w:r>
        <w:rPr>
          <w:rStyle w:val="19"/>
          <w:color w:val="auto"/>
        </w:rPr>
        <w:t>4.4 厂区道路</w:t>
      </w:r>
      <w:r>
        <w:rPr>
          <w:color w:val="auto"/>
        </w:rPr>
        <w:tab/>
      </w:r>
      <w:r>
        <w:rPr>
          <w:color w:val="auto"/>
        </w:rPr>
        <w:fldChar w:fldCharType="begin"/>
      </w:r>
      <w:r>
        <w:rPr>
          <w:color w:val="auto"/>
        </w:rPr>
        <w:instrText xml:space="preserve"> PAGEREF _Toc92877434 \h </w:instrText>
      </w:r>
      <w:r>
        <w:rPr>
          <w:color w:val="auto"/>
        </w:rPr>
        <w:fldChar w:fldCharType="separate"/>
      </w:r>
      <w:r>
        <w:rPr>
          <w:color w:val="auto"/>
        </w:rPr>
        <w:t>7</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"_Toc92877435" </w:instrText>
      </w:r>
      <w:r>
        <w:rPr>
          <w:color w:val="auto"/>
        </w:rPr>
        <w:fldChar w:fldCharType="separate"/>
      </w:r>
      <w:r>
        <w:rPr>
          <w:rStyle w:val="19"/>
          <w:color w:val="auto"/>
        </w:rPr>
        <w:t>5 接收、分析鉴别和贮存</w:t>
      </w:r>
      <w:r>
        <w:rPr>
          <w:color w:val="auto"/>
        </w:rPr>
        <w:tab/>
      </w:r>
      <w:r>
        <w:rPr>
          <w:color w:val="auto"/>
        </w:rPr>
        <w:fldChar w:fldCharType="begin"/>
      </w:r>
      <w:r>
        <w:rPr>
          <w:color w:val="auto"/>
        </w:rPr>
        <w:instrText xml:space="preserve"> PAGEREF _Toc92877435 \h </w:instrText>
      </w:r>
      <w:r>
        <w:rPr>
          <w:color w:val="auto"/>
        </w:rPr>
        <w:fldChar w:fldCharType="separate"/>
      </w:r>
      <w:r>
        <w:rPr>
          <w:color w:val="auto"/>
        </w:rPr>
        <w:t>8</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"_Toc92877436" </w:instrText>
      </w:r>
      <w:r>
        <w:rPr>
          <w:color w:val="auto"/>
        </w:rPr>
        <w:fldChar w:fldCharType="separate"/>
      </w:r>
      <w:r>
        <w:rPr>
          <w:rStyle w:val="19"/>
          <w:color w:val="auto"/>
        </w:rPr>
        <w:t>5.1 接收与运输</w:t>
      </w:r>
      <w:r>
        <w:rPr>
          <w:color w:val="auto"/>
        </w:rPr>
        <w:tab/>
      </w:r>
      <w:r>
        <w:rPr>
          <w:color w:val="auto"/>
        </w:rPr>
        <w:fldChar w:fldCharType="begin"/>
      </w:r>
      <w:r>
        <w:rPr>
          <w:color w:val="auto"/>
        </w:rPr>
        <w:instrText xml:space="preserve"> PAGEREF _Toc92877436 \h </w:instrText>
      </w:r>
      <w:r>
        <w:rPr>
          <w:color w:val="auto"/>
        </w:rPr>
        <w:fldChar w:fldCharType="separate"/>
      </w:r>
      <w:r>
        <w:rPr>
          <w:color w:val="auto"/>
        </w:rPr>
        <w:t>8</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"_Toc92877437" </w:instrText>
      </w:r>
      <w:r>
        <w:rPr>
          <w:color w:val="auto"/>
        </w:rPr>
        <w:fldChar w:fldCharType="separate"/>
      </w:r>
      <w:r>
        <w:rPr>
          <w:rStyle w:val="19"/>
          <w:color w:val="auto"/>
        </w:rPr>
        <w:t>5.2 分析鉴别</w:t>
      </w:r>
      <w:r>
        <w:rPr>
          <w:color w:val="auto"/>
        </w:rPr>
        <w:tab/>
      </w:r>
      <w:r>
        <w:rPr>
          <w:color w:val="auto"/>
        </w:rPr>
        <w:fldChar w:fldCharType="begin"/>
      </w:r>
      <w:r>
        <w:rPr>
          <w:color w:val="auto"/>
        </w:rPr>
        <w:instrText xml:space="preserve"> PAGEREF _Toc92877437 \h </w:instrText>
      </w:r>
      <w:r>
        <w:rPr>
          <w:color w:val="auto"/>
        </w:rPr>
        <w:fldChar w:fldCharType="separate"/>
      </w:r>
      <w:r>
        <w:rPr>
          <w:color w:val="auto"/>
        </w:rPr>
        <w:t>8</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"_Toc92877438" </w:instrText>
      </w:r>
      <w:r>
        <w:rPr>
          <w:color w:val="auto"/>
        </w:rPr>
        <w:fldChar w:fldCharType="separate"/>
      </w:r>
      <w:r>
        <w:rPr>
          <w:rStyle w:val="19"/>
          <w:color w:val="auto"/>
        </w:rPr>
        <w:t>5.3 贮存</w:t>
      </w:r>
      <w:r>
        <w:rPr>
          <w:color w:val="auto"/>
        </w:rPr>
        <w:tab/>
      </w:r>
      <w:r>
        <w:rPr>
          <w:color w:val="auto"/>
        </w:rPr>
        <w:fldChar w:fldCharType="begin"/>
      </w:r>
      <w:r>
        <w:rPr>
          <w:color w:val="auto"/>
        </w:rPr>
        <w:instrText xml:space="preserve"> PAGEREF _Toc92877438 \h </w:instrText>
      </w:r>
      <w:r>
        <w:rPr>
          <w:color w:val="auto"/>
        </w:rPr>
        <w:fldChar w:fldCharType="separate"/>
      </w:r>
      <w:r>
        <w:rPr>
          <w:color w:val="auto"/>
        </w:rPr>
        <w:t>8</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"_Toc92877439" </w:instrText>
      </w:r>
      <w:r>
        <w:rPr>
          <w:color w:val="auto"/>
        </w:rPr>
        <w:fldChar w:fldCharType="separate"/>
      </w:r>
      <w:r>
        <w:rPr>
          <w:rStyle w:val="19"/>
          <w:color w:val="auto"/>
        </w:rPr>
        <w:t>6 焚烧处置系统</w:t>
      </w:r>
      <w:r>
        <w:rPr>
          <w:color w:val="auto"/>
        </w:rPr>
        <w:tab/>
      </w:r>
      <w:r>
        <w:rPr>
          <w:color w:val="auto"/>
        </w:rPr>
        <w:fldChar w:fldCharType="begin"/>
      </w:r>
      <w:r>
        <w:rPr>
          <w:color w:val="auto"/>
        </w:rPr>
        <w:instrText xml:space="preserve"> PAGEREF _Toc92877439 \h </w:instrText>
      </w:r>
      <w:r>
        <w:rPr>
          <w:color w:val="auto"/>
        </w:rPr>
        <w:fldChar w:fldCharType="separate"/>
      </w:r>
      <w:r>
        <w:rPr>
          <w:color w:val="auto"/>
        </w:rPr>
        <w:t>10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"_Toc92877440" </w:instrText>
      </w:r>
      <w:r>
        <w:rPr>
          <w:color w:val="auto"/>
        </w:rPr>
        <w:fldChar w:fldCharType="separate"/>
      </w:r>
      <w:r>
        <w:rPr>
          <w:rStyle w:val="19"/>
          <w:color w:val="auto"/>
        </w:rPr>
        <w:t>6.1 一般要求</w:t>
      </w:r>
      <w:r>
        <w:rPr>
          <w:color w:val="auto"/>
        </w:rPr>
        <w:tab/>
      </w:r>
      <w:r>
        <w:rPr>
          <w:color w:val="auto"/>
        </w:rPr>
        <w:fldChar w:fldCharType="begin"/>
      </w:r>
      <w:r>
        <w:rPr>
          <w:color w:val="auto"/>
        </w:rPr>
        <w:instrText xml:space="preserve"> PAGEREF _Toc92877440 \h </w:instrText>
      </w:r>
      <w:r>
        <w:rPr>
          <w:color w:val="auto"/>
        </w:rPr>
        <w:fldChar w:fldCharType="separate"/>
      </w:r>
      <w:r>
        <w:rPr>
          <w:color w:val="auto"/>
        </w:rPr>
        <w:t>10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"_Toc92877441" </w:instrText>
      </w:r>
      <w:r>
        <w:rPr>
          <w:color w:val="auto"/>
        </w:rPr>
        <w:fldChar w:fldCharType="separate"/>
      </w:r>
      <w:r>
        <w:rPr>
          <w:rStyle w:val="19"/>
          <w:color w:val="auto"/>
        </w:rPr>
        <w:t>6.2 预处理及进料系统</w:t>
      </w:r>
      <w:r>
        <w:rPr>
          <w:color w:val="auto"/>
        </w:rPr>
        <w:tab/>
      </w:r>
      <w:r>
        <w:rPr>
          <w:color w:val="auto"/>
        </w:rPr>
        <w:fldChar w:fldCharType="begin"/>
      </w:r>
      <w:r>
        <w:rPr>
          <w:color w:val="auto"/>
        </w:rPr>
        <w:instrText xml:space="preserve"> PAGEREF _Toc92877441 \h </w:instrText>
      </w:r>
      <w:r>
        <w:rPr>
          <w:color w:val="auto"/>
        </w:rPr>
        <w:fldChar w:fldCharType="separate"/>
      </w:r>
      <w:r>
        <w:rPr>
          <w:color w:val="auto"/>
        </w:rPr>
        <w:t>10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"_Toc92877442" </w:instrText>
      </w:r>
      <w:r>
        <w:rPr>
          <w:color w:val="auto"/>
        </w:rPr>
        <w:fldChar w:fldCharType="separate"/>
      </w:r>
      <w:r>
        <w:rPr>
          <w:rStyle w:val="19"/>
          <w:color w:val="auto"/>
        </w:rPr>
        <w:t>6.3 焚烧系统</w:t>
      </w:r>
      <w:r>
        <w:rPr>
          <w:color w:val="auto"/>
        </w:rPr>
        <w:tab/>
      </w:r>
      <w:r>
        <w:rPr>
          <w:color w:val="auto"/>
        </w:rPr>
        <w:fldChar w:fldCharType="begin"/>
      </w:r>
      <w:r>
        <w:rPr>
          <w:color w:val="auto"/>
        </w:rPr>
        <w:instrText xml:space="preserve"> PAGEREF _Toc92877442 \h </w:instrText>
      </w:r>
      <w:r>
        <w:rPr>
          <w:color w:val="auto"/>
        </w:rPr>
        <w:fldChar w:fldCharType="separate"/>
      </w:r>
      <w:r>
        <w:rPr>
          <w:color w:val="auto"/>
        </w:rPr>
        <w:t>10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"_Toc92877443" </w:instrText>
      </w:r>
      <w:r>
        <w:rPr>
          <w:color w:val="auto"/>
        </w:rPr>
        <w:fldChar w:fldCharType="separate"/>
      </w:r>
      <w:r>
        <w:rPr>
          <w:rStyle w:val="19"/>
          <w:color w:val="auto"/>
        </w:rPr>
        <w:t>6.4 余热利用系统</w:t>
      </w:r>
      <w:r>
        <w:rPr>
          <w:color w:val="auto"/>
        </w:rPr>
        <w:tab/>
      </w:r>
      <w:r>
        <w:rPr>
          <w:color w:val="auto"/>
        </w:rPr>
        <w:fldChar w:fldCharType="begin"/>
      </w:r>
      <w:r>
        <w:rPr>
          <w:color w:val="auto"/>
        </w:rPr>
        <w:instrText xml:space="preserve"> PAGEREF _Toc92877443 \h </w:instrText>
      </w:r>
      <w:r>
        <w:rPr>
          <w:color w:val="auto"/>
        </w:rPr>
        <w:fldChar w:fldCharType="separate"/>
      </w:r>
      <w:r>
        <w:rPr>
          <w:color w:val="auto"/>
        </w:rPr>
        <w:t>11</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"_Toc92877444" </w:instrText>
      </w:r>
      <w:r>
        <w:rPr>
          <w:color w:val="auto"/>
        </w:rPr>
        <w:fldChar w:fldCharType="separate"/>
      </w:r>
      <w:r>
        <w:rPr>
          <w:rStyle w:val="19"/>
          <w:color w:val="auto"/>
        </w:rPr>
        <w:t>6.5 烟气净化系统</w:t>
      </w:r>
      <w:r>
        <w:rPr>
          <w:color w:val="auto"/>
        </w:rPr>
        <w:tab/>
      </w:r>
      <w:r>
        <w:rPr>
          <w:color w:val="auto"/>
        </w:rPr>
        <w:fldChar w:fldCharType="begin"/>
      </w:r>
      <w:r>
        <w:rPr>
          <w:color w:val="auto"/>
        </w:rPr>
        <w:instrText xml:space="preserve"> PAGEREF _Toc92877444 \h </w:instrText>
      </w:r>
      <w:r>
        <w:rPr>
          <w:color w:val="auto"/>
        </w:rPr>
        <w:fldChar w:fldCharType="separate"/>
      </w:r>
      <w:r>
        <w:rPr>
          <w:color w:val="auto"/>
        </w:rPr>
        <w:t>12</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"_Toc92877445" </w:instrText>
      </w:r>
      <w:r>
        <w:rPr>
          <w:color w:val="auto"/>
        </w:rPr>
        <w:fldChar w:fldCharType="separate"/>
      </w:r>
      <w:r>
        <w:rPr>
          <w:rStyle w:val="19"/>
          <w:color w:val="auto"/>
        </w:rPr>
        <w:t>6.6 残渣处理系统</w:t>
      </w:r>
      <w:r>
        <w:rPr>
          <w:color w:val="auto"/>
        </w:rPr>
        <w:tab/>
      </w:r>
      <w:r>
        <w:rPr>
          <w:color w:val="auto"/>
        </w:rPr>
        <w:fldChar w:fldCharType="begin"/>
      </w:r>
      <w:r>
        <w:rPr>
          <w:color w:val="auto"/>
        </w:rPr>
        <w:instrText xml:space="preserve"> PAGEREF _Toc92877445 \h </w:instrText>
      </w:r>
      <w:r>
        <w:rPr>
          <w:color w:val="auto"/>
        </w:rPr>
        <w:fldChar w:fldCharType="separate"/>
      </w:r>
      <w:r>
        <w:rPr>
          <w:color w:val="auto"/>
        </w:rPr>
        <w:t>14</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"_Toc92877447" </w:instrText>
      </w:r>
      <w:r>
        <w:rPr>
          <w:color w:val="auto"/>
        </w:rPr>
        <w:fldChar w:fldCharType="separate"/>
      </w:r>
      <w:r>
        <w:rPr>
          <w:rStyle w:val="19"/>
          <w:color w:val="auto"/>
        </w:rPr>
        <w:t>7 辅助设施</w:t>
      </w:r>
      <w:r>
        <w:rPr>
          <w:color w:val="auto"/>
        </w:rPr>
        <w:tab/>
      </w:r>
      <w:r>
        <w:rPr>
          <w:color w:val="auto"/>
        </w:rPr>
        <w:fldChar w:fldCharType="begin"/>
      </w:r>
      <w:r>
        <w:rPr>
          <w:color w:val="auto"/>
        </w:rPr>
        <w:instrText xml:space="preserve"> PAGEREF _Toc92877447 \h </w:instrText>
      </w:r>
      <w:r>
        <w:rPr>
          <w:color w:val="auto"/>
        </w:rPr>
        <w:fldChar w:fldCharType="separate"/>
      </w:r>
      <w:r>
        <w:rPr>
          <w:color w:val="auto"/>
        </w:rPr>
        <w:t>16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"_Toc92877448" </w:instrText>
      </w:r>
      <w:r>
        <w:rPr>
          <w:color w:val="auto"/>
        </w:rPr>
        <w:fldChar w:fldCharType="separate"/>
      </w:r>
      <w:r>
        <w:rPr>
          <w:rStyle w:val="19"/>
          <w:color w:val="auto"/>
        </w:rPr>
        <w:t>7.1 电气系统</w:t>
      </w:r>
      <w:r>
        <w:rPr>
          <w:color w:val="auto"/>
        </w:rPr>
        <w:tab/>
      </w:r>
      <w:r>
        <w:rPr>
          <w:color w:val="auto"/>
        </w:rPr>
        <w:fldChar w:fldCharType="begin"/>
      </w:r>
      <w:r>
        <w:rPr>
          <w:color w:val="auto"/>
        </w:rPr>
        <w:instrText xml:space="preserve"> PAGEREF _Toc92877448 \h </w:instrText>
      </w:r>
      <w:r>
        <w:rPr>
          <w:color w:val="auto"/>
        </w:rPr>
        <w:fldChar w:fldCharType="separate"/>
      </w:r>
      <w:r>
        <w:rPr>
          <w:color w:val="auto"/>
        </w:rPr>
        <w:t>16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"_Toc92877449" </w:instrText>
      </w:r>
      <w:r>
        <w:rPr>
          <w:color w:val="auto"/>
        </w:rPr>
        <w:fldChar w:fldCharType="separate"/>
      </w:r>
      <w:r>
        <w:rPr>
          <w:rStyle w:val="19"/>
          <w:color w:val="auto"/>
        </w:rPr>
        <w:t>7.2 自动控制及在线检测系统</w:t>
      </w:r>
      <w:r>
        <w:rPr>
          <w:color w:val="auto"/>
        </w:rPr>
        <w:tab/>
      </w:r>
      <w:r>
        <w:rPr>
          <w:color w:val="auto"/>
        </w:rPr>
        <w:fldChar w:fldCharType="begin"/>
      </w:r>
      <w:r>
        <w:rPr>
          <w:color w:val="auto"/>
        </w:rPr>
        <w:instrText xml:space="preserve"> PAGEREF _Toc92877449 \h </w:instrText>
      </w:r>
      <w:r>
        <w:rPr>
          <w:color w:val="auto"/>
        </w:rPr>
        <w:fldChar w:fldCharType="separate"/>
      </w:r>
      <w:r>
        <w:rPr>
          <w:color w:val="auto"/>
        </w:rPr>
        <w:t>16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"_Toc92877450" </w:instrText>
      </w:r>
      <w:r>
        <w:rPr>
          <w:color w:val="auto"/>
        </w:rPr>
        <w:fldChar w:fldCharType="separate"/>
      </w:r>
      <w:r>
        <w:rPr>
          <w:rStyle w:val="19"/>
          <w:color w:val="auto"/>
        </w:rPr>
        <w:t>7.3 给水和排水</w:t>
      </w:r>
      <w:r>
        <w:rPr>
          <w:color w:val="auto"/>
        </w:rPr>
        <w:tab/>
      </w:r>
      <w:r>
        <w:rPr>
          <w:color w:val="auto"/>
        </w:rPr>
        <w:fldChar w:fldCharType="begin"/>
      </w:r>
      <w:r>
        <w:rPr>
          <w:color w:val="auto"/>
        </w:rPr>
        <w:instrText xml:space="preserve"> PAGEREF _Toc92877450 \h </w:instrText>
      </w:r>
      <w:r>
        <w:rPr>
          <w:color w:val="auto"/>
        </w:rPr>
        <w:fldChar w:fldCharType="separate"/>
      </w:r>
      <w:r>
        <w:rPr>
          <w:color w:val="auto"/>
        </w:rPr>
        <w:t>16</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"_Toc92877451" </w:instrText>
      </w:r>
      <w:r>
        <w:rPr>
          <w:color w:val="auto"/>
        </w:rPr>
        <w:fldChar w:fldCharType="separate"/>
      </w:r>
      <w:r>
        <w:rPr>
          <w:rStyle w:val="19"/>
          <w:color w:val="auto"/>
        </w:rPr>
        <w:t>7.4 采暖通风与空调</w:t>
      </w:r>
      <w:r>
        <w:rPr>
          <w:color w:val="auto"/>
        </w:rPr>
        <w:tab/>
      </w:r>
      <w:r>
        <w:rPr>
          <w:color w:val="auto"/>
        </w:rPr>
        <w:fldChar w:fldCharType="begin"/>
      </w:r>
      <w:r>
        <w:rPr>
          <w:color w:val="auto"/>
        </w:rPr>
        <w:instrText xml:space="preserve"> PAGEREF _Toc92877451 \h </w:instrText>
      </w:r>
      <w:r>
        <w:rPr>
          <w:color w:val="auto"/>
        </w:rPr>
        <w:fldChar w:fldCharType="separate"/>
      </w:r>
      <w:r>
        <w:rPr>
          <w:color w:val="auto"/>
        </w:rPr>
        <w:t>17</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"_Toc92877452" </w:instrText>
      </w:r>
      <w:r>
        <w:rPr>
          <w:color w:val="auto"/>
        </w:rPr>
        <w:fldChar w:fldCharType="separate"/>
      </w:r>
      <w:r>
        <w:rPr>
          <w:rStyle w:val="19"/>
          <w:color w:val="auto"/>
        </w:rPr>
        <w:t>7.5 建筑与结构</w:t>
      </w:r>
      <w:r>
        <w:rPr>
          <w:color w:val="auto"/>
        </w:rPr>
        <w:tab/>
      </w:r>
      <w:r>
        <w:rPr>
          <w:color w:val="auto"/>
        </w:rPr>
        <w:fldChar w:fldCharType="begin"/>
      </w:r>
      <w:r>
        <w:rPr>
          <w:color w:val="auto"/>
        </w:rPr>
        <w:instrText xml:space="preserve"> PAGEREF _Toc92877452 \h </w:instrText>
      </w:r>
      <w:r>
        <w:rPr>
          <w:color w:val="auto"/>
        </w:rPr>
        <w:fldChar w:fldCharType="separate"/>
      </w:r>
      <w:r>
        <w:rPr>
          <w:color w:val="auto"/>
        </w:rPr>
        <w:t>17</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"_Toc92877453" </w:instrText>
      </w:r>
      <w:r>
        <w:rPr>
          <w:color w:val="auto"/>
        </w:rPr>
        <w:fldChar w:fldCharType="separate"/>
      </w:r>
      <w:r>
        <w:rPr>
          <w:rStyle w:val="19"/>
          <w:color w:val="auto"/>
        </w:rPr>
        <w:t>7.6 电信</w:t>
      </w:r>
      <w:r>
        <w:rPr>
          <w:color w:val="auto"/>
        </w:rPr>
        <w:tab/>
      </w:r>
      <w:r>
        <w:rPr>
          <w:color w:val="auto"/>
        </w:rPr>
        <w:fldChar w:fldCharType="begin"/>
      </w:r>
      <w:r>
        <w:rPr>
          <w:color w:val="auto"/>
        </w:rPr>
        <w:instrText xml:space="preserve"> PAGEREF _Toc92877453 \h </w:instrText>
      </w:r>
      <w:r>
        <w:rPr>
          <w:color w:val="auto"/>
        </w:rPr>
        <w:fldChar w:fldCharType="separate"/>
      </w:r>
      <w:r>
        <w:rPr>
          <w:color w:val="auto"/>
        </w:rPr>
        <w:t>18</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"_Toc92877454" </w:instrText>
      </w:r>
      <w:r>
        <w:rPr>
          <w:color w:val="auto"/>
        </w:rPr>
        <w:fldChar w:fldCharType="separate"/>
      </w:r>
      <w:r>
        <w:rPr>
          <w:rStyle w:val="19"/>
          <w:color w:val="auto"/>
        </w:rPr>
        <w:t>8 节能与环境保护</w:t>
      </w:r>
      <w:r>
        <w:rPr>
          <w:color w:val="auto"/>
        </w:rPr>
        <w:tab/>
      </w:r>
      <w:r>
        <w:rPr>
          <w:color w:val="auto"/>
        </w:rPr>
        <w:fldChar w:fldCharType="begin"/>
      </w:r>
      <w:r>
        <w:rPr>
          <w:color w:val="auto"/>
        </w:rPr>
        <w:instrText xml:space="preserve"> PAGEREF _Toc92877454 \h </w:instrText>
      </w:r>
      <w:r>
        <w:rPr>
          <w:color w:val="auto"/>
        </w:rPr>
        <w:fldChar w:fldCharType="separate"/>
      </w:r>
      <w:r>
        <w:rPr>
          <w:color w:val="auto"/>
        </w:rPr>
        <w:t>19</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"_Toc92877455" </w:instrText>
      </w:r>
      <w:r>
        <w:rPr>
          <w:color w:val="auto"/>
        </w:rPr>
        <w:fldChar w:fldCharType="separate"/>
      </w:r>
      <w:r>
        <w:rPr>
          <w:rStyle w:val="19"/>
          <w:color w:val="auto"/>
        </w:rPr>
        <w:t>8.1 节能</w:t>
      </w:r>
      <w:r>
        <w:rPr>
          <w:color w:val="auto"/>
        </w:rPr>
        <w:tab/>
      </w:r>
      <w:r>
        <w:rPr>
          <w:color w:val="auto"/>
        </w:rPr>
        <w:fldChar w:fldCharType="begin"/>
      </w:r>
      <w:r>
        <w:rPr>
          <w:color w:val="auto"/>
        </w:rPr>
        <w:instrText xml:space="preserve"> PAGEREF _Toc92877455 \h </w:instrText>
      </w:r>
      <w:r>
        <w:rPr>
          <w:color w:val="auto"/>
        </w:rPr>
        <w:fldChar w:fldCharType="separate"/>
      </w:r>
      <w:r>
        <w:rPr>
          <w:color w:val="auto"/>
        </w:rPr>
        <w:t>19</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"_Toc92877456" </w:instrText>
      </w:r>
      <w:r>
        <w:rPr>
          <w:color w:val="auto"/>
        </w:rPr>
        <w:fldChar w:fldCharType="separate"/>
      </w:r>
      <w:r>
        <w:rPr>
          <w:rStyle w:val="19"/>
          <w:color w:val="auto"/>
        </w:rPr>
        <w:t>8.2 环境保护</w:t>
      </w:r>
      <w:r>
        <w:rPr>
          <w:color w:val="auto"/>
        </w:rPr>
        <w:tab/>
      </w:r>
      <w:r>
        <w:rPr>
          <w:color w:val="auto"/>
        </w:rPr>
        <w:fldChar w:fldCharType="begin"/>
      </w:r>
      <w:r>
        <w:rPr>
          <w:color w:val="auto"/>
        </w:rPr>
        <w:instrText xml:space="preserve"> PAGEREF _Toc92877456 \h </w:instrText>
      </w:r>
      <w:r>
        <w:rPr>
          <w:color w:val="auto"/>
        </w:rPr>
        <w:fldChar w:fldCharType="separate"/>
      </w:r>
      <w:r>
        <w:rPr>
          <w:color w:val="auto"/>
        </w:rPr>
        <w:t>19</w:t>
      </w:r>
      <w:r>
        <w:rPr>
          <w:color w:val="auto"/>
        </w:rPr>
        <w:fldChar w:fldCharType="end"/>
      </w:r>
      <w:r>
        <w:rPr>
          <w:color w:val="auto"/>
        </w:rPr>
        <w:fldChar w:fldCharType="end"/>
      </w:r>
    </w:p>
    <w:p>
      <w:pPr>
        <w:pStyle w:val="12"/>
        <w:spacing w:line="20" w:lineRule="atLeast"/>
        <w:rPr>
          <w:rFonts w:eastAsiaTheme="minorEastAsia"/>
          <w:color w:val="auto"/>
          <w:sz w:val="21"/>
          <w:szCs w:val="22"/>
        </w:rPr>
      </w:pPr>
      <w:r>
        <w:rPr>
          <w:color w:val="auto"/>
        </w:rPr>
        <w:fldChar w:fldCharType="begin"/>
      </w:r>
      <w:r>
        <w:rPr>
          <w:color w:val="auto"/>
        </w:rPr>
        <w:instrText xml:space="preserve"> HYPERLINK \l "_Toc92877457" </w:instrText>
      </w:r>
      <w:r>
        <w:rPr>
          <w:color w:val="auto"/>
        </w:rPr>
        <w:fldChar w:fldCharType="separate"/>
      </w:r>
      <w:r>
        <w:rPr>
          <w:rStyle w:val="19"/>
          <w:color w:val="auto"/>
        </w:rPr>
        <w:t>9 消防、职业卫生与劳动安全</w:t>
      </w:r>
      <w:r>
        <w:rPr>
          <w:color w:val="auto"/>
        </w:rPr>
        <w:tab/>
      </w:r>
      <w:r>
        <w:rPr>
          <w:color w:val="auto"/>
        </w:rPr>
        <w:fldChar w:fldCharType="begin"/>
      </w:r>
      <w:r>
        <w:rPr>
          <w:color w:val="auto"/>
        </w:rPr>
        <w:instrText xml:space="preserve"> PAGEREF _Toc92877457 \h </w:instrText>
      </w:r>
      <w:r>
        <w:rPr>
          <w:color w:val="auto"/>
        </w:rPr>
        <w:fldChar w:fldCharType="separate"/>
      </w:r>
      <w:r>
        <w:rPr>
          <w:color w:val="auto"/>
        </w:rPr>
        <w:t>20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"_Toc92877458" </w:instrText>
      </w:r>
      <w:r>
        <w:rPr>
          <w:color w:val="auto"/>
        </w:rPr>
        <w:fldChar w:fldCharType="separate"/>
      </w:r>
      <w:r>
        <w:rPr>
          <w:rStyle w:val="19"/>
          <w:color w:val="auto"/>
        </w:rPr>
        <w:t>9.1 一般规定</w:t>
      </w:r>
      <w:r>
        <w:rPr>
          <w:color w:val="auto"/>
        </w:rPr>
        <w:tab/>
      </w:r>
      <w:r>
        <w:rPr>
          <w:color w:val="auto"/>
        </w:rPr>
        <w:fldChar w:fldCharType="begin"/>
      </w:r>
      <w:r>
        <w:rPr>
          <w:color w:val="auto"/>
        </w:rPr>
        <w:instrText xml:space="preserve"> PAGEREF _Toc92877458 \h </w:instrText>
      </w:r>
      <w:r>
        <w:rPr>
          <w:color w:val="auto"/>
        </w:rPr>
        <w:fldChar w:fldCharType="separate"/>
      </w:r>
      <w:r>
        <w:rPr>
          <w:color w:val="auto"/>
        </w:rPr>
        <w:t>20</w:t>
      </w:r>
      <w:r>
        <w:rPr>
          <w:color w:val="auto"/>
        </w:rPr>
        <w:fldChar w:fldCharType="end"/>
      </w:r>
      <w:r>
        <w:rPr>
          <w:color w:val="auto"/>
        </w:rPr>
        <w:fldChar w:fldCharType="end"/>
      </w:r>
    </w:p>
    <w:p>
      <w:pPr>
        <w:pStyle w:val="13"/>
        <w:tabs>
          <w:tab w:val="right" w:leader="dot" w:pos="9628"/>
        </w:tabs>
        <w:spacing w:line="20" w:lineRule="atLeast"/>
        <w:rPr>
          <w:rFonts w:eastAsiaTheme="minorEastAsia"/>
          <w:color w:val="auto"/>
          <w:szCs w:val="22"/>
        </w:rPr>
      </w:pPr>
      <w:r>
        <w:rPr>
          <w:color w:val="auto"/>
        </w:rPr>
        <w:fldChar w:fldCharType="begin"/>
      </w:r>
      <w:r>
        <w:rPr>
          <w:color w:val="auto"/>
        </w:rPr>
        <w:instrText xml:space="preserve"> HYPERLINK \l "_Toc92877459" </w:instrText>
      </w:r>
      <w:r>
        <w:rPr>
          <w:color w:val="auto"/>
        </w:rPr>
        <w:fldChar w:fldCharType="separate"/>
      </w:r>
      <w:r>
        <w:rPr>
          <w:rStyle w:val="19"/>
          <w:color w:val="auto"/>
        </w:rPr>
        <w:t>9.2 消防</w:t>
      </w:r>
      <w:r>
        <w:rPr>
          <w:color w:val="auto"/>
        </w:rPr>
        <w:tab/>
      </w:r>
      <w:r>
        <w:rPr>
          <w:color w:val="auto"/>
        </w:rPr>
        <w:fldChar w:fldCharType="begin"/>
      </w:r>
      <w:r>
        <w:rPr>
          <w:color w:val="auto"/>
        </w:rPr>
        <w:instrText xml:space="preserve"> PAGEREF _Toc92877459 \h </w:instrText>
      </w:r>
      <w:r>
        <w:rPr>
          <w:color w:val="auto"/>
        </w:rPr>
        <w:fldChar w:fldCharType="separate"/>
      </w:r>
      <w:r>
        <w:rPr>
          <w:color w:val="auto"/>
        </w:rPr>
        <w:t>20</w:t>
      </w:r>
      <w:r>
        <w:rPr>
          <w:color w:val="auto"/>
        </w:rPr>
        <w:fldChar w:fldCharType="end"/>
      </w:r>
      <w:r>
        <w:rPr>
          <w:color w:val="auto"/>
        </w:rPr>
        <w:fldChar w:fldCharType="end"/>
      </w:r>
    </w:p>
    <w:p>
      <w:pPr>
        <w:pStyle w:val="13"/>
        <w:tabs>
          <w:tab w:val="right" w:leader="dot" w:pos="9628"/>
        </w:tabs>
        <w:spacing w:line="20" w:lineRule="atLeast"/>
        <w:rPr>
          <w:color w:val="auto"/>
        </w:rPr>
      </w:pPr>
      <w:r>
        <w:rPr>
          <w:color w:val="auto"/>
        </w:rPr>
        <w:fldChar w:fldCharType="begin"/>
      </w:r>
      <w:r>
        <w:rPr>
          <w:color w:val="auto"/>
        </w:rPr>
        <w:instrText xml:space="preserve"> HYPERLINK \l "_Toc92877460" </w:instrText>
      </w:r>
      <w:r>
        <w:rPr>
          <w:color w:val="auto"/>
        </w:rPr>
        <w:fldChar w:fldCharType="separate"/>
      </w:r>
      <w:r>
        <w:rPr>
          <w:rStyle w:val="19"/>
          <w:color w:val="auto"/>
        </w:rPr>
        <w:t>9.3 职业卫生与劳动安全</w:t>
      </w:r>
      <w:r>
        <w:rPr>
          <w:color w:val="auto"/>
        </w:rPr>
        <w:tab/>
      </w:r>
      <w:r>
        <w:rPr>
          <w:rFonts w:hint="eastAsia"/>
          <w:color w:val="auto"/>
        </w:rPr>
        <w:t>.</w:t>
      </w:r>
      <w:r>
        <w:rPr>
          <w:rFonts w:hint="eastAsia"/>
          <w:color w:val="auto"/>
        </w:rPr>
        <w:fldChar w:fldCharType="end"/>
      </w:r>
      <w:r>
        <w:rPr>
          <w:rFonts w:hint="eastAsia"/>
          <w:color w:val="auto"/>
        </w:rPr>
        <w:t>20</w:t>
      </w:r>
    </w:p>
    <w:p>
      <w:pPr>
        <w:pStyle w:val="12"/>
        <w:spacing w:line="20" w:lineRule="atLeast"/>
        <w:rPr>
          <w:color w:val="auto"/>
        </w:rPr>
      </w:pPr>
      <w:r>
        <w:rPr>
          <w:color w:val="auto"/>
        </w:rPr>
        <w:fldChar w:fldCharType="begin"/>
      </w:r>
      <w:r>
        <w:rPr>
          <w:color w:val="auto"/>
        </w:rPr>
        <w:instrText xml:space="preserve"> HYPERLINK \l "_Toc2094" </w:instrText>
      </w:r>
      <w:r>
        <w:rPr>
          <w:color w:val="auto"/>
        </w:rPr>
        <w:fldChar w:fldCharType="separate"/>
      </w:r>
      <w:r>
        <w:rPr>
          <w:rStyle w:val="19"/>
          <w:rFonts w:ascii="宋体" w:hAnsi="宋体"/>
          <w:color w:val="auto"/>
        </w:rPr>
        <w:t>本标准用词说明</w:t>
      </w:r>
      <w:r>
        <w:rPr>
          <w:rStyle w:val="19"/>
          <w:color w:val="auto"/>
        </w:rPr>
        <w:tab/>
      </w:r>
      <w:r>
        <w:rPr>
          <w:rStyle w:val="19"/>
          <w:color w:val="auto"/>
        </w:rPr>
        <w:fldChar w:fldCharType="end"/>
      </w:r>
      <w:r>
        <w:rPr>
          <w:rFonts w:hint="eastAsia"/>
          <w:color w:val="auto"/>
        </w:rPr>
        <w:t>21</w:t>
      </w:r>
    </w:p>
    <w:p>
      <w:pPr>
        <w:spacing w:line="20" w:lineRule="atLeast"/>
        <w:rPr>
          <w:color w:val="auto"/>
        </w:rPr>
      </w:pPr>
      <w:r>
        <w:rPr>
          <w:rFonts w:hint="eastAsia" w:asciiTheme="minorEastAsia" w:hAnsiTheme="minorEastAsia" w:eastAsiaTheme="minorEastAsia" w:cstheme="minorEastAsia"/>
          <w:color w:val="auto"/>
        </w:rPr>
        <w:t>引用标准名录</w:t>
      </w:r>
      <w:r>
        <w:rPr>
          <w:color w:val="auto"/>
        </w:rPr>
        <w:t>…</w:t>
      </w:r>
      <w:r>
        <w:rPr>
          <w:color w:val="auto"/>
        </w:rPr>
        <w:t>……………………………………………………………………………</w:t>
      </w:r>
      <w:r>
        <w:rPr>
          <w:rFonts w:hint="eastAsia"/>
          <w:color w:val="auto"/>
        </w:rPr>
        <w:t>..........</w:t>
      </w:r>
      <w:r>
        <w:rPr>
          <w:color w:val="auto"/>
        </w:rPr>
        <w:t>………………</w:t>
      </w:r>
      <w:r>
        <w:rPr>
          <w:rFonts w:hint="eastAsia"/>
          <w:color w:val="auto"/>
        </w:rPr>
        <w:t>.22</w:t>
      </w:r>
    </w:p>
    <w:p>
      <w:pPr>
        <w:spacing w:line="20" w:lineRule="atLeast"/>
        <w:rPr>
          <w:color w:val="auto"/>
        </w:rPr>
      </w:pPr>
      <w:r>
        <w:rPr>
          <w:rFonts w:hint="eastAsia" w:asciiTheme="minorEastAsia" w:hAnsiTheme="minorEastAsia" w:eastAsiaTheme="minorEastAsia" w:cstheme="minorEastAsia"/>
          <w:color w:val="auto"/>
        </w:rPr>
        <w:t>附：</w:t>
      </w:r>
      <w:r>
        <w:rPr>
          <w:color w:val="auto"/>
        </w:rPr>
        <w:fldChar w:fldCharType="begin"/>
      </w:r>
      <w:r>
        <w:rPr>
          <w:color w:val="auto"/>
        </w:rPr>
        <w:instrText xml:space="preserve"> HYPERLINK \l "_Toc30088" </w:instrText>
      </w:r>
      <w:r>
        <w:rPr>
          <w:color w:val="auto"/>
        </w:rPr>
        <w:fldChar w:fldCharType="separate"/>
      </w:r>
      <w:r>
        <w:rPr>
          <w:rStyle w:val="19"/>
          <w:rFonts w:hint="eastAsia" w:asciiTheme="minorEastAsia" w:hAnsiTheme="minorEastAsia" w:eastAsiaTheme="minorEastAsia" w:cstheme="minorEastAsia"/>
          <w:color w:val="auto"/>
        </w:rPr>
        <w:t>条文说明</w:t>
      </w:r>
      <w:r>
        <w:rPr>
          <w:rStyle w:val="19"/>
          <w:rFonts w:hint="eastAsia" w:asciiTheme="minorEastAsia" w:hAnsiTheme="minorEastAsia" w:eastAsiaTheme="minorEastAsia" w:cstheme="minorEastAsia"/>
          <w:color w:val="auto"/>
        </w:rPr>
        <w:tab/>
      </w:r>
      <w:r>
        <w:rPr>
          <w:rStyle w:val="19"/>
          <w:rFonts w:hint="eastAsia" w:asciiTheme="minorEastAsia" w:hAnsiTheme="minorEastAsia" w:eastAsiaTheme="minorEastAsia" w:cstheme="minorEastAsia"/>
          <w:color w:val="auto"/>
        </w:rPr>
        <w:fldChar w:fldCharType="end"/>
      </w:r>
      <w:r>
        <w:rPr>
          <w:color w:val="auto"/>
        </w:rPr>
        <w:t>……………………………………………………………………………</w:t>
      </w:r>
      <w:r>
        <w:rPr>
          <w:rFonts w:hint="eastAsia"/>
          <w:color w:val="auto"/>
        </w:rPr>
        <w:t>..</w:t>
      </w:r>
      <w:r>
        <w:rPr>
          <w:color w:val="auto"/>
        </w:rPr>
        <w:t>………………</w:t>
      </w:r>
      <w:r>
        <w:rPr>
          <w:rFonts w:hint="eastAsia"/>
          <w:color w:val="auto"/>
        </w:rPr>
        <w:t>.... 23</w:t>
      </w:r>
    </w:p>
    <w:p>
      <w:pPr>
        <w:spacing w:line="20" w:lineRule="atLeast"/>
        <w:rPr>
          <w:color w:val="auto"/>
        </w:rPr>
      </w:pPr>
    </w:p>
    <w:p>
      <w:pPr>
        <w:rPr>
          <w:rFonts w:eastAsiaTheme="minorEastAsia"/>
          <w:color w:val="auto"/>
          <w:szCs w:val="22"/>
        </w:rPr>
      </w:pPr>
    </w:p>
    <w:p>
      <w:pPr>
        <w:spacing w:line="360" w:lineRule="auto"/>
        <w:jc w:val="center"/>
        <w:rPr>
          <w:color w:val="auto"/>
          <w:szCs w:val="32"/>
        </w:rPr>
        <w:sectPr>
          <w:footerReference r:id="rId9" w:type="default"/>
          <w:footerReference r:id="rId10" w:type="even"/>
          <w:pgSz w:w="11906" w:h="16838"/>
          <w:pgMar w:top="1418" w:right="1134" w:bottom="1134" w:left="1134" w:header="851" w:footer="992" w:gutter="0"/>
          <w:pgNumType w:fmt="upperRoman"/>
          <w:cols w:space="720" w:num="1"/>
          <w:docGrid w:type="lines" w:linePitch="312" w:charSpace="0"/>
        </w:sectPr>
      </w:pPr>
      <w:r>
        <w:rPr>
          <w:color w:val="auto"/>
          <w:szCs w:val="21"/>
        </w:rPr>
        <w:fldChar w:fldCharType="end"/>
      </w:r>
      <w:bookmarkStart w:id="8" w:name="_Toc305074560"/>
      <w:bookmarkStart w:id="9" w:name="_Toc305076430"/>
      <w:bookmarkStart w:id="10" w:name="_Toc289243430"/>
      <w:bookmarkStart w:id="11" w:name="_Toc324751818"/>
      <w:bookmarkStart w:id="12" w:name="_Toc304821878"/>
      <w:bookmarkStart w:id="13" w:name="_Toc285441227"/>
      <w:bookmarkStart w:id="14" w:name="_Toc301429571"/>
      <w:bookmarkStart w:id="15" w:name="_Toc289433268"/>
    </w:p>
    <w:p>
      <w:pPr>
        <w:spacing w:line="360" w:lineRule="auto"/>
        <w:jc w:val="center"/>
        <w:rPr>
          <w:rFonts w:cs="Arial"/>
          <w:b/>
          <w:color w:val="auto"/>
          <w:sz w:val="28"/>
          <w:szCs w:val="28"/>
        </w:rPr>
      </w:pPr>
      <w:r>
        <w:rPr>
          <w:rFonts w:cs="Arial"/>
          <w:b/>
          <w:color w:val="auto"/>
          <w:sz w:val="28"/>
          <w:szCs w:val="28"/>
        </w:rPr>
        <w:t>Contents</w:t>
      </w:r>
    </w:p>
    <w:p>
      <w:pPr>
        <w:pStyle w:val="72"/>
        <w:tabs>
          <w:tab w:val="right" w:leader="dot" w:pos="8222"/>
        </w:tabs>
        <w:rPr>
          <w:rFonts w:cs="Arial"/>
          <w:color w:val="auto"/>
          <w:sz w:val="21"/>
          <w:szCs w:val="21"/>
        </w:rPr>
      </w:pPr>
      <w:r>
        <w:rPr>
          <w:rFonts w:cs="Arial"/>
          <w:color w:val="auto"/>
          <w:sz w:val="21"/>
          <w:szCs w:val="21"/>
        </w:rPr>
        <w:t>1  General provisions</w:t>
      </w:r>
      <w:r>
        <w:rPr>
          <w:rFonts w:cs="Arial"/>
          <w:color w:val="auto"/>
          <w:sz w:val="21"/>
          <w:szCs w:val="21"/>
        </w:rPr>
        <w:tab/>
      </w:r>
      <w:r>
        <w:rPr>
          <w:rFonts w:cs="Arial"/>
          <w:color w:val="auto"/>
          <w:sz w:val="21"/>
          <w:szCs w:val="21"/>
        </w:rPr>
        <w:t>1</w:t>
      </w:r>
    </w:p>
    <w:p>
      <w:pPr>
        <w:pStyle w:val="72"/>
        <w:tabs>
          <w:tab w:val="right" w:leader="dot" w:pos="8222"/>
        </w:tabs>
        <w:rPr>
          <w:rFonts w:cs="Arial"/>
          <w:color w:val="auto"/>
          <w:sz w:val="21"/>
          <w:szCs w:val="21"/>
        </w:rPr>
      </w:pPr>
      <w:r>
        <w:rPr>
          <w:rFonts w:cs="Arial"/>
          <w:color w:val="auto"/>
          <w:sz w:val="21"/>
          <w:szCs w:val="21"/>
        </w:rPr>
        <w:t xml:space="preserve">2  Terms </w:t>
      </w:r>
      <w:r>
        <w:rPr>
          <w:rFonts w:cs="Arial"/>
          <w:color w:val="auto"/>
          <w:sz w:val="21"/>
          <w:szCs w:val="21"/>
        </w:rPr>
        <w:tab/>
      </w:r>
      <w:r>
        <w:rPr>
          <w:rFonts w:cs="Arial"/>
          <w:color w:val="auto"/>
          <w:sz w:val="21"/>
          <w:szCs w:val="21"/>
        </w:rPr>
        <w:t>2</w:t>
      </w:r>
    </w:p>
    <w:p>
      <w:pPr>
        <w:pStyle w:val="81"/>
        <w:rPr>
          <w:rFonts w:cs="Arial"/>
          <w:color w:val="auto"/>
        </w:rPr>
      </w:pPr>
      <w:r>
        <w:rPr>
          <w:rFonts w:cs="Arial"/>
          <w:color w:val="auto"/>
        </w:rPr>
        <w:t xml:space="preserve">3  Basis </w:t>
      </w:r>
      <w:r>
        <w:rPr>
          <w:color w:val="auto"/>
        </w:rPr>
        <w:t>requirements</w:t>
      </w:r>
      <w:r>
        <w:rPr>
          <w:rFonts w:cs="Arial"/>
          <w:color w:val="auto"/>
        </w:rPr>
        <w:tab/>
      </w:r>
      <w:r>
        <w:rPr>
          <w:rFonts w:cs="Arial"/>
          <w:color w:val="auto"/>
        </w:rPr>
        <w:t>…………………………………………………………………………...3</w:t>
      </w:r>
    </w:p>
    <w:p>
      <w:pPr>
        <w:pStyle w:val="72"/>
        <w:tabs>
          <w:tab w:val="right" w:leader="dot" w:pos="8222"/>
        </w:tabs>
        <w:rPr>
          <w:rFonts w:cs="Arial"/>
          <w:color w:val="auto"/>
          <w:sz w:val="21"/>
          <w:szCs w:val="21"/>
        </w:rPr>
      </w:pPr>
      <w:r>
        <w:rPr>
          <w:rFonts w:cs="Arial"/>
          <w:color w:val="auto"/>
          <w:sz w:val="21"/>
          <w:szCs w:val="21"/>
        </w:rPr>
        <w:t xml:space="preserve">4  Overall design of incinerators </w:t>
      </w:r>
      <w:r>
        <w:rPr>
          <w:rFonts w:cs="Arial"/>
          <w:color w:val="auto"/>
          <w:sz w:val="21"/>
          <w:szCs w:val="21"/>
        </w:rPr>
        <w:tab/>
      </w:r>
      <w:r>
        <w:rPr>
          <w:rFonts w:cs="Arial"/>
          <w:color w:val="auto"/>
          <w:sz w:val="21"/>
          <w:szCs w:val="21"/>
        </w:rPr>
        <w:t>5</w:t>
      </w:r>
    </w:p>
    <w:p>
      <w:pPr>
        <w:pStyle w:val="72"/>
        <w:tabs>
          <w:tab w:val="right" w:leader="dot" w:pos="8222"/>
        </w:tabs>
        <w:ind w:firstLine="420"/>
        <w:rPr>
          <w:rFonts w:cs="Arial"/>
          <w:color w:val="auto"/>
          <w:sz w:val="21"/>
          <w:szCs w:val="21"/>
        </w:rPr>
      </w:pPr>
      <w:r>
        <w:rPr>
          <w:rFonts w:cs="Arial"/>
          <w:color w:val="auto"/>
          <w:sz w:val="21"/>
          <w:szCs w:val="21"/>
        </w:rPr>
        <w:t>4.1  Scale of construction</w:t>
      </w:r>
      <w:r>
        <w:rPr>
          <w:rFonts w:cs="Arial"/>
          <w:color w:val="auto"/>
          <w:sz w:val="21"/>
          <w:szCs w:val="21"/>
        </w:rPr>
        <w:tab/>
      </w:r>
      <w:r>
        <w:rPr>
          <w:rFonts w:cs="Arial"/>
          <w:color w:val="auto"/>
          <w:sz w:val="21"/>
          <w:szCs w:val="21"/>
        </w:rPr>
        <w:t>5</w:t>
      </w:r>
    </w:p>
    <w:p>
      <w:pPr>
        <w:pStyle w:val="72"/>
        <w:tabs>
          <w:tab w:val="right" w:leader="dot" w:pos="8222"/>
        </w:tabs>
        <w:ind w:firstLine="420"/>
        <w:rPr>
          <w:rFonts w:cs="Arial"/>
          <w:color w:val="auto"/>
          <w:sz w:val="21"/>
          <w:szCs w:val="21"/>
        </w:rPr>
      </w:pPr>
      <w:r>
        <w:rPr>
          <w:rFonts w:cs="Arial"/>
          <w:color w:val="auto"/>
          <w:sz w:val="21"/>
          <w:szCs w:val="21"/>
        </w:rPr>
        <w:t xml:space="preserve">4.2  Site selection  </w:t>
      </w:r>
      <w:r>
        <w:rPr>
          <w:rFonts w:cs="Arial"/>
          <w:color w:val="auto"/>
          <w:sz w:val="21"/>
          <w:szCs w:val="21"/>
        </w:rPr>
        <w:tab/>
      </w:r>
      <w:r>
        <w:rPr>
          <w:rFonts w:cs="Arial"/>
          <w:color w:val="auto"/>
          <w:sz w:val="21"/>
          <w:szCs w:val="21"/>
        </w:rPr>
        <w:t>5</w:t>
      </w:r>
    </w:p>
    <w:p>
      <w:pPr>
        <w:pStyle w:val="72"/>
        <w:tabs>
          <w:tab w:val="right" w:leader="dot" w:pos="8222"/>
        </w:tabs>
        <w:ind w:firstLine="420"/>
        <w:rPr>
          <w:rFonts w:cs="Arial"/>
          <w:color w:val="auto"/>
          <w:sz w:val="21"/>
          <w:szCs w:val="21"/>
        </w:rPr>
      </w:pPr>
      <w:r>
        <w:rPr>
          <w:rFonts w:cs="Arial"/>
          <w:color w:val="auto"/>
          <w:sz w:val="21"/>
          <w:szCs w:val="21"/>
        </w:rPr>
        <w:t>4.3  General layout design</w:t>
      </w:r>
      <w:r>
        <w:rPr>
          <w:rFonts w:cs="Arial"/>
          <w:color w:val="auto"/>
          <w:sz w:val="21"/>
          <w:szCs w:val="21"/>
        </w:rPr>
        <w:tab/>
      </w:r>
      <w:r>
        <w:rPr>
          <w:rFonts w:cs="Arial"/>
          <w:color w:val="auto"/>
          <w:sz w:val="21"/>
          <w:szCs w:val="21"/>
        </w:rPr>
        <w:t>6</w:t>
      </w:r>
    </w:p>
    <w:p>
      <w:pPr>
        <w:pStyle w:val="72"/>
        <w:tabs>
          <w:tab w:val="right" w:leader="dot" w:pos="8222"/>
        </w:tabs>
        <w:ind w:firstLine="420"/>
        <w:rPr>
          <w:rFonts w:cs="Arial"/>
          <w:color w:val="auto"/>
          <w:sz w:val="21"/>
          <w:szCs w:val="21"/>
        </w:rPr>
      </w:pPr>
      <w:r>
        <w:rPr>
          <w:rFonts w:cs="Arial"/>
          <w:color w:val="auto"/>
          <w:sz w:val="21"/>
          <w:szCs w:val="21"/>
        </w:rPr>
        <w:t xml:space="preserve">4.4  </w:t>
      </w:r>
      <w:r>
        <w:rPr>
          <w:color w:val="auto"/>
          <w:sz w:val="21"/>
          <w:szCs w:val="21"/>
        </w:rPr>
        <w:t>Factory road</w:t>
      </w:r>
      <w:r>
        <w:rPr>
          <w:rFonts w:cs="Arial"/>
          <w:color w:val="auto"/>
          <w:sz w:val="21"/>
          <w:szCs w:val="21"/>
        </w:rPr>
        <w:t xml:space="preserve"> </w:t>
      </w:r>
      <w:r>
        <w:rPr>
          <w:rFonts w:cs="Arial"/>
          <w:color w:val="auto"/>
          <w:sz w:val="21"/>
          <w:szCs w:val="21"/>
        </w:rPr>
        <w:tab/>
      </w:r>
      <w:r>
        <w:rPr>
          <w:rFonts w:cs="Arial"/>
          <w:color w:val="auto"/>
          <w:sz w:val="21"/>
          <w:szCs w:val="21"/>
        </w:rPr>
        <w:t>6</w:t>
      </w:r>
    </w:p>
    <w:p>
      <w:pPr>
        <w:pStyle w:val="72"/>
        <w:tabs>
          <w:tab w:val="right" w:leader="dot" w:pos="8222"/>
        </w:tabs>
        <w:rPr>
          <w:rFonts w:cs="Arial"/>
          <w:color w:val="auto"/>
          <w:sz w:val="21"/>
          <w:szCs w:val="21"/>
        </w:rPr>
      </w:pPr>
      <w:r>
        <w:rPr>
          <w:rFonts w:cs="Arial"/>
          <w:color w:val="auto"/>
          <w:sz w:val="21"/>
          <w:szCs w:val="21"/>
        </w:rPr>
        <w:t>5  Receive, analyze, identify and store</w:t>
      </w:r>
      <w:r>
        <w:rPr>
          <w:rFonts w:cs="Arial"/>
          <w:color w:val="auto"/>
          <w:sz w:val="21"/>
          <w:szCs w:val="21"/>
        </w:rPr>
        <w:tab/>
      </w:r>
      <w:r>
        <w:rPr>
          <w:rFonts w:cs="Arial"/>
          <w:color w:val="auto"/>
          <w:sz w:val="21"/>
          <w:szCs w:val="21"/>
        </w:rPr>
        <w:t>7</w:t>
      </w:r>
    </w:p>
    <w:p>
      <w:pPr>
        <w:pStyle w:val="72"/>
        <w:tabs>
          <w:tab w:val="right" w:leader="dot" w:pos="8222"/>
        </w:tabs>
        <w:ind w:firstLine="420"/>
        <w:rPr>
          <w:rFonts w:cs="Arial"/>
          <w:color w:val="auto"/>
          <w:sz w:val="21"/>
          <w:szCs w:val="21"/>
        </w:rPr>
      </w:pPr>
      <w:r>
        <w:rPr>
          <w:rFonts w:cs="Arial"/>
          <w:color w:val="auto"/>
          <w:sz w:val="21"/>
          <w:szCs w:val="21"/>
        </w:rPr>
        <w:t xml:space="preserve">5.1  Receive and transport </w:t>
      </w:r>
      <w:r>
        <w:rPr>
          <w:rFonts w:cs="Arial"/>
          <w:color w:val="auto"/>
          <w:sz w:val="21"/>
          <w:szCs w:val="21"/>
        </w:rPr>
        <w:tab/>
      </w:r>
      <w:r>
        <w:rPr>
          <w:rFonts w:cs="Arial"/>
          <w:color w:val="auto"/>
          <w:sz w:val="21"/>
          <w:szCs w:val="21"/>
        </w:rPr>
        <w:t>7</w:t>
      </w:r>
    </w:p>
    <w:p>
      <w:pPr>
        <w:pStyle w:val="72"/>
        <w:tabs>
          <w:tab w:val="right" w:leader="dot" w:pos="8222"/>
        </w:tabs>
        <w:ind w:firstLine="420"/>
        <w:rPr>
          <w:rFonts w:cs="Arial"/>
          <w:color w:val="auto"/>
          <w:sz w:val="21"/>
          <w:szCs w:val="21"/>
        </w:rPr>
      </w:pPr>
      <w:r>
        <w:rPr>
          <w:rFonts w:cs="Arial"/>
          <w:color w:val="auto"/>
          <w:sz w:val="21"/>
          <w:szCs w:val="21"/>
        </w:rPr>
        <w:t>5.2  Analyze and identify</w:t>
      </w:r>
      <w:r>
        <w:rPr>
          <w:rFonts w:cs="Arial"/>
          <w:color w:val="auto"/>
          <w:sz w:val="21"/>
          <w:szCs w:val="21"/>
        </w:rPr>
        <w:tab/>
      </w:r>
      <w:r>
        <w:rPr>
          <w:rFonts w:cs="Arial"/>
          <w:color w:val="auto"/>
          <w:sz w:val="21"/>
          <w:szCs w:val="21"/>
        </w:rPr>
        <w:t>7</w:t>
      </w:r>
    </w:p>
    <w:p>
      <w:pPr>
        <w:pStyle w:val="72"/>
        <w:tabs>
          <w:tab w:val="right" w:leader="dot" w:pos="8222"/>
        </w:tabs>
        <w:ind w:firstLine="420"/>
        <w:rPr>
          <w:rFonts w:cs="Arial"/>
          <w:color w:val="auto"/>
          <w:sz w:val="21"/>
          <w:szCs w:val="21"/>
        </w:rPr>
      </w:pPr>
      <w:r>
        <w:rPr>
          <w:rFonts w:cs="Arial"/>
          <w:color w:val="auto"/>
          <w:sz w:val="21"/>
          <w:szCs w:val="21"/>
        </w:rPr>
        <w:t xml:space="preserve">5.3  Store </w:t>
      </w:r>
      <w:r>
        <w:rPr>
          <w:rFonts w:cs="Arial"/>
          <w:color w:val="auto"/>
          <w:sz w:val="21"/>
          <w:szCs w:val="21"/>
        </w:rPr>
        <w:tab/>
      </w:r>
      <w:r>
        <w:rPr>
          <w:rFonts w:cs="Arial"/>
          <w:color w:val="auto"/>
          <w:sz w:val="21"/>
          <w:szCs w:val="21"/>
        </w:rPr>
        <w:t>7</w:t>
      </w:r>
    </w:p>
    <w:p>
      <w:pPr>
        <w:pStyle w:val="72"/>
        <w:tabs>
          <w:tab w:val="right" w:leader="dot" w:pos="8222"/>
        </w:tabs>
        <w:rPr>
          <w:rFonts w:cs="Arial"/>
          <w:color w:val="auto"/>
          <w:sz w:val="21"/>
          <w:szCs w:val="21"/>
        </w:rPr>
      </w:pPr>
      <w:r>
        <w:rPr>
          <w:rFonts w:cs="Arial"/>
          <w:color w:val="auto"/>
          <w:sz w:val="21"/>
          <w:szCs w:val="21"/>
        </w:rPr>
        <w:t>6  Incineration disposal system</w:t>
      </w:r>
      <w:r>
        <w:rPr>
          <w:rFonts w:cs="Arial"/>
          <w:color w:val="auto"/>
          <w:sz w:val="21"/>
          <w:szCs w:val="21"/>
        </w:rPr>
        <w:tab/>
      </w:r>
      <w:r>
        <w:rPr>
          <w:rFonts w:cs="Arial"/>
          <w:color w:val="auto"/>
          <w:sz w:val="21"/>
          <w:szCs w:val="21"/>
        </w:rPr>
        <w:t>9</w:t>
      </w:r>
    </w:p>
    <w:p>
      <w:pPr>
        <w:pStyle w:val="72"/>
        <w:tabs>
          <w:tab w:val="right" w:leader="dot" w:pos="8222"/>
        </w:tabs>
        <w:ind w:firstLine="420"/>
        <w:rPr>
          <w:rFonts w:cs="Arial"/>
          <w:color w:val="auto"/>
          <w:sz w:val="21"/>
          <w:szCs w:val="21"/>
        </w:rPr>
      </w:pPr>
      <w:r>
        <w:rPr>
          <w:rFonts w:cs="Arial"/>
          <w:color w:val="auto"/>
          <w:sz w:val="21"/>
          <w:szCs w:val="21"/>
        </w:rPr>
        <w:t>6.1 General requirements</w:t>
      </w:r>
      <w:r>
        <w:rPr>
          <w:rFonts w:cs="Arial"/>
          <w:color w:val="auto"/>
          <w:sz w:val="21"/>
          <w:szCs w:val="21"/>
        </w:rPr>
        <w:tab/>
      </w:r>
      <w:r>
        <w:rPr>
          <w:rFonts w:cs="Arial"/>
          <w:color w:val="auto"/>
          <w:sz w:val="21"/>
          <w:szCs w:val="21"/>
        </w:rPr>
        <w:t>9</w:t>
      </w:r>
    </w:p>
    <w:p>
      <w:pPr>
        <w:pStyle w:val="72"/>
        <w:tabs>
          <w:tab w:val="right" w:leader="dot" w:pos="8222"/>
        </w:tabs>
        <w:ind w:firstLine="420"/>
        <w:rPr>
          <w:rFonts w:cs="Arial"/>
          <w:color w:val="auto"/>
          <w:sz w:val="21"/>
          <w:szCs w:val="21"/>
        </w:rPr>
      </w:pPr>
      <w:r>
        <w:rPr>
          <w:rFonts w:cs="Arial"/>
          <w:color w:val="auto"/>
          <w:sz w:val="21"/>
          <w:szCs w:val="21"/>
        </w:rPr>
        <w:t xml:space="preserve">6.2 </w:t>
      </w:r>
      <w:r>
        <w:rPr>
          <w:rFonts w:cs="Arial"/>
          <w:color w:val="auto"/>
          <w:szCs w:val="21"/>
        </w:rPr>
        <w:t>Pretreatment and feeding system</w:t>
      </w:r>
      <w:r>
        <w:rPr>
          <w:rFonts w:cs="Arial"/>
          <w:color w:val="auto"/>
          <w:sz w:val="21"/>
          <w:szCs w:val="21"/>
        </w:rPr>
        <w:tab/>
      </w:r>
      <w:r>
        <w:rPr>
          <w:rFonts w:cs="Arial"/>
          <w:color w:val="auto"/>
          <w:sz w:val="21"/>
          <w:szCs w:val="21"/>
        </w:rPr>
        <w:t>9</w:t>
      </w:r>
    </w:p>
    <w:p>
      <w:pPr>
        <w:pStyle w:val="72"/>
        <w:tabs>
          <w:tab w:val="right" w:leader="dot" w:pos="8222"/>
        </w:tabs>
        <w:ind w:firstLine="420"/>
        <w:rPr>
          <w:rFonts w:cs="Arial"/>
          <w:color w:val="auto"/>
          <w:sz w:val="21"/>
          <w:szCs w:val="21"/>
        </w:rPr>
      </w:pPr>
      <w:r>
        <w:rPr>
          <w:rFonts w:cs="Arial"/>
          <w:color w:val="auto"/>
          <w:sz w:val="21"/>
          <w:szCs w:val="21"/>
        </w:rPr>
        <w:t>6.3 Incineration system</w:t>
      </w:r>
      <w:r>
        <w:rPr>
          <w:rFonts w:cs="Arial"/>
          <w:color w:val="auto"/>
          <w:sz w:val="21"/>
          <w:szCs w:val="21"/>
        </w:rPr>
        <w:tab/>
      </w:r>
      <w:r>
        <w:rPr>
          <w:rFonts w:cs="Arial"/>
          <w:color w:val="auto"/>
          <w:sz w:val="21"/>
          <w:szCs w:val="21"/>
        </w:rPr>
        <w:t>10</w:t>
      </w:r>
    </w:p>
    <w:p>
      <w:pPr>
        <w:pStyle w:val="72"/>
        <w:tabs>
          <w:tab w:val="right" w:leader="dot" w:pos="8222"/>
        </w:tabs>
        <w:ind w:firstLine="420"/>
        <w:rPr>
          <w:rFonts w:cs="Arial"/>
          <w:color w:val="auto"/>
          <w:sz w:val="21"/>
          <w:szCs w:val="21"/>
        </w:rPr>
      </w:pPr>
      <w:r>
        <w:rPr>
          <w:rFonts w:cs="Arial"/>
          <w:color w:val="auto"/>
          <w:sz w:val="21"/>
          <w:szCs w:val="21"/>
        </w:rPr>
        <w:t>6.4 Waste heat recovery system</w:t>
      </w:r>
      <w:r>
        <w:rPr>
          <w:rFonts w:cs="Arial"/>
          <w:color w:val="auto"/>
          <w:sz w:val="21"/>
          <w:szCs w:val="21"/>
        </w:rPr>
        <w:tab/>
      </w:r>
      <w:r>
        <w:rPr>
          <w:rFonts w:cs="Arial"/>
          <w:color w:val="auto"/>
          <w:sz w:val="21"/>
          <w:szCs w:val="21"/>
        </w:rPr>
        <w:t>10</w:t>
      </w:r>
    </w:p>
    <w:p>
      <w:pPr>
        <w:pStyle w:val="72"/>
        <w:tabs>
          <w:tab w:val="right" w:leader="dot" w:pos="8222"/>
        </w:tabs>
        <w:ind w:firstLine="420"/>
        <w:rPr>
          <w:rFonts w:cs="Arial"/>
          <w:color w:val="auto"/>
          <w:sz w:val="21"/>
          <w:szCs w:val="21"/>
        </w:rPr>
      </w:pPr>
      <w:r>
        <w:rPr>
          <w:rFonts w:cs="Arial"/>
          <w:color w:val="auto"/>
          <w:sz w:val="21"/>
          <w:szCs w:val="21"/>
        </w:rPr>
        <w:t>6.5 Flue gas purification system</w:t>
      </w:r>
      <w:r>
        <w:rPr>
          <w:rFonts w:cs="Arial"/>
          <w:color w:val="auto"/>
          <w:sz w:val="21"/>
          <w:szCs w:val="21"/>
        </w:rPr>
        <w:tab/>
      </w:r>
      <w:r>
        <w:rPr>
          <w:rFonts w:cs="Arial"/>
          <w:color w:val="auto"/>
          <w:sz w:val="21"/>
          <w:szCs w:val="21"/>
        </w:rPr>
        <w:t>11</w:t>
      </w:r>
    </w:p>
    <w:p>
      <w:pPr>
        <w:pStyle w:val="72"/>
        <w:tabs>
          <w:tab w:val="right" w:leader="dot" w:pos="8222"/>
        </w:tabs>
        <w:ind w:firstLine="420"/>
        <w:rPr>
          <w:rFonts w:cs="Arial"/>
          <w:color w:val="auto"/>
          <w:sz w:val="21"/>
          <w:szCs w:val="21"/>
        </w:rPr>
      </w:pPr>
      <w:r>
        <w:rPr>
          <w:rFonts w:cs="Arial"/>
          <w:color w:val="auto"/>
          <w:sz w:val="21"/>
          <w:szCs w:val="21"/>
        </w:rPr>
        <w:t>6.6 Residul disposal system</w:t>
      </w:r>
      <w:r>
        <w:rPr>
          <w:rFonts w:cs="Arial"/>
          <w:color w:val="auto"/>
          <w:sz w:val="21"/>
          <w:szCs w:val="21"/>
        </w:rPr>
        <w:tab/>
      </w:r>
      <w:r>
        <w:rPr>
          <w:rFonts w:cs="Arial"/>
          <w:color w:val="auto"/>
          <w:sz w:val="21"/>
          <w:szCs w:val="21"/>
        </w:rPr>
        <w:t>11</w:t>
      </w:r>
    </w:p>
    <w:p>
      <w:pPr>
        <w:pStyle w:val="72"/>
        <w:tabs>
          <w:tab w:val="right" w:leader="dot" w:pos="8222"/>
        </w:tabs>
        <w:rPr>
          <w:rFonts w:cs="Arial"/>
          <w:color w:val="auto"/>
          <w:sz w:val="21"/>
          <w:szCs w:val="21"/>
        </w:rPr>
      </w:pPr>
      <w:r>
        <w:rPr>
          <w:rFonts w:cs="Arial"/>
          <w:color w:val="auto"/>
          <w:sz w:val="21"/>
          <w:szCs w:val="21"/>
        </w:rPr>
        <w:t>7</w:t>
      </w:r>
      <w:r>
        <w:rPr>
          <w:rFonts w:hint="eastAsia" w:cs="Arial"/>
          <w:color w:val="auto"/>
          <w:sz w:val="21"/>
          <w:szCs w:val="21"/>
        </w:rPr>
        <w:t xml:space="preserve">  </w:t>
      </w:r>
      <w:r>
        <w:rPr>
          <w:rFonts w:cs="Arial"/>
          <w:color w:val="auto"/>
          <w:sz w:val="21"/>
          <w:szCs w:val="21"/>
        </w:rPr>
        <w:t>Auxiliary facilities</w:t>
      </w:r>
      <w:r>
        <w:rPr>
          <w:rFonts w:cs="Arial"/>
          <w:color w:val="auto"/>
          <w:sz w:val="21"/>
          <w:szCs w:val="21"/>
        </w:rPr>
        <w:tab/>
      </w:r>
      <w:r>
        <w:rPr>
          <w:rFonts w:cs="Arial"/>
          <w:color w:val="auto"/>
          <w:sz w:val="21"/>
          <w:szCs w:val="21"/>
        </w:rPr>
        <w:t>13</w:t>
      </w:r>
    </w:p>
    <w:p>
      <w:pPr>
        <w:pStyle w:val="72"/>
        <w:tabs>
          <w:tab w:val="right" w:leader="dot" w:pos="8222"/>
        </w:tabs>
        <w:ind w:firstLine="420"/>
        <w:rPr>
          <w:rFonts w:cs="Arial"/>
          <w:color w:val="auto"/>
          <w:sz w:val="21"/>
          <w:szCs w:val="21"/>
        </w:rPr>
      </w:pPr>
      <w:r>
        <w:rPr>
          <w:rFonts w:cs="Arial"/>
          <w:color w:val="auto"/>
          <w:sz w:val="21"/>
          <w:szCs w:val="21"/>
        </w:rPr>
        <w:t>7.1 Electrical system</w:t>
      </w:r>
      <w:r>
        <w:rPr>
          <w:rFonts w:cs="Arial"/>
          <w:color w:val="auto"/>
          <w:sz w:val="21"/>
          <w:szCs w:val="21"/>
        </w:rPr>
        <w:tab/>
      </w:r>
      <w:r>
        <w:rPr>
          <w:rFonts w:cs="Arial"/>
          <w:color w:val="auto"/>
          <w:sz w:val="21"/>
          <w:szCs w:val="21"/>
        </w:rPr>
        <w:t>13</w:t>
      </w:r>
    </w:p>
    <w:p>
      <w:pPr>
        <w:pStyle w:val="72"/>
        <w:tabs>
          <w:tab w:val="right" w:leader="dot" w:pos="8222"/>
        </w:tabs>
        <w:ind w:firstLine="420"/>
        <w:rPr>
          <w:rFonts w:cs="Arial"/>
          <w:color w:val="auto"/>
          <w:sz w:val="21"/>
          <w:szCs w:val="21"/>
        </w:rPr>
      </w:pPr>
      <w:r>
        <w:rPr>
          <w:rFonts w:cs="Arial"/>
          <w:color w:val="auto"/>
          <w:sz w:val="21"/>
          <w:szCs w:val="21"/>
        </w:rPr>
        <w:t>7.2 Automatic control and on-line detection system</w:t>
      </w:r>
      <w:r>
        <w:rPr>
          <w:rFonts w:cs="Arial"/>
          <w:color w:val="auto"/>
          <w:sz w:val="21"/>
          <w:szCs w:val="21"/>
        </w:rPr>
        <w:tab/>
      </w:r>
      <w:r>
        <w:rPr>
          <w:rFonts w:cs="Arial"/>
          <w:color w:val="auto"/>
          <w:sz w:val="21"/>
          <w:szCs w:val="21"/>
        </w:rPr>
        <w:t>11</w:t>
      </w:r>
    </w:p>
    <w:p>
      <w:pPr>
        <w:pStyle w:val="72"/>
        <w:tabs>
          <w:tab w:val="right" w:leader="dot" w:pos="8222"/>
        </w:tabs>
        <w:ind w:firstLine="420"/>
        <w:rPr>
          <w:rFonts w:cs="Arial"/>
          <w:color w:val="auto"/>
          <w:sz w:val="21"/>
          <w:szCs w:val="21"/>
        </w:rPr>
      </w:pPr>
      <w:r>
        <w:rPr>
          <w:rFonts w:cs="Arial"/>
          <w:color w:val="auto"/>
          <w:sz w:val="21"/>
          <w:szCs w:val="21"/>
        </w:rPr>
        <w:t xml:space="preserve">7.3 Water supply and drainage </w:t>
      </w:r>
      <w:r>
        <w:rPr>
          <w:rFonts w:cs="Arial"/>
          <w:color w:val="auto"/>
          <w:sz w:val="21"/>
          <w:szCs w:val="21"/>
        </w:rPr>
        <w:tab/>
      </w:r>
      <w:r>
        <w:rPr>
          <w:rFonts w:cs="Arial"/>
          <w:color w:val="auto"/>
          <w:sz w:val="21"/>
          <w:szCs w:val="21"/>
        </w:rPr>
        <w:t>16</w:t>
      </w:r>
    </w:p>
    <w:p>
      <w:pPr>
        <w:pStyle w:val="72"/>
        <w:tabs>
          <w:tab w:val="right" w:leader="dot" w:pos="8222"/>
        </w:tabs>
        <w:ind w:firstLine="420"/>
        <w:rPr>
          <w:rFonts w:cs="Arial"/>
          <w:color w:val="auto"/>
          <w:sz w:val="21"/>
          <w:szCs w:val="21"/>
        </w:rPr>
      </w:pPr>
      <w:r>
        <w:rPr>
          <w:rFonts w:cs="Arial"/>
          <w:color w:val="auto"/>
          <w:sz w:val="21"/>
          <w:szCs w:val="21"/>
        </w:rPr>
        <w:t>7.4 Heating, ventilating and air conditioning</w:t>
      </w:r>
      <w:r>
        <w:rPr>
          <w:rFonts w:cs="Arial"/>
          <w:color w:val="auto"/>
          <w:sz w:val="21"/>
          <w:szCs w:val="21"/>
        </w:rPr>
        <w:tab/>
      </w:r>
      <w:r>
        <w:rPr>
          <w:rFonts w:cs="Arial"/>
          <w:color w:val="auto"/>
          <w:sz w:val="21"/>
          <w:szCs w:val="21"/>
        </w:rPr>
        <w:t>17</w:t>
      </w:r>
    </w:p>
    <w:p>
      <w:pPr>
        <w:pStyle w:val="72"/>
        <w:tabs>
          <w:tab w:val="right" w:leader="dot" w:pos="8222"/>
        </w:tabs>
        <w:ind w:firstLine="420"/>
        <w:rPr>
          <w:rFonts w:cs="Arial"/>
          <w:color w:val="auto"/>
          <w:sz w:val="21"/>
          <w:szCs w:val="21"/>
        </w:rPr>
      </w:pPr>
      <w:r>
        <w:rPr>
          <w:rFonts w:cs="Arial"/>
          <w:color w:val="auto"/>
          <w:sz w:val="21"/>
          <w:szCs w:val="21"/>
        </w:rPr>
        <w:t>7.5 Architecture and structure</w:t>
      </w:r>
      <w:r>
        <w:rPr>
          <w:rFonts w:cs="Arial"/>
          <w:color w:val="auto"/>
          <w:sz w:val="21"/>
          <w:szCs w:val="21"/>
        </w:rPr>
        <w:tab/>
      </w:r>
      <w:r>
        <w:rPr>
          <w:rFonts w:cs="Arial"/>
          <w:color w:val="auto"/>
          <w:sz w:val="21"/>
          <w:szCs w:val="21"/>
        </w:rPr>
        <w:t>17</w:t>
      </w:r>
    </w:p>
    <w:p>
      <w:pPr>
        <w:pStyle w:val="72"/>
        <w:tabs>
          <w:tab w:val="right" w:leader="dot" w:pos="8222"/>
        </w:tabs>
        <w:ind w:firstLine="420"/>
        <w:rPr>
          <w:rFonts w:cs="Arial"/>
          <w:color w:val="auto"/>
          <w:sz w:val="21"/>
          <w:szCs w:val="21"/>
        </w:rPr>
      </w:pPr>
      <w:r>
        <w:rPr>
          <w:rFonts w:cs="Arial"/>
          <w:color w:val="auto"/>
          <w:sz w:val="21"/>
          <w:szCs w:val="21"/>
        </w:rPr>
        <w:t>7.6 Telecommunications</w:t>
      </w:r>
      <w:r>
        <w:rPr>
          <w:rFonts w:cs="Arial"/>
          <w:color w:val="auto"/>
          <w:sz w:val="21"/>
          <w:szCs w:val="21"/>
        </w:rPr>
        <w:tab/>
      </w:r>
      <w:r>
        <w:rPr>
          <w:rFonts w:cs="Arial"/>
          <w:color w:val="auto"/>
          <w:sz w:val="21"/>
          <w:szCs w:val="21"/>
        </w:rPr>
        <w:t>18</w:t>
      </w:r>
    </w:p>
    <w:p>
      <w:pPr>
        <w:pStyle w:val="72"/>
        <w:tabs>
          <w:tab w:val="right" w:leader="dot" w:pos="8222"/>
        </w:tabs>
        <w:rPr>
          <w:rFonts w:cs="Arial"/>
          <w:color w:val="auto"/>
          <w:sz w:val="21"/>
          <w:szCs w:val="21"/>
        </w:rPr>
      </w:pPr>
      <w:r>
        <w:rPr>
          <w:rFonts w:cs="Arial"/>
          <w:color w:val="auto"/>
          <w:sz w:val="21"/>
          <w:szCs w:val="21"/>
        </w:rPr>
        <w:t xml:space="preserve">8 </w:t>
      </w:r>
      <w:r>
        <w:rPr>
          <w:rFonts w:hint="eastAsia" w:cs="Arial"/>
          <w:color w:val="auto"/>
          <w:sz w:val="21"/>
          <w:szCs w:val="21"/>
        </w:rPr>
        <w:t xml:space="preserve">  </w:t>
      </w:r>
      <w:r>
        <w:rPr>
          <w:rFonts w:cs="Arial"/>
          <w:color w:val="auto"/>
          <w:sz w:val="21"/>
          <w:szCs w:val="21"/>
        </w:rPr>
        <w:t>Energy saving and environmental protection</w:t>
      </w:r>
      <w:r>
        <w:rPr>
          <w:rFonts w:cs="Arial"/>
          <w:color w:val="auto"/>
          <w:sz w:val="21"/>
          <w:szCs w:val="21"/>
        </w:rPr>
        <w:tab/>
      </w:r>
      <w:r>
        <w:rPr>
          <w:rFonts w:cs="Arial"/>
          <w:color w:val="auto"/>
          <w:sz w:val="21"/>
          <w:szCs w:val="21"/>
        </w:rPr>
        <w:t>19</w:t>
      </w:r>
    </w:p>
    <w:p>
      <w:pPr>
        <w:pStyle w:val="72"/>
        <w:tabs>
          <w:tab w:val="right" w:leader="dot" w:pos="8222"/>
        </w:tabs>
        <w:ind w:firstLine="420"/>
        <w:rPr>
          <w:rFonts w:cs="Arial"/>
          <w:color w:val="auto"/>
          <w:sz w:val="21"/>
          <w:szCs w:val="21"/>
        </w:rPr>
      </w:pPr>
      <w:r>
        <w:rPr>
          <w:rFonts w:cs="Arial"/>
          <w:color w:val="auto"/>
          <w:sz w:val="21"/>
          <w:szCs w:val="21"/>
        </w:rPr>
        <w:t xml:space="preserve">8.1 Energy saving </w:t>
      </w:r>
      <w:r>
        <w:rPr>
          <w:rFonts w:cs="Arial"/>
          <w:color w:val="auto"/>
          <w:sz w:val="21"/>
          <w:szCs w:val="21"/>
        </w:rPr>
        <w:tab/>
      </w:r>
      <w:r>
        <w:rPr>
          <w:rFonts w:cs="Arial"/>
          <w:color w:val="auto"/>
          <w:sz w:val="21"/>
          <w:szCs w:val="21"/>
        </w:rPr>
        <w:t>19</w:t>
      </w:r>
    </w:p>
    <w:p>
      <w:pPr>
        <w:pStyle w:val="72"/>
        <w:tabs>
          <w:tab w:val="right" w:leader="dot" w:pos="8222"/>
        </w:tabs>
        <w:ind w:firstLine="420"/>
        <w:rPr>
          <w:rFonts w:cs="Arial"/>
          <w:color w:val="auto"/>
          <w:sz w:val="21"/>
          <w:szCs w:val="21"/>
        </w:rPr>
      </w:pPr>
      <w:r>
        <w:rPr>
          <w:rFonts w:cs="Arial"/>
          <w:color w:val="auto"/>
          <w:sz w:val="21"/>
          <w:szCs w:val="21"/>
        </w:rPr>
        <w:t>8.2 Environmental protection</w:t>
      </w:r>
      <w:r>
        <w:rPr>
          <w:rFonts w:cs="Arial"/>
          <w:color w:val="auto"/>
          <w:sz w:val="21"/>
          <w:szCs w:val="21"/>
        </w:rPr>
        <w:tab/>
      </w:r>
      <w:r>
        <w:rPr>
          <w:rFonts w:cs="Arial"/>
          <w:color w:val="auto"/>
          <w:sz w:val="21"/>
          <w:szCs w:val="21"/>
        </w:rPr>
        <w:t>19</w:t>
      </w:r>
    </w:p>
    <w:p>
      <w:pPr>
        <w:pStyle w:val="72"/>
        <w:tabs>
          <w:tab w:val="right" w:leader="dot" w:pos="8222"/>
        </w:tabs>
        <w:rPr>
          <w:rFonts w:cs="Arial"/>
          <w:color w:val="auto"/>
          <w:sz w:val="21"/>
          <w:szCs w:val="21"/>
        </w:rPr>
      </w:pPr>
      <w:r>
        <w:rPr>
          <w:rFonts w:cs="Arial"/>
          <w:color w:val="auto"/>
          <w:sz w:val="21"/>
          <w:szCs w:val="21"/>
        </w:rPr>
        <w:t>9</w:t>
      </w:r>
      <w:r>
        <w:rPr>
          <w:rFonts w:hint="eastAsia" w:cs="Arial"/>
          <w:color w:val="auto"/>
          <w:sz w:val="21"/>
          <w:szCs w:val="21"/>
        </w:rPr>
        <w:t xml:space="preserve">  </w:t>
      </w:r>
      <w:r>
        <w:rPr>
          <w:rFonts w:cs="Arial"/>
          <w:color w:val="auto"/>
          <w:sz w:val="21"/>
          <w:szCs w:val="21"/>
        </w:rPr>
        <w:t xml:space="preserve"> Fire fighting,occupational health and safety</w:t>
      </w:r>
      <w:r>
        <w:rPr>
          <w:rFonts w:cs="Arial"/>
          <w:color w:val="auto"/>
          <w:sz w:val="21"/>
          <w:szCs w:val="21"/>
        </w:rPr>
        <w:tab/>
      </w:r>
      <w:r>
        <w:rPr>
          <w:rFonts w:hint="eastAsia" w:cs="Arial"/>
          <w:color w:val="auto"/>
          <w:sz w:val="21"/>
          <w:szCs w:val="21"/>
        </w:rPr>
        <w:t>20</w:t>
      </w:r>
    </w:p>
    <w:p>
      <w:pPr>
        <w:pStyle w:val="72"/>
        <w:tabs>
          <w:tab w:val="right" w:leader="dot" w:pos="8222"/>
        </w:tabs>
        <w:ind w:firstLine="420"/>
        <w:rPr>
          <w:rFonts w:cs="Arial"/>
          <w:color w:val="auto"/>
          <w:sz w:val="21"/>
          <w:szCs w:val="21"/>
        </w:rPr>
      </w:pPr>
      <w:r>
        <w:rPr>
          <w:rFonts w:cs="Arial"/>
          <w:color w:val="auto"/>
          <w:sz w:val="21"/>
          <w:szCs w:val="21"/>
        </w:rPr>
        <w:t xml:space="preserve">9.1 General requirements </w:t>
      </w:r>
      <w:r>
        <w:rPr>
          <w:rFonts w:cs="Arial"/>
          <w:color w:val="auto"/>
          <w:sz w:val="21"/>
          <w:szCs w:val="21"/>
        </w:rPr>
        <w:tab/>
      </w:r>
      <w:r>
        <w:rPr>
          <w:rFonts w:hint="eastAsia" w:cs="Arial"/>
          <w:color w:val="auto"/>
          <w:sz w:val="21"/>
          <w:szCs w:val="21"/>
        </w:rPr>
        <w:t>20</w:t>
      </w:r>
    </w:p>
    <w:p>
      <w:pPr>
        <w:pStyle w:val="72"/>
        <w:tabs>
          <w:tab w:val="right" w:leader="dot" w:pos="8222"/>
        </w:tabs>
        <w:ind w:firstLine="420"/>
        <w:rPr>
          <w:rFonts w:cs="Arial"/>
          <w:color w:val="auto"/>
          <w:sz w:val="21"/>
          <w:szCs w:val="21"/>
        </w:rPr>
      </w:pPr>
      <w:r>
        <w:rPr>
          <w:rFonts w:cs="Arial"/>
          <w:color w:val="auto"/>
          <w:sz w:val="21"/>
          <w:szCs w:val="21"/>
        </w:rPr>
        <w:t>9.2 Fire fighting</w:t>
      </w:r>
      <w:r>
        <w:rPr>
          <w:rFonts w:cs="Arial"/>
          <w:color w:val="auto"/>
          <w:sz w:val="21"/>
          <w:szCs w:val="21"/>
        </w:rPr>
        <w:tab/>
      </w:r>
      <w:r>
        <w:rPr>
          <w:rFonts w:hint="eastAsia" w:cs="Arial"/>
          <w:color w:val="auto"/>
          <w:sz w:val="21"/>
          <w:szCs w:val="21"/>
        </w:rPr>
        <w:t>20</w:t>
      </w:r>
    </w:p>
    <w:p>
      <w:pPr>
        <w:pStyle w:val="72"/>
        <w:tabs>
          <w:tab w:val="right" w:leader="dot" w:pos="8222"/>
        </w:tabs>
        <w:ind w:firstLine="420"/>
        <w:rPr>
          <w:rFonts w:cs="Arial"/>
          <w:color w:val="auto"/>
          <w:sz w:val="21"/>
          <w:szCs w:val="21"/>
        </w:rPr>
      </w:pPr>
      <w:r>
        <w:rPr>
          <w:rFonts w:cs="Arial"/>
          <w:color w:val="auto"/>
          <w:sz w:val="21"/>
          <w:szCs w:val="21"/>
        </w:rPr>
        <w:t>9.3 Occupational health and safety</w:t>
      </w:r>
      <w:r>
        <w:rPr>
          <w:rFonts w:cs="Arial"/>
          <w:color w:val="auto"/>
          <w:sz w:val="21"/>
          <w:szCs w:val="21"/>
        </w:rPr>
        <w:tab/>
      </w:r>
      <w:r>
        <w:rPr>
          <w:rFonts w:hint="eastAsia" w:cs="Arial"/>
          <w:color w:val="auto"/>
          <w:sz w:val="21"/>
          <w:szCs w:val="21"/>
        </w:rPr>
        <w:t>20</w:t>
      </w:r>
    </w:p>
    <w:p>
      <w:pPr>
        <w:pStyle w:val="81"/>
        <w:rPr>
          <w:color w:val="auto"/>
        </w:rPr>
      </w:pPr>
      <w:r>
        <w:rPr>
          <w:rFonts w:hint="eastAsia"/>
          <w:color w:val="auto"/>
          <w:szCs w:val="28"/>
        </w:rPr>
        <w:t xml:space="preserve">Explanation of wording </w:t>
      </w:r>
      <w:r>
        <w:rPr>
          <w:color w:val="auto"/>
        </w:rPr>
        <w:t>in this standard………………………………………………………….</w:t>
      </w:r>
      <w:r>
        <w:rPr>
          <w:rFonts w:hint="eastAsia"/>
          <w:color w:val="auto"/>
        </w:rPr>
        <w:t>21</w:t>
      </w:r>
    </w:p>
    <w:p>
      <w:pPr>
        <w:pStyle w:val="81"/>
        <w:rPr>
          <w:color w:val="auto"/>
        </w:rPr>
      </w:pPr>
      <w:r>
        <w:rPr>
          <w:rFonts w:hint="eastAsia"/>
          <w:color w:val="auto"/>
        </w:rPr>
        <w:t>List of quoted standards</w:t>
      </w:r>
      <w:r>
        <w:rPr>
          <w:rFonts w:hint="eastAsia"/>
          <w:color w:val="auto"/>
        </w:rPr>
        <w:t>.</w:t>
      </w:r>
      <w:r>
        <w:rPr>
          <w:rFonts w:hint="eastAsia"/>
          <w:color w:val="auto"/>
        </w:rPr>
        <w:t>.................................................................................................................22</w:t>
      </w:r>
    </w:p>
    <w:p>
      <w:pPr>
        <w:pStyle w:val="72"/>
        <w:tabs>
          <w:tab w:val="right" w:leader="dot" w:pos="8222"/>
        </w:tabs>
        <w:rPr>
          <w:rFonts w:cs="Arial"/>
          <w:color w:val="auto"/>
          <w:sz w:val="21"/>
          <w:szCs w:val="21"/>
        </w:rPr>
      </w:pPr>
      <w:r>
        <w:rPr>
          <w:rFonts w:cs="Arial"/>
          <w:color w:val="auto"/>
          <w:sz w:val="21"/>
          <w:szCs w:val="21"/>
        </w:rPr>
        <w:t>Addition: explanation of provisions</w:t>
      </w:r>
      <w:r>
        <w:rPr>
          <w:rFonts w:cs="Arial"/>
          <w:color w:val="auto"/>
          <w:sz w:val="21"/>
          <w:szCs w:val="21"/>
        </w:rPr>
        <w:tab/>
      </w:r>
      <w:r>
        <w:rPr>
          <w:rFonts w:cs="Arial"/>
          <w:color w:val="auto"/>
          <w:sz w:val="21"/>
          <w:szCs w:val="21"/>
        </w:rPr>
        <w:t>23</w:t>
      </w:r>
    </w:p>
    <w:p>
      <w:pPr>
        <w:rPr>
          <w:color w:val="auto"/>
          <w:sz w:val="28"/>
          <w:szCs w:val="28"/>
        </w:rPr>
        <w:sectPr>
          <w:headerReference r:id="rId11" w:type="default"/>
          <w:footerReference r:id="rId12" w:type="default"/>
          <w:footerReference r:id="rId13" w:type="even"/>
          <w:pgSz w:w="11906" w:h="16838"/>
          <w:pgMar w:top="1440" w:right="1800" w:bottom="1440" w:left="1800" w:header="851" w:footer="992" w:gutter="0"/>
          <w:pgNumType w:start="1"/>
          <w:cols w:space="720" w:num="1"/>
          <w:docGrid w:type="lines" w:linePitch="312" w:charSpace="0"/>
        </w:sectPr>
      </w:pPr>
    </w:p>
    <w:p>
      <w:pPr>
        <w:rPr>
          <w:color w:val="auto"/>
          <w:sz w:val="28"/>
          <w:szCs w:val="28"/>
        </w:rPr>
      </w:pPr>
    </w:p>
    <w:p>
      <w:pPr>
        <w:widowControl/>
        <w:jc w:val="left"/>
        <w:rPr>
          <w:color w:val="auto"/>
          <w:sz w:val="28"/>
          <w:szCs w:val="28"/>
        </w:rPr>
        <w:sectPr>
          <w:headerReference r:id="rId14" w:type="default"/>
          <w:footerReference r:id="rId15" w:type="default"/>
          <w:type w:val="continuous"/>
          <w:pgSz w:w="11906" w:h="16838"/>
          <w:pgMar w:top="1440" w:right="1800" w:bottom="1440" w:left="1800" w:header="851" w:footer="992" w:gutter="0"/>
          <w:pgNumType w:start="1"/>
          <w:cols w:space="720" w:num="1"/>
          <w:docGrid w:type="lines" w:linePitch="312" w:charSpace="0"/>
        </w:sectPr>
      </w:pPr>
    </w:p>
    <w:p>
      <w:pPr>
        <w:widowControl/>
        <w:jc w:val="left"/>
        <w:rPr>
          <w:b/>
          <w:bCs/>
          <w:color w:val="auto"/>
          <w:kern w:val="44"/>
          <w:sz w:val="28"/>
          <w:szCs w:val="28"/>
        </w:rPr>
      </w:pPr>
      <w:r>
        <w:rPr>
          <w:color w:val="auto"/>
          <w:sz w:val="28"/>
          <w:szCs w:val="28"/>
        </w:rPr>
        <w:br w:type="page"/>
      </w:r>
    </w:p>
    <w:p>
      <w:pPr>
        <w:pStyle w:val="2"/>
        <w:spacing w:before="120" w:after="120"/>
        <w:ind w:firstLine="420"/>
        <w:jc w:val="center"/>
        <w:rPr>
          <w:color w:val="auto"/>
          <w:sz w:val="28"/>
          <w:szCs w:val="28"/>
        </w:rPr>
      </w:pPr>
      <w:bookmarkStart w:id="16" w:name="_Toc92877427"/>
      <w:r>
        <w:rPr>
          <w:rFonts w:hint="eastAsia"/>
          <w:color w:val="auto"/>
          <w:sz w:val="28"/>
          <w:szCs w:val="28"/>
        </w:rPr>
        <w:t>1</w:t>
      </w:r>
      <w:r>
        <w:rPr>
          <w:color w:val="auto"/>
          <w:sz w:val="28"/>
          <w:szCs w:val="28"/>
        </w:rPr>
        <w:t xml:space="preserve"> </w:t>
      </w:r>
      <w:r>
        <w:rPr>
          <w:rFonts w:hint="eastAsia"/>
          <w:color w:val="auto"/>
          <w:sz w:val="28"/>
          <w:szCs w:val="28"/>
        </w:rPr>
        <w:t>总则</w:t>
      </w:r>
      <w:bookmarkEnd w:id="8"/>
      <w:bookmarkEnd w:id="9"/>
      <w:bookmarkEnd w:id="10"/>
      <w:bookmarkEnd w:id="11"/>
      <w:bookmarkEnd w:id="12"/>
      <w:bookmarkEnd w:id="13"/>
      <w:bookmarkEnd w:id="14"/>
      <w:bookmarkEnd w:id="15"/>
      <w:bookmarkEnd w:id="16"/>
    </w:p>
    <w:p>
      <w:pPr>
        <w:spacing w:line="360" w:lineRule="auto"/>
        <w:rPr>
          <w:color w:val="auto"/>
          <w:szCs w:val="21"/>
        </w:rPr>
      </w:pPr>
      <w:r>
        <w:rPr>
          <w:color w:val="auto"/>
          <w:szCs w:val="21"/>
        </w:rPr>
        <w:t xml:space="preserve">1.0.1 </w:t>
      </w:r>
      <w:r>
        <w:rPr>
          <w:rFonts w:hint="eastAsia"/>
          <w:color w:val="auto"/>
          <w:szCs w:val="21"/>
        </w:rPr>
        <w:t>为规范</w:t>
      </w:r>
      <w:r>
        <w:rPr>
          <w:color w:val="auto"/>
          <w:szCs w:val="21"/>
        </w:rPr>
        <w:t>钢铁厂</w:t>
      </w:r>
      <w:r>
        <w:rPr>
          <w:rFonts w:hint="eastAsia"/>
          <w:color w:val="auto"/>
          <w:szCs w:val="21"/>
        </w:rPr>
        <w:t>协同</w:t>
      </w:r>
      <w:r>
        <w:rPr>
          <w:color w:val="auto"/>
          <w:szCs w:val="21"/>
        </w:rPr>
        <w:t>处置</w:t>
      </w:r>
      <w:r>
        <w:rPr>
          <w:rFonts w:hint="eastAsia"/>
          <w:color w:val="auto"/>
          <w:szCs w:val="21"/>
        </w:rPr>
        <w:t>城市危险</w:t>
      </w:r>
      <w:r>
        <w:rPr>
          <w:color w:val="auto"/>
          <w:szCs w:val="21"/>
        </w:rPr>
        <w:t>废物</w:t>
      </w:r>
      <w:r>
        <w:rPr>
          <w:rFonts w:hint="eastAsia"/>
          <w:color w:val="auto"/>
          <w:szCs w:val="21"/>
        </w:rPr>
        <w:t>预处理</w:t>
      </w:r>
      <w:r>
        <w:rPr>
          <w:color w:val="auto"/>
          <w:szCs w:val="21"/>
        </w:rPr>
        <w:t>回转窑</w:t>
      </w:r>
      <w:r>
        <w:rPr>
          <w:rFonts w:hint="eastAsia"/>
          <w:color w:val="auto"/>
          <w:szCs w:val="21"/>
        </w:rPr>
        <w:t>工程设计</w:t>
      </w:r>
      <w:r>
        <w:rPr>
          <w:color w:val="auto"/>
          <w:szCs w:val="21"/>
        </w:rPr>
        <w:t>，</w:t>
      </w:r>
      <w:r>
        <w:rPr>
          <w:rFonts w:hint="eastAsia"/>
          <w:color w:val="auto"/>
          <w:szCs w:val="21"/>
        </w:rPr>
        <w:t>实现技术先进、经济合理、安全适用、节能环保，制定本标准。</w:t>
      </w:r>
    </w:p>
    <w:p>
      <w:pPr>
        <w:spacing w:line="360" w:lineRule="auto"/>
        <w:rPr>
          <w:color w:val="auto"/>
          <w:szCs w:val="21"/>
        </w:rPr>
      </w:pPr>
      <w:r>
        <w:rPr>
          <w:color w:val="auto"/>
          <w:szCs w:val="21"/>
        </w:rPr>
        <w:t xml:space="preserve">1.0.2 </w:t>
      </w:r>
      <w:r>
        <w:rPr>
          <w:rFonts w:hint="eastAsia"/>
          <w:color w:val="auto"/>
          <w:szCs w:val="21"/>
        </w:rPr>
        <w:t>本标准</w:t>
      </w:r>
      <w:r>
        <w:rPr>
          <w:color w:val="auto"/>
          <w:szCs w:val="21"/>
        </w:rPr>
        <w:t>适用于</w:t>
      </w:r>
      <w:r>
        <w:rPr>
          <w:rFonts w:hint="eastAsia"/>
          <w:color w:val="auto"/>
          <w:szCs w:val="21"/>
        </w:rPr>
        <w:t>新建</w:t>
      </w:r>
      <w:r>
        <w:rPr>
          <w:color w:val="auto"/>
          <w:szCs w:val="21"/>
        </w:rPr>
        <w:t>、</w:t>
      </w:r>
      <w:r>
        <w:rPr>
          <w:rFonts w:hint="eastAsia"/>
          <w:color w:val="auto"/>
          <w:szCs w:val="21"/>
        </w:rPr>
        <w:t>改建</w:t>
      </w:r>
      <w:r>
        <w:rPr>
          <w:color w:val="auto"/>
          <w:szCs w:val="21"/>
        </w:rPr>
        <w:t>和扩建的钢铁厂</w:t>
      </w:r>
      <w:r>
        <w:rPr>
          <w:rFonts w:hint="eastAsia"/>
          <w:color w:val="auto"/>
          <w:szCs w:val="21"/>
        </w:rPr>
        <w:t>协同</w:t>
      </w:r>
      <w:r>
        <w:rPr>
          <w:color w:val="auto"/>
          <w:szCs w:val="21"/>
        </w:rPr>
        <w:t>处置</w:t>
      </w:r>
      <w:r>
        <w:rPr>
          <w:rFonts w:hint="eastAsia"/>
          <w:color w:val="auto"/>
          <w:szCs w:val="21"/>
        </w:rPr>
        <w:t>城市危险</w:t>
      </w:r>
      <w:r>
        <w:rPr>
          <w:color w:val="auto"/>
          <w:szCs w:val="21"/>
        </w:rPr>
        <w:t>废物</w:t>
      </w:r>
      <w:r>
        <w:rPr>
          <w:rFonts w:hint="eastAsia"/>
          <w:color w:val="auto"/>
          <w:szCs w:val="21"/>
        </w:rPr>
        <w:t>预处理</w:t>
      </w:r>
      <w:r>
        <w:rPr>
          <w:color w:val="auto"/>
          <w:szCs w:val="21"/>
        </w:rPr>
        <w:t>回转窑工程设计。</w:t>
      </w:r>
    </w:p>
    <w:p>
      <w:pPr>
        <w:spacing w:line="360" w:lineRule="auto"/>
        <w:rPr>
          <w:color w:val="auto"/>
          <w:szCs w:val="21"/>
        </w:rPr>
      </w:pPr>
      <w:r>
        <w:rPr>
          <w:rFonts w:hint="eastAsia"/>
          <w:color w:val="auto"/>
          <w:szCs w:val="21"/>
        </w:rPr>
        <w:t>1.0.</w:t>
      </w:r>
      <w:r>
        <w:rPr>
          <w:color w:val="auto"/>
          <w:szCs w:val="21"/>
        </w:rPr>
        <w:t>3钢铁厂</w:t>
      </w:r>
      <w:r>
        <w:rPr>
          <w:rFonts w:hint="eastAsia"/>
          <w:color w:val="auto"/>
          <w:szCs w:val="21"/>
        </w:rPr>
        <w:t>协同</w:t>
      </w:r>
      <w:r>
        <w:rPr>
          <w:color w:val="auto"/>
          <w:szCs w:val="21"/>
        </w:rPr>
        <w:t>处置</w:t>
      </w:r>
      <w:r>
        <w:rPr>
          <w:rFonts w:hint="eastAsia"/>
          <w:color w:val="auto"/>
          <w:szCs w:val="21"/>
        </w:rPr>
        <w:t>城市危险</w:t>
      </w:r>
      <w:r>
        <w:rPr>
          <w:color w:val="auto"/>
          <w:szCs w:val="21"/>
        </w:rPr>
        <w:t>废物</w:t>
      </w:r>
      <w:r>
        <w:rPr>
          <w:rFonts w:hint="eastAsia"/>
          <w:color w:val="auto"/>
          <w:szCs w:val="21"/>
        </w:rPr>
        <w:t>预处理</w:t>
      </w:r>
      <w:r>
        <w:rPr>
          <w:color w:val="auto"/>
          <w:szCs w:val="21"/>
        </w:rPr>
        <w:t>回转窑工</w:t>
      </w:r>
      <w:r>
        <w:rPr>
          <w:rFonts w:hint="eastAsia"/>
          <w:color w:val="auto"/>
          <w:szCs w:val="21"/>
        </w:rPr>
        <w:t>程</w:t>
      </w:r>
      <w:r>
        <w:rPr>
          <w:color w:val="auto"/>
          <w:szCs w:val="21"/>
        </w:rPr>
        <w:t>的设计</w:t>
      </w:r>
      <w:r>
        <w:rPr>
          <w:rFonts w:hint="eastAsia"/>
          <w:color w:val="auto"/>
          <w:szCs w:val="21"/>
        </w:rPr>
        <w:t>工作</w:t>
      </w:r>
      <w:r>
        <w:rPr>
          <w:color w:val="auto"/>
          <w:szCs w:val="21"/>
        </w:rPr>
        <w:t>除应</w:t>
      </w:r>
      <w:r>
        <w:rPr>
          <w:rFonts w:hint="eastAsia"/>
          <w:color w:val="auto"/>
          <w:szCs w:val="21"/>
        </w:rPr>
        <w:t>符合</w:t>
      </w:r>
      <w:r>
        <w:rPr>
          <w:color w:val="auto"/>
          <w:szCs w:val="21"/>
        </w:rPr>
        <w:t>本标准外，尚应符合国家现行有关标准的</w:t>
      </w:r>
      <w:r>
        <w:rPr>
          <w:rFonts w:hint="eastAsia"/>
          <w:color w:val="auto"/>
          <w:szCs w:val="21"/>
        </w:rPr>
        <w:t>规定</w:t>
      </w:r>
      <w:r>
        <w:rPr>
          <w:color w:val="auto"/>
          <w:szCs w:val="21"/>
        </w:rPr>
        <w:t>。</w:t>
      </w:r>
    </w:p>
    <w:p>
      <w:pPr>
        <w:rPr>
          <w:color w:val="auto"/>
          <w:szCs w:val="21"/>
        </w:rPr>
      </w:pPr>
    </w:p>
    <w:p>
      <w:pPr>
        <w:rPr>
          <w:color w:val="auto"/>
          <w:szCs w:val="21"/>
        </w:rPr>
      </w:pPr>
    </w:p>
    <w:p>
      <w:pPr>
        <w:pStyle w:val="2"/>
        <w:spacing w:before="120" w:after="120"/>
        <w:jc w:val="center"/>
        <w:rPr>
          <w:color w:val="auto"/>
          <w:sz w:val="21"/>
          <w:szCs w:val="21"/>
        </w:rPr>
        <w:sectPr>
          <w:headerReference r:id="rId16" w:type="default"/>
          <w:footerReference r:id="rId17" w:type="default"/>
          <w:type w:val="continuous"/>
          <w:pgSz w:w="11906" w:h="16838"/>
          <w:pgMar w:top="1440" w:right="1800" w:bottom="1440" w:left="1800" w:header="851" w:footer="992" w:gutter="0"/>
          <w:pgNumType w:start="1"/>
          <w:cols w:space="720" w:num="1"/>
          <w:docGrid w:type="lines" w:linePitch="312" w:charSpace="0"/>
        </w:sectPr>
      </w:pPr>
      <w:bookmarkStart w:id="17" w:name="_Toc285441228"/>
      <w:bookmarkStart w:id="18" w:name="_Toc304821879"/>
      <w:bookmarkStart w:id="19" w:name="_Toc301429572"/>
      <w:bookmarkStart w:id="20" w:name="_Toc289433269"/>
      <w:bookmarkStart w:id="21" w:name="_Toc324751819"/>
      <w:bookmarkStart w:id="22" w:name="_Toc289243431"/>
      <w:bookmarkStart w:id="23" w:name="_Toc305076431"/>
      <w:bookmarkStart w:id="24" w:name="_Toc305074561"/>
    </w:p>
    <w:p>
      <w:pPr>
        <w:pStyle w:val="2"/>
        <w:spacing w:before="120" w:after="120"/>
        <w:jc w:val="center"/>
        <w:rPr>
          <w:color w:val="auto"/>
          <w:sz w:val="28"/>
          <w:szCs w:val="28"/>
        </w:rPr>
      </w:pPr>
      <w:bookmarkStart w:id="25" w:name="_Toc92877428"/>
      <w:r>
        <w:rPr>
          <w:color w:val="auto"/>
          <w:sz w:val="28"/>
          <w:szCs w:val="28"/>
        </w:rPr>
        <w:t xml:space="preserve">2 </w:t>
      </w:r>
      <w:r>
        <w:rPr>
          <w:rFonts w:hint="eastAsia"/>
          <w:color w:val="auto"/>
          <w:sz w:val="28"/>
          <w:szCs w:val="28"/>
        </w:rPr>
        <w:t>术语</w:t>
      </w:r>
      <w:bookmarkEnd w:id="17"/>
      <w:bookmarkEnd w:id="18"/>
      <w:bookmarkEnd w:id="19"/>
      <w:bookmarkEnd w:id="20"/>
      <w:bookmarkEnd w:id="21"/>
      <w:bookmarkEnd w:id="22"/>
      <w:bookmarkEnd w:id="23"/>
      <w:bookmarkEnd w:id="24"/>
      <w:bookmarkEnd w:id="25"/>
    </w:p>
    <w:p>
      <w:pPr>
        <w:spacing w:line="360" w:lineRule="auto"/>
        <w:rPr>
          <w:color w:val="auto"/>
          <w:szCs w:val="21"/>
        </w:rPr>
      </w:pPr>
      <w:r>
        <w:rPr>
          <w:color w:val="auto"/>
          <w:szCs w:val="21"/>
        </w:rPr>
        <w:t>2.0.1</w:t>
      </w:r>
      <w:r>
        <w:rPr>
          <w:rFonts w:hint="eastAsia"/>
          <w:color w:val="auto"/>
          <w:szCs w:val="21"/>
        </w:rPr>
        <w:t>城市危险</w:t>
      </w:r>
      <w:r>
        <w:rPr>
          <w:color w:val="auto"/>
          <w:szCs w:val="21"/>
        </w:rPr>
        <w:t>废物municipal hazadous waste</w:t>
      </w:r>
    </w:p>
    <w:p>
      <w:pPr>
        <w:spacing w:line="360" w:lineRule="auto"/>
        <w:ind w:firstLine="480"/>
        <w:rPr>
          <w:color w:val="auto"/>
          <w:szCs w:val="21"/>
        </w:rPr>
      </w:pPr>
      <w:r>
        <w:rPr>
          <w:rFonts w:hint="eastAsia"/>
          <w:color w:val="auto"/>
          <w:szCs w:val="21"/>
        </w:rPr>
        <w:t>城市生产、生活过程中产生的有毒有害危险废物，按照《国家危险废物名录（</w:t>
      </w:r>
      <w:r>
        <w:rPr>
          <w:color w:val="auto"/>
          <w:szCs w:val="21"/>
        </w:rPr>
        <w:t>2021</w:t>
      </w:r>
      <w:r>
        <w:rPr>
          <w:rFonts w:hint="eastAsia"/>
          <w:color w:val="auto"/>
          <w:szCs w:val="21"/>
        </w:rPr>
        <w:t>版）》规定，</w:t>
      </w:r>
      <w:r>
        <w:rPr>
          <w:rFonts w:hint="eastAsia" w:ascii="Arial" w:hAnsi="Arial" w:cs="Arial"/>
          <w:color w:val="auto"/>
          <w:shd w:val="clear" w:color="auto" w:fill="FFFFFF"/>
        </w:rPr>
        <w:t>具有毒性、腐蚀性、易燃性、反应性或者感染性一种或者几种危险特性，或</w:t>
      </w:r>
      <w:r>
        <w:rPr>
          <w:rFonts w:hint="eastAsia" w:ascii="Helvetica" w:hAnsi="Helvetica" w:cs="Helvetica"/>
          <w:color w:val="auto"/>
          <w:szCs w:val="21"/>
          <w:shd w:val="clear" w:color="auto" w:fill="FFFFFF"/>
        </w:rPr>
        <w:t>不排除具有危险特性，可能对环境或者人体健康造成有害影响，需要按照危险废物进行管理</w:t>
      </w:r>
      <w:r>
        <w:rPr>
          <w:rFonts w:hint="eastAsia" w:ascii="Arial" w:hAnsi="Arial" w:cs="Arial"/>
          <w:color w:val="auto"/>
          <w:shd w:val="clear" w:color="auto" w:fill="FFFFFF"/>
        </w:rPr>
        <w:t>的固体或液体废物</w:t>
      </w:r>
      <w:r>
        <w:rPr>
          <w:rFonts w:hint="eastAsia"/>
          <w:color w:val="auto"/>
          <w:szCs w:val="21"/>
        </w:rPr>
        <w:t>。</w:t>
      </w:r>
    </w:p>
    <w:p>
      <w:pPr>
        <w:spacing w:line="360" w:lineRule="auto"/>
        <w:rPr>
          <w:color w:val="auto"/>
          <w:szCs w:val="21"/>
        </w:rPr>
      </w:pPr>
      <w:r>
        <w:rPr>
          <w:rFonts w:hint="eastAsia"/>
          <w:color w:val="auto"/>
          <w:szCs w:val="21"/>
        </w:rPr>
        <w:t>2.0.2  焚烧incineration</w:t>
      </w:r>
    </w:p>
    <w:p>
      <w:pPr>
        <w:spacing w:line="360" w:lineRule="auto"/>
        <w:ind w:firstLine="420"/>
        <w:rPr>
          <w:color w:val="auto"/>
          <w:szCs w:val="21"/>
        </w:rPr>
      </w:pPr>
      <w:r>
        <w:rPr>
          <w:rFonts w:hint="eastAsia"/>
          <w:color w:val="auto"/>
          <w:szCs w:val="21"/>
        </w:rPr>
        <w:t>危险</w:t>
      </w:r>
      <w:r>
        <w:rPr>
          <w:color w:val="auto"/>
          <w:szCs w:val="21"/>
        </w:rPr>
        <w:t>废物在高温</w:t>
      </w:r>
      <w:r>
        <w:rPr>
          <w:rFonts w:hint="eastAsia"/>
          <w:color w:val="auto"/>
          <w:szCs w:val="21"/>
        </w:rPr>
        <w:t>条件</w:t>
      </w:r>
      <w:r>
        <w:rPr>
          <w:color w:val="auto"/>
          <w:szCs w:val="21"/>
        </w:rPr>
        <w:t>下发生燃烧等反应，实现无害化和减量化的过程。</w:t>
      </w:r>
    </w:p>
    <w:p>
      <w:pPr>
        <w:spacing w:line="360" w:lineRule="auto"/>
        <w:rPr>
          <w:color w:val="auto"/>
          <w:szCs w:val="21"/>
        </w:rPr>
      </w:pPr>
      <w:r>
        <w:rPr>
          <w:rFonts w:hint="eastAsia"/>
          <w:color w:val="auto"/>
          <w:szCs w:val="21"/>
        </w:rPr>
        <w:t>2.0.3焚烧设施 incineration facility</w:t>
      </w:r>
    </w:p>
    <w:p>
      <w:pPr>
        <w:spacing w:line="360" w:lineRule="auto"/>
        <w:ind w:firstLine="420"/>
        <w:rPr>
          <w:color w:val="auto"/>
          <w:szCs w:val="21"/>
        </w:rPr>
      </w:pPr>
      <w:r>
        <w:rPr>
          <w:color w:val="auto"/>
          <w:szCs w:val="21"/>
        </w:rPr>
        <w:t>以焚烧方式处置危险废物，达到减少数量、缩小体积、消除其危险特性目的的装置，包括进料装置、焚烧炉、烟气净化装置和控制系统等。</w:t>
      </w:r>
    </w:p>
    <w:p>
      <w:pPr>
        <w:spacing w:line="360" w:lineRule="auto"/>
        <w:rPr>
          <w:color w:val="auto"/>
          <w:szCs w:val="21"/>
        </w:rPr>
      </w:pPr>
      <w:r>
        <w:rPr>
          <w:rFonts w:hint="eastAsia"/>
          <w:color w:val="auto"/>
          <w:szCs w:val="21"/>
        </w:rPr>
        <w:t>2.0.4球团 p</w:t>
      </w:r>
      <w:r>
        <w:rPr>
          <w:color w:val="auto"/>
          <w:szCs w:val="21"/>
        </w:rPr>
        <w:t>ellitizing process</w:t>
      </w:r>
    </w:p>
    <w:p>
      <w:pPr>
        <w:spacing w:line="360" w:lineRule="auto"/>
        <w:ind w:firstLine="420"/>
        <w:rPr>
          <w:color w:val="auto"/>
          <w:szCs w:val="21"/>
        </w:rPr>
      </w:pPr>
      <w:r>
        <w:rPr>
          <w:rFonts w:hint="eastAsia"/>
          <w:color w:val="auto"/>
          <w:szCs w:val="21"/>
        </w:rPr>
        <w:t>指铁矿粉等含铁原料加入适量水分和粘结剂制成粘度均匀、具有足够强度的生球，经干燥、预热后在氧化气氛中焙烧制成球团矿的过程。</w:t>
      </w:r>
    </w:p>
    <w:p>
      <w:pPr>
        <w:spacing w:line="360" w:lineRule="auto"/>
        <w:rPr>
          <w:color w:val="auto"/>
          <w:szCs w:val="21"/>
        </w:rPr>
      </w:pPr>
      <w:r>
        <w:rPr>
          <w:rFonts w:hint="eastAsia"/>
          <w:color w:val="auto"/>
          <w:szCs w:val="21"/>
        </w:rPr>
        <w:t xml:space="preserve">2.0.5烟气净化系统flue gas </w:t>
      </w:r>
      <w:r>
        <w:rPr>
          <w:color w:val="auto"/>
          <w:szCs w:val="21"/>
        </w:rPr>
        <w:t>purification system</w:t>
      </w:r>
    </w:p>
    <w:p>
      <w:pPr>
        <w:spacing w:line="360" w:lineRule="auto"/>
        <w:ind w:firstLine="420"/>
        <w:rPr>
          <w:color w:val="auto"/>
          <w:szCs w:val="21"/>
        </w:rPr>
      </w:pPr>
      <w:r>
        <w:rPr>
          <w:rFonts w:hint="eastAsia"/>
          <w:color w:val="auto"/>
          <w:szCs w:val="21"/>
        </w:rPr>
        <w:t>处理危险废物</w:t>
      </w:r>
      <w:r>
        <w:rPr>
          <w:color w:val="auto"/>
          <w:szCs w:val="21"/>
        </w:rPr>
        <w:t>焚烧工艺烟气的主系统</w:t>
      </w:r>
      <w:r>
        <w:rPr>
          <w:rFonts w:hint="eastAsia"/>
          <w:color w:val="auto"/>
          <w:szCs w:val="21"/>
        </w:rPr>
        <w:t>，</w:t>
      </w:r>
      <w:r>
        <w:rPr>
          <w:color w:val="auto"/>
          <w:szCs w:val="21"/>
        </w:rPr>
        <w:t>包括</w:t>
      </w:r>
      <w:r>
        <w:rPr>
          <w:rFonts w:hint="eastAsia"/>
          <w:color w:val="auto"/>
          <w:szCs w:val="21"/>
        </w:rPr>
        <w:t>烟气脱硫脱硝系统、除尘系统和烟风系统等。</w:t>
      </w:r>
    </w:p>
    <w:p>
      <w:pPr>
        <w:spacing w:line="360" w:lineRule="auto"/>
        <w:rPr>
          <w:color w:val="auto"/>
          <w:szCs w:val="21"/>
        </w:rPr>
      </w:pPr>
      <w:bookmarkStart w:id="26" w:name="_Toc324751822"/>
      <w:bookmarkStart w:id="27" w:name="_Toc301429573"/>
      <w:bookmarkStart w:id="28" w:name="_Toc289243432"/>
      <w:bookmarkStart w:id="29" w:name="_Toc289433270"/>
      <w:bookmarkStart w:id="30" w:name="_Toc304821880"/>
      <w:bookmarkStart w:id="31" w:name="_Toc305076434"/>
      <w:bookmarkStart w:id="32" w:name="_Toc305074564"/>
      <w:r>
        <w:rPr>
          <w:rFonts w:hint="eastAsia"/>
          <w:color w:val="auto"/>
          <w:szCs w:val="21"/>
        </w:rPr>
        <w:t>2.0.6</w:t>
      </w:r>
      <w:r>
        <w:rPr>
          <w:color w:val="auto"/>
          <w:szCs w:val="21"/>
        </w:rPr>
        <w:t xml:space="preserve"> </w:t>
      </w:r>
      <w:r>
        <w:rPr>
          <w:rFonts w:hint="eastAsia"/>
          <w:color w:val="auto"/>
          <w:szCs w:val="21"/>
        </w:rPr>
        <w:t>1</w:t>
      </w:r>
      <w:r>
        <w:rPr>
          <w:color w:val="auto"/>
          <w:szCs w:val="21"/>
        </w:rPr>
        <w:t xml:space="preserve"> </w:t>
      </w:r>
      <w:r>
        <w:rPr>
          <w:rFonts w:hint="eastAsia"/>
          <w:color w:val="auto"/>
          <w:szCs w:val="21"/>
        </w:rPr>
        <w:t>h</w:t>
      </w:r>
      <w:r>
        <w:rPr>
          <w:color w:val="auto"/>
          <w:szCs w:val="21"/>
        </w:rPr>
        <w:t>均值</w:t>
      </w:r>
      <w:r>
        <w:rPr>
          <w:rFonts w:hint="eastAsia"/>
          <w:color w:val="auto"/>
          <w:szCs w:val="21"/>
        </w:rPr>
        <w:t xml:space="preserve"> 1</w:t>
      </w:r>
      <w:r>
        <w:rPr>
          <w:color w:val="auto"/>
          <w:szCs w:val="21"/>
        </w:rPr>
        <w:t>-hour average value</w:t>
      </w:r>
    </w:p>
    <w:p>
      <w:pPr>
        <w:spacing w:line="360" w:lineRule="auto"/>
        <w:ind w:firstLine="420"/>
        <w:rPr>
          <w:color w:val="auto"/>
          <w:szCs w:val="21"/>
        </w:rPr>
      </w:pPr>
      <w:r>
        <w:rPr>
          <w:rFonts w:hint="eastAsia"/>
          <w:color w:val="auto"/>
          <w:szCs w:val="21"/>
        </w:rPr>
        <w:t>任何1</w:t>
      </w:r>
      <w:r>
        <w:rPr>
          <w:color w:val="auto"/>
          <w:szCs w:val="21"/>
        </w:rPr>
        <w:t xml:space="preserve"> h污染物浓度的</w:t>
      </w:r>
      <w:r>
        <w:rPr>
          <w:rFonts w:hint="eastAsia"/>
          <w:color w:val="auto"/>
          <w:szCs w:val="21"/>
        </w:rPr>
        <w:t>算术</w:t>
      </w:r>
      <w:r>
        <w:rPr>
          <w:color w:val="auto"/>
          <w:szCs w:val="21"/>
        </w:rPr>
        <w:t>平均值；或在</w:t>
      </w:r>
      <w:r>
        <w:rPr>
          <w:rFonts w:hint="eastAsia"/>
          <w:color w:val="auto"/>
          <w:szCs w:val="21"/>
        </w:rPr>
        <w:t>1</w:t>
      </w:r>
      <w:r>
        <w:rPr>
          <w:color w:val="auto"/>
          <w:szCs w:val="21"/>
        </w:rPr>
        <w:t xml:space="preserve"> h内，以等时间间隔采集</w:t>
      </w:r>
      <w:r>
        <w:rPr>
          <w:rFonts w:hint="eastAsia"/>
          <w:color w:val="auto"/>
          <w:szCs w:val="21"/>
        </w:rPr>
        <w:t>3</w:t>
      </w:r>
      <w:r>
        <w:rPr>
          <w:color w:val="auto"/>
          <w:szCs w:val="21"/>
        </w:rPr>
        <w:t>~4</w:t>
      </w:r>
      <w:r>
        <w:rPr>
          <w:rFonts w:hint="eastAsia"/>
          <w:color w:val="auto"/>
          <w:szCs w:val="21"/>
        </w:rPr>
        <w:t>个</w:t>
      </w:r>
      <w:r>
        <w:rPr>
          <w:color w:val="auto"/>
          <w:szCs w:val="21"/>
        </w:rPr>
        <w:t>样品</w:t>
      </w:r>
      <w:r>
        <w:rPr>
          <w:rFonts w:hint="eastAsia"/>
          <w:color w:val="auto"/>
          <w:szCs w:val="21"/>
        </w:rPr>
        <w:t>测试值</w:t>
      </w:r>
      <w:r>
        <w:rPr>
          <w:color w:val="auto"/>
          <w:szCs w:val="21"/>
        </w:rPr>
        <w:t>的算术平均值。</w:t>
      </w:r>
    </w:p>
    <w:p>
      <w:pPr>
        <w:spacing w:line="360" w:lineRule="auto"/>
        <w:rPr>
          <w:color w:val="auto"/>
          <w:szCs w:val="21"/>
        </w:rPr>
      </w:pPr>
      <w:r>
        <w:rPr>
          <w:color w:val="auto"/>
          <w:szCs w:val="21"/>
        </w:rPr>
        <w:t>2.0.7 24 h</w:t>
      </w:r>
      <w:r>
        <w:rPr>
          <w:rFonts w:hint="eastAsia"/>
          <w:color w:val="auto"/>
          <w:szCs w:val="21"/>
        </w:rPr>
        <w:t>均值</w:t>
      </w:r>
      <w:r>
        <w:rPr>
          <w:color w:val="auto"/>
          <w:szCs w:val="21"/>
        </w:rPr>
        <w:t xml:space="preserve"> 24-hour average value</w:t>
      </w:r>
    </w:p>
    <w:p>
      <w:pPr>
        <w:spacing w:line="360" w:lineRule="auto"/>
        <w:ind w:firstLine="420" w:firstLineChars="200"/>
        <w:rPr>
          <w:color w:val="auto"/>
          <w:szCs w:val="21"/>
        </w:rPr>
      </w:pPr>
      <w:r>
        <w:rPr>
          <w:rFonts w:hint="eastAsia"/>
          <w:color w:val="auto"/>
          <w:szCs w:val="21"/>
        </w:rPr>
        <w:t>连续</w:t>
      </w:r>
      <w:r>
        <w:rPr>
          <w:color w:val="auto"/>
          <w:szCs w:val="21"/>
        </w:rPr>
        <w:t>24 h</w:t>
      </w:r>
      <w:r>
        <w:rPr>
          <w:rFonts w:hint="eastAsia"/>
          <w:color w:val="auto"/>
          <w:szCs w:val="21"/>
        </w:rPr>
        <w:t>内的</w:t>
      </w:r>
      <w:r>
        <w:rPr>
          <w:color w:val="auto"/>
          <w:szCs w:val="21"/>
        </w:rPr>
        <w:t>1 h</w:t>
      </w:r>
      <w:r>
        <w:rPr>
          <w:rFonts w:hint="eastAsia"/>
          <w:color w:val="auto"/>
          <w:szCs w:val="21"/>
        </w:rPr>
        <w:t>均值的算术平均值。</w:t>
      </w:r>
    </w:p>
    <w:p>
      <w:pPr>
        <w:spacing w:line="360" w:lineRule="auto"/>
        <w:rPr>
          <w:color w:val="auto"/>
          <w:szCs w:val="21"/>
        </w:rPr>
      </w:pPr>
      <w:r>
        <w:rPr>
          <w:rFonts w:hint="eastAsia"/>
          <w:color w:val="auto"/>
          <w:szCs w:val="21"/>
        </w:rPr>
        <w:t>2</w:t>
      </w:r>
      <w:r>
        <w:rPr>
          <w:color w:val="auto"/>
          <w:szCs w:val="21"/>
        </w:rPr>
        <w:t>.0.</w:t>
      </w:r>
      <w:r>
        <w:rPr>
          <w:rFonts w:hint="eastAsia"/>
          <w:color w:val="auto"/>
          <w:szCs w:val="21"/>
        </w:rPr>
        <w:t>8过剩空气</w:t>
      </w:r>
      <w:r>
        <w:rPr>
          <w:color w:val="auto"/>
          <w:szCs w:val="21"/>
        </w:rPr>
        <w:t>系数</w:t>
      </w:r>
      <w:r>
        <w:rPr>
          <w:rFonts w:hint="eastAsia"/>
          <w:color w:val="auto"/>
          <w:szCs w:val="21"/>
        </w:rPr>
        <w:t xml:space="preserve"> </w:t>
      </w:r>
      <w:r>
        <w:rPr>
          <w:color w:val="auto"/>
          <w:szCs w:val="21"/>
        </w:rPr>
        <w:t>excess air coefficient</w:t>
      </w:r>
    </w:p>
    <w:p>
      <w:pPr>
        <w:spacing w:line="360" w:lineRule="auto"/>
        <w:ind w:firstLine="420"/>
        <w:rPr>
          <w:color w:val="auto"/>
          <w:szCs w:val="21"/>
        </w:rPr>
      </w:pPr>
      <w:r>
        <w:rPr>
          <w:rFonts w:hint="eastAsia"/>
          <w:color w:val="auto"/>
          <w:szCs w:val="21"/>
        </w:rPr>
        <w:t>以</w:t>
      </w:r>
      <w:r>
        <w:rPr>
          <w:color w:val="auto"/>
          <w:szCs w:val="21"/>
        </w:rPr>
        <w:t>固废或燃料完全</w:t>
      </w:r>
      <w:r>
        <w:rPr>
          <w:rFonts w:hint="eastAsia"/>
          <w:color w:val="auto"/>
          <w:szCs w:val="21"/>
        </w:rPr>
        <w:t>燃烧</w:t>
      </w:r>
      <w:r>
        <w:rPr>
          <w:color w:val="auto"/>
          <w:szCs w:val="21"/>
        </w:rPr>
        <w:t>所需要的</w:t>
      </w:r>
      <w:r>
        <w:rPr>
          <w:rFonts w:hint="eastAsia"/>
          <w:color w:val="auto"/>
          <w:szCs w:val="21"/>
        </w:rPr>
        <w:t>空气量</w:t>
      </w:r>
      <w:r>
        <w:rPr>
          <w:color w:val="auto"/>
          <w:szCs w:val="21"/>
        </w:rPr>
        <w:t>计</w:t>
      </w:r>
      <w:r>
        <w:rPr>
          <w:rFonts w:hint="eastAsia"/>
          <w:color w:val="auto"/>
          <w:szCs w:val="21"/>
        </w:rPr>
        <w:t>为</w:t>
      </w:r>
      <w:r>
        <w:rPr>
          <w:color w:val="auto"/>
          <w:szCs w:val="21"/>
        </w:rPr>
        <w:t>理论空气量，实际空气量与理论空气量的</w:t>
      </w:r>
      <w:r>
        <w:rPr>
          <w:rFonts w:hint="eastAsia"/>
          <w:color w:val="auto"/>
          <w:szCs w:val="21"/>
        </w:rPr>
        <w:t>比值</w:t>
      </w:r>
      <w:r>
        <w:rPr>
          <w:color w:val="auto"/>
          <w:szCs w:val="21"/>
        </w:rPr>
        <w:t>。</w:t>
      </w:r>
    </w:p>
    <w:p>
      <w:pPr>
        <w:spacing w:line="360" w:lineRule="auto"/>
        <w:rPr>
          <w:color w:val="auto"/>
          <w:szCs w:val="21"/>
        </w:rPr>
      </w:pPr>
      <w:r>
        <w:rPr>
          <w:rFonts w:hint="eastAsia"/>
          <w:color w:val="auto"/>
          <w:szCs w:val="21"/>
        </w:rPr>
        <w:t>2</w:t>
      </w:r>
      <w:r>
        <w:rPr>
          <w:color w:val="auto"/>
          <w:szCs w:val="21"/>
        </w:rPr>
        <w:t>.0.</w:t>
      </w:r>
      <w:r>
        <w:rPr>
          <w:rFonts w:hint="eastAsia"/>
          <w:color w:val="auto"/>
          <w:szCs w:val="21"/>
        </w:rPr>
        <w:t>9焚烧温度</w:t>
      </w:r>
      <w:r>
        <w:rPr>
          <w:color w:val="auto"/>
          <w:szCs w:val="21"/>
        </w:rPr>
        <w:t>incineration temperature</w:t>
      </w:r>
    </w:p>
    <w:p>
      <w:pPr>
        <w:spacing w:line="360" w:lineRule="auto"/>
        <w:ind w:firstLine="420"/>
        <w:rPr>
          <w:color w:val="auto"/>
          <w:szCs w:val="21"/>
        </w:rPr>
      </w:pPr>
      <w:r>
        <w:rPr>
          <w:rFonts w:hint="eastAsia"/>
          <w:color w:val="auto"/>
          <w:szCs w:val="21"/>
        </w:rPr>
        <w:t>指物料在炉膛内燃烧的主燃区温度。</w:t>
      </w:r>
    </w:p>
    <w:p>
      <w:pPr>
        <w:spacing w:line="360" w:lineRule="auto"/>
        <w:rPr>
          <w:color w:val="auto"/>
          <w:szCs w:val="21"/>
        </w:rPr>
      </w:pPr>
      <w:r>
        <w:rPr>
          <w:rFonts w:hint="eastAsia"/>
          <w:color w:val="auto"/>
          <w:szCs w:val="21"/>
        </w:rPr>
        <w:t>2.0.10活性炭法</w:t>
      </w:r>
      <w:r>
        <w:rPr>
          <w:color w:val="auto"/>
          <w:szCs w:val="21"/>
        </w:rPr>
        <w:t>烟气净化工艺</w:t>
      </w:r>
      <w:r>
        <w:rPr>
          <w:rFonts w:hint="eastAsia"/>
          <w:color w:val="auto"/>
          <w:szCs w:val="21"/>
        </w:rPr>
        <w:t xml:space="preserve"> </w:t>
      </w:r>
      <w:r>
        <w:rPr>
          <w:color w:val="auto"/>
          <w:szCs w:val="21"/>
        </w:rPr>
        <w:t>flue gas purification process using activated carbon</w:t>
      </w:r>
    </w:p>
    <w:p>
      <w:pPr>
        <w:spacing w:line="360" w:lineRule="auto"/>
        <w:ind w:firstLine="420"/>
        <w:rPr>
          <w:color w:val="auto"/>
          <w:szCs w:val="21"/>
        </w:rPr>
      </w:pPr>
      <w:r>
        <w:rPr>
          <w:rFonts w:hint="eastAsia"/>
          <w:color w:val="auto"/>
          <w:szCs w:val="21"/>
        </w:rPr>
        <w:t>以具有吸附与催化能力的柱状煤基活性炭为主要吸附材料，具备吸附、再生、输送、副产物资源化利用等主要系统的烟气净化工艺。</w:t>
      </w:r>
    </w:p>
    <w:p>
      <w:pPr>
        <w:spacing w:line="360" w:lineRule="auto"/>
        <w:rPr>
          <w:color w:val="auto"/>
          <w:szCs w:val="21"/>
          <w:shd w:val="clear" w:color="auto" w:fill="FFFFFF"/>
        </w:rPr>
      </w:pPr>
      <w:r>
        <w:rPr>
          <w:color w:val="auto"/>
          <w:szCs w:val="21"/>
          <w:shd w:val="clear" w:color="auto" w:fill="FFFFFF"/>
        </w:rPr>
        <w:t>2.0.</w:t>
      </w:r>
      <w:r>
        <w:rPr>
          <w:rFonts w:hint="eastAsia"/>
          <w:color w:val="auto"/>
          <w:szCs w:val="21"/>
          <w:shd w:val="clear" w:color="auto" w:fill="FFFFFF"/>
        </w:rPr>
        <w:t>11</w:t>
      </w:r>
      <w:r>
        <w:rPr>
          <w:color w:val="auto"/>
          <w:szCs w:val="21"/>
          <w:shd w:val="clear" w:color="auto" w:fill="FFFFFF"/>
        </w:rPr>
        <w:t>二级负荷second order load</w:t>
      </w:r>
    </w:p>
    <w:p>
      <w:pPr>
        <w:spacing w:line="360" w:lineRule="auto"/>
        <w:ind w:firstLine="420"/>
        <w:rPr>
          <w:color w:val="auto"/>
          <w:szCs w:val="21"/>
          <w:shd w:val="clear" w:color="auto" w:fill="FFFFFF"/>
        </w:rPr>
      </w:pPr>
      <w:r>
        <w:rPr>
          <w:color w:val="auto"/>
          <w:szCs w:val="21"/>
          <w:shd w:val="clear" w:color="auto" w:fill="FFFFFF"/>
        </w:rPr>
        <w:t>指中断供电将造成较大的政治影响和较大的经济损失，造成重要用户需要很长时间才能恢复生产。</w:t>
      </w:r>
    </w:p>
    <w:p>
      <w:pPr>
        <w:spacing w:line="360" w:lineRule="auto"/>
        <w:rPr>
          <w:color w:val="auto"/>
          <w:szCs w:val="21"/>
          <w:shd w:val="clear" w:color="auto" w:fill="FFFFFF"/>
        </w:rPr>
      </w:pPr>
      <w:r>
        <w:rPr>
          <w:color w:val="auto"/>
          <w:szCs w:val="21"/>
          <w:shd w:val="clear" w:color="auto" w:fill="FFFFFF"/>
        </w:rPr>
        <w:t>2.0.1</w:t>
      </w:r>
      <w:r>
        <w:rPr>
          <w:rFonts w:hint="eastAsia"/>
          <w:color w:val="auto"/>
          <w:szCs w:val="21"/>
          <w:shd w:val="clear" w:color="auto" w:fill="FFFFFF"/>
        </w:rPr>
        <w:t>2</w:t>
      </w:r>
      <w:r>
        <w:rPr>
          <w:color w:val="auto"/>
          <w:szCs w:val="21"/>
          <w:shd w:val="clear" w:color="auto" w:fill="FFFFFF"/>
        </w:rPr>
        <w:t>三级负荷third order load</w:t>
      </w:r>
    </w:p>
    <w:p>
      <w:pPr>
        <w:spacing w:line="360" w:lineRule="auto"/>
        <w:ind w:firstLine="420"/>
        <w:rPr>
          <w:rFonts w:ascii="Helvetica" w:hAnsi="Helvetica"/>
          <w:color w:val="auto"/>
          <w:szCs w:val="21"/>
          <w:shd w:val="clear" w:color="auto" w:fill="FFFFFF"/>
        </w:rPr>
      </w:pPr>
      <w:r>
        <w:rPr>
          <w:rFonts w:hint="eastAsia" w:ascii="Helvetica" w:hAnsi="Helvetica"/>
          <w:color w:val="auto"/>
          <w:szCs w:val="21"/>
          <w:shd w:val="clear" w:color="auto" w:fill="FFFFFF"/>
        </w:rPr>
        <w:t>不属于一级</w:t>
      </w:r>
      <w:r>
        <w:rPr>
          <w:rFonts w:ascii="Helvetica" w:hAnsi="Helvetica"/>
          <w:color w:val="auto"/>
          <w:szCs w:val="21"/>
          <w:shd w:val="clear" w:color="auto" w:fill="FFFFFF"/>
        </w:rPr>
        <w:t>和二级负荷的，属于三级负荷。</w:t>
      </w:r>
    </w:p>
    <w:p>
      <w:pPr>
        <w:spacing w:line="360" w:lineRule="auto"/>
        <w:ind w:firstLine="420"/>
        <w:rPr>
          <w:color w:val="auto"/>
        </w:rPr>
      </w:pPr>
      <w:r>
        <w:rPr>
          <w:color w:val="auto"/>
        </w:rPr>
        <w:br w:type="page"/>
      </w:r>
    </w:p>
    <w:p>
      <w:pPr>
        <w:pStyle w:val="2"/>
        <w:spacing w:before="120" w:after="120"/>
        <w:jc w:val="center"/>
        <w:rPr>
          <w:color w:val="auto"/>
          <w:sz w:val="28"/>
          <w:szCs w:val="28"/>
        </w:rPr>
      </w:pPr>
      <w:bookmarkStart w:id="33" w:name="_Toc92877429"/>
      <w:r>
        <w:rPr>
          <w:rFonts w:hint="eastAsia"/>
          <w:color w:val="auto"/>
          <w:sz w:val="28"/>
          <w:szCs w:val="28"/>
        </w:rPr>
        <w:t xml:space="preserve">3 </w:t>
      </w:r>
      <w:bookmarkEnd w:id="26"/>
      <w:bookmarkEnd w:id="27"/>
      <w:bookmarkEnd w:id="28"/>
      <w:bookmarkEnd w:id="29"/>
      <w:bookmarkEnd w:id="30"/>
      <w:bookmarkEnd w:id="31"/>
      <w:bookmarkEnd w:id="32"/>
      <w:r>
        <w:rPr>
          <w:rFonts w:hint="eastAsia"/>
          <w:color w:val="auto"/>
          <w:sz w:val="28"/>
          <w:szCs w:val="28"/>
        </w:rPr>
        <w:t>基本规定</w:t>
      </w:r>
      <w:bookmarkEnd w:id="33"/>
    </w:p>
    <w:p>
      <w:pPr>
        <w:spacing w:line="360" w:lineRule="auto"/>
        <w:rPr>
          <w:color w:val="auto"/>
          <w:szCs w:val="21"/>
        </w:rPr>
      </w:pPr>
      <w:r>
        <w:rPr>
          <w:color w:val="auto"/>
          <w:szCs w:val="21"/>
        </w:rPr>
        <w:t xml:space="preserve">3.0.1 </w:t>
      </w:r>
      <w:r>
        <w:rPr>
          <w:rFonts w:hint="eastAsia"/>
          <w:color w:val="auto"/>
          <w:szCs w:val="21"/>
        </w:rPr>
        <w:t>钢铁厂危险废物</w:t>
      </w:r>
      <w:r>
        <w:rPr>
          <w:color w:val="auto"/>
          <w:szCs w:val="21"/>
        </w:rPr>
        <w:t>焚烧工程设计应</w:t>
      </w:r>
      <w:r>
        <w:rPr>
          <w:rFonts w:hint="eastAsia"/>
          <w:color w:val="auto"/>
          <w:szCs w:val="21"/>
        </w:rPr>
        <w:t>具备</w:t>
      </w:r>
      <w:r>
        <w:rPr>
          <w:color w:val="auto"/>
          <w:szCs w:val="21"/>
        </w:rPr>
        <w:t>设计依据和设计基础资料。</w:t>
      </w:r>
    </w:p>
    <w:p>
      <w:pPr>
        <w:spacing w:line="360" w:lineRule="auto"/>
        <w:rPr>
          <w:color w:val="auto"/>
          <w:szCs w:val="21"/>
        </w:rPr>
      </w:pPr>
      <w:r>
        <w:rPr>
          <w:color w:val="auto"/>
          <w:szCs w:val="21"/>
        </w:rPr>
        <w:t xml:space="preserve">3.0.2 </w:t>
      </w:r>
      <w:r>
        <w:rPr>
          <w:rFonts w:hint="eastAsia"/>
          <w:color w:val="auto"/>
          <w:szCs w:val="21"/>
        </w:rPr>
        <w:t>钢铁厂危险废物焚烧</w:t>
      </w:r>
      <w:r>
        <w:rPr>
          <w:color w:val="auto"/>
          <w:szCs w:val="21"/>
        </w:rPr>
        <w:t>工程水、电、气和蒸汽等辅助介质宜由</w:t>
      </w:r>
      <w:r>
        <w:rPr>
          <w:rFonts w:hint="eastAsia"/>
          <w:color w:val="auto"/>
          <w:szCs w:val="21"/>
        </w:rPr>
        <w:t>钢铁</w:t>
      </w:r>
      <w:r>
        <w:rPr>
          <w:color w:val="auto"/>
          <w:szCs w:val="21"/>
        </w:rPr>
        <w:t>厂主体</w:t>
      </w:r>
      <w:r>
        <w:rPr>
          <w:rFonts w:hint="eastAsia"/>
          <w:color w:val="auto"/>
          <w:szCs w:val="21"/>
        </w:rPr>
        <w:t>工艺</w:t>
      </w:r>
      <w:r>
        <w:rPr>
          <w:color w:val="auto"/>
          <w:szCs w:val="21"/>
        </w:rPr>
        <w:t>流程统一提供。</w:t>
      </w:r>
      <w:r>
        <w:rPr>
          <w:rFonts w:hint="eastAsia"/>
          <w:color w:val="auto"/>
          <w:szCs w:val="21"/>
        </w:rPr>
        <w:t>危险固废、</w:t>
      </w:r>
      <w:r>
        <w:rPr>
          <w:color w:val="auto"/>
          <w:szCs w:val="21"/>
        </w:rPr>
        <w:t>液废</w:t>
      </w:r>
      <w:r>
        <w:rPr>
          <w:rFonts w:hint="eastAsia"/>
          <w:color w:val="auto"/>
          <w:szCs w:val="21"/>
        </w:rPr>
        <w:t>及</w:t>
      </w:r>
      <w:r>
        <w:rPr>
          <w:color w:val="auto"/>
          <w:szCs w:val="21"/>
        </w:rPr>
        <w:t>燃气等主要</w:t>
      </w:r>
      <w:r>
        <w:rPr>
          <w:rFonts w:hint="eastAsia"/>
          <w:color w:val="auto"/>
          <w:szCs w:val="21"/>
        </w:rPr>
        <w:t>原料、燃料</w:t>
      </w:r>
      <w:r>
        <w:rPr>
          <w:color w:val="auto"/>
          <w:szCs w:val="21"/>
        </w:rPr>
        <w:t>应设专用储存和计量装置。</w:t>
      </w:r>
    </w:p>
    <w:p>
      <w:pPr>
        <w:spacing w:line="360" w:lineRule="auto"/>
        <w:rPr>
          <w:color w:val="auto"/>
          <w:szCs w:val="21"/>
        </w:rPr>
      </w:pPr>
      <w:r>
        <w:rPr>
          <w:color w:val="auto"/>
          <w:szCs w:val="21"/>
        </w:rPr>
        <w:t xml:space="preserve">3.0.3 </w:t>
      </w:r>
      <w:r>
        <w:rPr>
          <w:rFonts w:hint="eastAsia"/>
          <w:color w:val="auto"/>
          <w:szCs w:val="21"/>
        </w:rPr>
        <w:t>钢铁厂危险废物</w:t>
      </w:r>
      <w:r>
        <w:rPr>
          <w:color w:val="auto"/>
          <w:szCs w:val="21"/>
        </w:rPr>
        <w:t>焚烧工程</w:t>
      </w:r>
      <w:r>
        <w:rPr>
          <w:rFonts w:hint="eastAsia"/>
          <w:color w:val="auto"/>
          <w:szCs w:val="21"/>
        </w:rPr>
        <w:t>的</w:t>
      </w:r>
      <w:r>
        <w:rPr>
          <w:color w:val="auto"/>
          <w:szCs w:val="21"/>
        </w:rPr>
        <w:t>工艺布置应根据</w:t>
      </w:r>
      <w:r>
        <w:rPr>
          <w:rFonts w:hint="eastAsia"/>
          <w:color w:val="auto"/>
          <w:szCs w:val="21"/>
        </w:rPr>
        <w:t>原料</w:t>
      </w:r>
      <w:r>
        <w:rPr>
          <w:color w:val="auto"/>
          <w:szCs w:val="21"/>
        </w:rPr>
        <w:t>预处理、烟气及废水排放要求、副产物</w:t>
      </w:r>
      <w:r>
        <w:rPr>
          <w:rFonts w:hint="eastAsia"/>
          <w:color w:val="auto"/>
          <w:szCs w:val="21"/>
        </w:rPr>
        <w:t>协同</w:t>
      </w:r>
      <w:r>
        <w:rPr>
          <w:color w:val="auto"/>
          <w:szCs w:val="21"/>
        </w:rPr>
        <w:t>处置方式等确定，流程应顺畅、紧凑，辅助系统应联合建设，并应根据规划需要预留</w:t>
      </w:r>
      <w:r>
        <w:rPr>
          <w:rFonts w:hint="eastAsia"/>
          <w:color w:val="auto"/>
          <w:szCs w:val="21"/>
        </w:rPr>
        <w:t>负荷扩容</w:t>
      </w:r>
      <w:r>
        <w:rPr>
          <w:color w:val="auto"/>
          <w:szCs w:val="21"/>
        </w:rPr>
        <w:t>空间。</w:t>
      </w:r>
    </w:p>
    <w:p>
      <w:pPr>
        <w:spacing w:line="360" w:lineRule="auto"/>
        <w:rPr>
          <w:rFonts w:ascii="Arial" w:hAnsi="Arial"/>
          <w:color w:val="auto"/>
          <w:szCs w:val="21"/>
        </w:rPr>
      </w:pPr>
      <w:r>
        <w:rPr>
          <w:color w:val="auto"/>
          <w:szCs w:val="21"/>
        </w:rPr>
        <w:t xml:space="preserve">3.0.4 </w:t>
      </w:r>
      <w:r>
        <w:rPr>
          <w:rFonts w:hint="eastAsia"/>
          <w:color w:val="auto"/>
          <w:szCs w:val="21"/>
        </w:rPr>
        <w:t>钢铁厂危险废物</w:t>
      </w:r>
      <w:r>
        <w:rPr>
          <w:color w:val="auto"/>
          <w:szCs w:val="21"/>
        </w:rPr>
        <w:t>焚烧系统应采用连续工作制，并应</w:t>
      </w:r>
      <w:r>
        <w:rPr>
          <w:rFonts w:hint="eastAsia"/>
          <w:color w:val="auto"/>
          <w:szCs w:val="21"/>
        </w:rPr>
        <w:t>在</w:t>
      </w:r>
      <w:r>
        <w:rPr>
          <w:color w:val="auto"/>
          <w:szCs w:val="21"/>
        </w:rPr>
        <w:t>烧结</w:t>
      </w:r>
      <w:r>
        <w:rPr>
          <w:rFonts w:hint="eastAsia"/>
          <w:color w:val="auto"/>
          <w:szCs w:val="21"/>
        </w:rPr>
        <w:t>或</w:t>
      </w:r>
      <w:r>
        <w:rPr>
          <w:color w:val="auto"/>
          <w:szCs w:val="21"/>
        </w:rPr>
        <w:t>球团系</w:t>
      </w:r>
      <w:r>
        <w:rPr>
          <w:rFonts w:hint="eastAsia" w:ascii="Arial" w:hAnsi="Arial"/>
          <w:color w:val="auto"/>
          <w:szCs w:val="21"/>
        </w:rPr>
        <w:t>统正常</w:t>
      </w:r>
      <w:r>
        <w:rPr>
          <w:rFonts w:ascii="Arial" w:hAnsi="Arial"/>
          <w:color w:val="auto"/>
          <w:szCs w:val="21"/>
        </w:rPr>
        <w:t>运行之后</w:t>
      </w:r>
      <w:r>
        <w:rPr>
          <w:rFonts w:hint="eastAsia" w:ascii="Arial" w:hAnsi="Arial"/>
          <w:color w:val="auto"/>
          <w:szCs w:val="21"/>
        </w:rPr>
        <w:t>再</w:t>
      </w:r>
      <w:r>
        <w:rPr>
          <w:rFonts w:ascii="Arial" w:hAnsi="Arial"/>
          <w:color w:val="auto"/>
          <w:szCs w:val="21"/>
        </w:rPr>
        <w:t>启动运行</w:t>
      </w:r>
      <w:r>
        <w:rPr>
          <w:rFonts w:hint="eastAsia" w:ascii="Arial" w:hAnsi="Arial"/>
          <w:color w:val="auto"/>
          <w:szCs w:val="21"/>
        </w:rPr>
        <w:t>。</w:t>
      </w:r>
    </w:p>
    <w:p>
      <w:pPr>
        <w:spacing w:line="360" w:lineRule="auto"/>
        <w:rPr>
          <w:color w:val="auto"/>
          <w:szCs w:val="21"/>
        </w:rPr>
      </w:pPr>
    </w:p>
    <w:p>
      <w:pPr>
        <w:spacing w:line="360" w:lineRule="auto"/>
        <w:rPr>
          <w:color w:val="auto"/>
          <w:szCs w:val="21"/>
        </w:rPr>
      </w:pPr>
    </w:p>
    <w:p>
      <w:pPr>
        <w:spacing w:line="360" w:lineRule="auto"/>
        <w:rPr>
          <w:color w:val="auto"/>
          <w:szCs w:val="21"/>
        </w:rPr>
        <w:sectPr>
          <w:footerReference r:id="rId18" w:type="default"/>
          <w:footerReference r:id="rId19" w:type="even"/>
          <w:pgSz w:w="11906" w:h="16838"/>
          <w:pgMar w:top="1440" w:right="1800" w:bottom="1440" w:left="1800" w:header="851" w:footer="992" w:gutter="0"/>
          <w:cols w:space="720" w:num="1"/>
          <w:docGrid w:type="lines" w:linePitch="312" w:charSpace="0"/>
        </w:sectPr>
      </w:pPr>
    </w:p>
    <w:bookmarkEnd w:id="2"/>
    <w:bookmarkEnd w:id="3"/>
    <w:bookmarkEnd w:id="4"/>
    <w:bookmarkEnd w:id="5"/>
    <w:bookmarkEnd w:id="6"/>
    <w:bookmarkEnd w:id="7"/>
    <w:p>
      <w:pPr>
        <w:pStyle w:val="2"/>
        <w:spacing w:before="120" w:after="120"/>
        <w:jc w:val="center"/>
        <w:rPr>
          <w:color w:val="auto"/>
          <w:sz w:val="28"/>
          <w:szCs w:val="28"/>
        </w:rPr>
      </w:pPr>
      <w:bookmarkStart w:id="34" w:name="_Toc92877430"/>
      <w:r>
        <w:rPr>
          <w:rFonts w:hint="eastAsia"/>
          <w:color w:val="auto"/>
          <w:sz w:val="28"/>
          <w:szCs w:val="28"/>
        </w:rPr>
        <w:t>4 焚烧工程</w:t>
      </w:r>
      <w:r>
        <w:rPr>
          <w:color w:val="auto"/>
          <w:sz w:val="28"/>
          <w:szCs w:val="28"/>
        </w:rPr>
        <w:t>总体设计</w:t>
      </w:r>
      <w:bookmarkEnd w:id="34"/>
    </w:p>
    <w:p>
      <w:pPr>
        <w:pStyle w:val="3"/>
        <w:spacing w:before="0" w:after="0" w:line="360" w:lineRule="auto"/>
        <w:jc w:val="center"/>
        <w:rPr>
          <w:rFonts w:asciiTheme="minorEastAsia" w:hAnsiTheme="minorEastAsia" w:eastAsiaTheme="minorEastAsia"/>
          <w:color w:val="auto"/>
          <w:sz w:val="21"/>
          <w:szCs w:val="21"/>
        </w:rPr>
      </w:pPr>
      <w:bookmarkStart w:id="35" w:name="_Toc92877431"/>
      <w:r>
        <w:rPr>
          <w:rFonts w:hint="eastAsia" w:asciiTheme="minorEastAsia" w:hAnsiTheme="minorEastAsia" w:eastAsiaTheme="minorEastAsia"/>
          <w:color w:val="auto"/>
          <w:sz w:val="21"/>
          <w:szCs w:val="21"/>
        </w:rPr>
        <w:t>4.1 建设规模</w:t>
      </w:r>
      <w:bookmarkEnd w:id="35"/>
    </w:p>
    <w:p>
      <w:pPr>
        <w:spacing w:line="360" w:lineRule="auto"/>
        <w:rPr>
          <w:color w:val="auto"/>
          <w:szCs w:val="21"/>
        </w:rPr>
      </w:pPr>
      <w:r>
        <w:rPr>
          <w:color w:val="auto"/>
          <w:szCs w:val="21"/>
        </w:rPr>
        <w:t xml:space="preserve">4.1.1 </w:t>
      </w:r>
      <w:r>
        <w:rPr>
          <w:rFonts w:hint="eastAsia"/>
          <w:color w:val="auto"/>
          <w:szCs w:val="21"/>
        </w:rPr>
        <w:t>钢铁厂危险废物焚烧工程建设规模的</w:t>
      </w:r>
      <w:r>
        <w:rPr>
          <w:color w:val="auto"/>
          <w:szCs w:val="21"/>
        </w:rPr>
        <w:t>确定</w:t>
      </w:r>
      <w:r>
        <w:rPr>
          <w:rFonts w:hint="eastAsia"/>
          <w:color w:val="auto"/>
          <w:szCs w:val="21"/>
        </w:rPr>
        <w:t>应以钢铁厂内危险废物的产生量为依据，并根据经济</w:t>
      </w:r>
      <w:r>
        <w:rPr>
          <w:color w:val="auto"/>
          <w:szCs w:val="21"/>
        </w:rPr>
        <w:t>社会发展考虑</w:t>
      </w:r>
      <w:r>
        <w:rPr>
          <w:rFonts w:hint="eastAsia"/>
          <w:color w:val="auto"/>
          <w:szCs w:val="21"/>
        </w:rPr>
        <w:t>以钢铁厂为中心辐射一定半径范围内的钢铁厂外城市危险</w:t>
      </w:r>
      <w:r>
        <w:rPr>
          <w:color w:val="auto"/>
          <w:szCs w:val="21"/>
        </w:rPr>
        <w:t>废物</w:t>
      </w:r>
      <w:r>
        <w:rPr>
          <w:rFonts w:hint="eastAsia"/>
          <w:color w:val="auto"/>
          <w:szCs w:val="21"/>
        </w:rPr>
        <w:t>产生量。同时</w:t>
      </w:r>
      <w:r>
        <w:rPr>
          <w:color w:val="auto"/>
          <w:szCs w:val="21"/>
        </w:rPr>
        <w:t>应</w:t>
      </w:r>
      <w:r>
        <w:rPr>
          <w:rFonts w:hint="eastAsia"/>
          <w:color w:val="auto"/>
          <w:szCs w:val="21"/>
        </w:rPr>
        <w:t>考虑</w:t>
      </w:r>
      <w:r>
        <w:rPr>
          <w:color w:val="auto"/>
          <w:szCs w:val="21"/>
        </w:rPr>
        <w:t>烧结</w:t>
      </w:r>
      <w:r>
        <w:rPr>
          <w:rFonts w:hint="eastAsia"/>
          <w:color w:val="auto"/>
          <w:szCs w:val="21"/>
        </w:rPr>
        <w:t>或</w:t>
      </w:r>
      <w:r>
        <w:rPr>
          <w:color w:val="auto"/>
          <w:szCs w:val="21"/>
        </w:rPr>
        <w:t>球团生产规模、原料品质波动、环保要求和富余能力</w:t>
      </w:r>
      <w:r>
        <w:rPr>
          <w:rFonts w:hint="eastAsia"/>
          <w:color w:val="auto"/>
          <w:szCs w:val="21"/>
        </w:rPr>
        <w:t>，最大</w:t>
      </w:r>
      <w:r>
        <w:rPr>
          <w:color w:val="auto"/>
          <w:szCs w:val="21"/>
        </w:rPr>
        <w:t>焚烧规模所产生的焚烧渣</w:t>
      </w:r>
      <w:r>
        <w:rPr>
          <w:rFonts w:hint="eastAsia"/>
          <w:color w:val="auto"/>
          <w:szCs w:val="21"/>
        </w:rPr>
        <w:t>产量</w:t>
      </w:r>
      <w:r>
        <w:rPr>
          <w:color w:val="auto"/>
          <w:szCs w:val="21"/>
        </w:rPr>
        <w:t>应</w:t>
      </w:r>
      <w:r>
        <w:rPr>
          <w:rFonts w:hint="eastAsia"/>
          <w:color w:val="auto"/>
          <w:szCs w:val="21"/>
        </w:rPr>
        <w:t>不</w:t>
      </w:r>
      <w:r>
        <w:rPr>
          <w:color w:val="auto"/>
          <w:szCs w:val="21"/>
        </w:rPr>
        <w:t>大于</w:t>
      </w:r>
      <w:r>
        <w:rPr>
          <w:rFonts w:hint="eastAsia"/>
          <w:color w:val="auto"/>
          <w:szCs w:val="21"/>
        </w:rPr>
        <w:t>烧结可</w:t>
      </w:r>
      <w:r>
        <w:rPr>
          <w:color w:val="auto"/>
          <w:szCs w:val="21"/>
        </w:rPr>
        <w:t>协同处置的数量。</w:t>
      </w:r>
    </w:p>
    <w:p>
      <w:pPr>
        <w:spacing w:line="360" w:lineRule="auto"/>
        <w:rPr>
          <w:color w:val="auto"/>
          <w:szCs w:val="21"/>
        </w:rPr>
      </w:pPr>
      <w:r>
        <w:rPr>
          <w:rFonts w:hint="eastAsia"/>
          <w:color w:val="auto"/>
          <w:szCs w:val="21"/>
        </w:rPr>
        <w:t>4.1.</w:t>
      </w:r>
      <w:r>
        <w:rPr>
          <w:color w:val="auto"/>
          <w:szCs w:val="21"/>
        </w:rPr>
        <w:t>2</w:t>
      </w:r>
      <w:r>
        <w:rPr>
          <w:rFonts w:hint="eastAsia"/>
          <w:color w:val="auto"/>
          <w:szCs w:val="21"/>
        </w:rPr>
        <w:t xml:space="preserve"> 危险废物焚烧处置工程建设内容应包括：危险废物进厂分析</w:t>
      </w:r>
      <w:r>
        <w:rPr>
          <w:color w:val="auto"/>
          <w:szCs w:val="21"/>
        </w:rPr>
        <w:t>与</w:t>
      </w:r>
      <w:r>
        <w:rPr>
          <w:rFonts w:hint="eastAsia"/>
          <w:color w:val="auto"/>
          <w:szCs w:val="21"/>
        </w:rPr>
        <w:t>接收系统、贮存与输送系统、预处理</w:t>
      </w:r>
      <w:r>
        <w:rPr>
          <w:color w:val="auto"/>
          <w:szCs w:val="21"/>
        </w:rPr>
        <w:t>及进料系统、</w:t>
      </w:r>
      <w:r>
        <w:rPr>
          <w:rFonts w:hint="eastAsia"/>
          <w:color w:val="auto"/>
          <w:szCs w:val="21"/>
        </w:rPr>
        <w:t>焚烧系统、余热利用系统、烟气净化系统、残渣处理系统、自动控制及</w:t>
      </w:r>
      <w:r>
        <w:rPr>
          <w:color w:val="auto"/>
          <w:szCs w:val="21"/>
        </w:rPr>
        <w:t>在线</w:t>
      </w:r>
      <w:r>
        <w:rPr>
          <w:rFonts w:hint="eastAsia"/>
          <w:color w:val="auto"/>
          <w:szCs w:val="21"/>
        </w:rPr>
        <w:t>监测系统、电气系统，以及燃料供应、压缩空气供应、供配电、给排水、污水处理、消防、通信、暖通空调、机械维修、车辆冲洗等设施，设计</w:t>
      </w:r>
      <w:r>
        <w:rPr>
          <w:color w:val="auto"/>
          <w:szCs w:val="21"/>
        </w:rPr>
        <w:t>时</w:t>
      </w:r>
      <w:r>
        <w:rPr>
          <w:rFonts w:hint="eastAsia"/>
          <w:color w:val="auto"/>
          <w:szCs w:val="21"/>
        </w:rPr>
        <w:t>宜利用钢铁厂现有设施。</w:t>
      </w:r>
    </w:p>
    <w:p>
      <w:pPr>
        <w:pStyle w:val="3"/>
        <w:spacing w:before="0" w:after="0" w:line="360" w:lineRule="auto"/>
        <w:jc w:val="center"/>
        <w:rPr>
          <w:rFonts w:asciiTheme="minorEastAsia" w:hAnsiTheme="minorEastAsia" w:eastAsiaTheme="minorEastAsia"/>
          <w:color w:val="auto"/>
          <w:sz w:val="21"/>
          <w:szCs w:val="21"/>
        </w:rPr>
      </w:pPr>
      <w:bookmarkStart w:id="36" w:name="_Toc92877432"/>
      <w:r>
        <w:rPr>
          <w:rFonts w:asciiTheme="minorEastAsia" w:hAnsiTheme="minorEastAsia" w:eastAsiaTheme="minorEastAsia"/>
          <w:color w:val="auto"/>
          <w:sz w:val="21"/>
          <w:szCs w:val="21"/>
        </w:rPr>
        <w:t xml:space="preserve">4.2 </w:t>
      </w:r>
      <w:r>
        <w:rPr>
          <w:rFonts w:hint="eastAsia" w:asciiTheme="minorEastAsia" w:hAnsiTheme="minorEastAsia" w:eastAsiaTheme="minorEastAsia"/>
          <w:color w:val="auto"/>
          <w:sz w:val="21"/>
          <w:szCs w:val="21"/>
        </w:rPr>
        <w:t>厂址选择</w:t>
      </w:r>
      <w:bookmarkEnd w:id="36"/>
    </w:p>
    <w:p>
      <w:pPr>
        <w:spacing w:line="360" w:lineRule="auto"/>
        <w:rPr>
          <w:color w:val="auto"/>
          <w:szCs w:val="21"/>
        </w:rPr>
      </w:pPr>
      <w:r>
        <w:rPr>
          <w:rFonts w:hint="eastAsia"/>
          <w:color w:val="auto"/>
          <w:szCs w:val="21"/>
        </w:rPr>
        <w:t>4.2.1厂区</w:t>
      </w:r>
      <w:r>
        <w:rPr>
          <w:color w:val="auto"/>
          <w:szCs w:val="21"/>
        </w:rPr>
        <w:t>选址</w:t>
      </w:r>
      <w:r>
        <w:rPr>
          <w:rFonts w:hint="eastAsia"/>
          <w:color w:val="auto"/>
          <w:szCs w:val="21"/>
        </w:rPr>
        <w:t>应</w:t>
      </w:r>
      <w:r>
        <w:rPr>
          <w:color w:val="auto"/>
          <w:szCs w:val="21"/>
        </w:rPr>
        <w:t>符合当地城乡总体规划和环境卫生专业规划</w:t>
      </w:r>
      <w:r>
        <w:rPr>
          <w:rFonts w:hint="eastAsia"/>
          <w:color w:val="auto"/>
          <w:szCs w:val="21"/>
        </w:rPr>
        <w:t>的</w:t>
      </w:r>
      <w:r>
        <w:rPr>
          <w:color w:val="auto"/>
          <w:szCs w:val="21"/>
        </w:rPr>
        <w:t>要求</w:t>
      </w:r>
      <w:r>
        <w:rPr>
          <w:rFonts w:hint="eastAsia"/>
          <w:color w:val="auto"/>
          <w:szCs w:val="21"/>
        </w:rPr>
        <w:t>，并应通过环境影响和环境风险评价</w:t>
      </w:r>
      <w:r>
        <w:rPr>
          <w:color w:val="auto"/>
          <w:szCs w:val="21"/>
        </w:rPr>
        <w:t>。</w:t>
      </w:r>
    </w:p>
    <w:p>
      <w:pPr>
        <w:spacing w:line="360" w:lineRule="auto"/>
        <w:rPr>
          <w:color w:val="auto"/>
          <w:szCs w:val="21"/>
        </w:rPr>
      </w:pPr>
      <w:r>
        <w:rPr>
          <w:rFonts w:hint="eastAsia"/>
          <w:color w:val="auto"/>
          <w:szCs w:val="21"/>
        </w:rPr>
        <w:t>4.2.2焚烧工程</w:t>
      </w:r>
      <w:r>
        <w:rPr>
          <w:color w:val="auto"/>
          <w:szCs w:val="21"/>
        </w:rPr>
        <w:t>选址应满足</w:t>
      </w:r>
      <w:r>
        <w:rPr>
          <w:rFonts w:hint="eastAsia"/>
          <w:color w:val="auto"/>
          <w:szCs w:val="21"/>
        </w:rPr>
        <w:t>以下</w:t>
      </w:r>
      <w:r>
        <w:rPr>
          <w:color w:val="auto"/>
          <w:szCs w:val="21"/>
        </w:rPr>
        <w:t>要求：</w:t>
      </w:r>
    </w:p>
    <w:p>
      <w:pPr>
        <w:spacing w:line="360" w:lineRule="auto"/>
        <w:rPr>
          <w:color w:val="auto"/>
          <w:szCs w:val="21"/>
        </w:rPr>
      </w:pPr>
      <w:r>
        <w:rPr>
          <w:rFonts w:hint="eastAsia"/>
          <w:color w:val="auto"/>
          <w:szCs w:val="21"/>
        </w:rPr>
        <w:t xml:space="preserve">   </w:t>
      </w:r>
      <w:r>
        <w:rPr>
          <w:color w:val="auto"/>
          <w:szCs w:val="21"/>
        </w:rPr>
        <w:t xml:space="preserve"> 1</w:t>
      </w:r>
      <w:r>
        <w:rPr>
          <w:rFonts w:hint="eastAsia"/>
          <w:color w:val="auto"/>
          <w:szCs w:val="21"/>
        </w:rPr>
        <w:t xml:space="preserve"> 应交通便利，</w:t>
      </w:r>
      <w:r>
        <w:rPr>
          <w:color w:val="auto"/>
          <w:szCs w:val="21"/>
        </w:rPr>
        <w:t>并</w:t>
      </w:r>
      <w:r>
        <w:rPr>
          <w:rFonts w:hint="eastAsia"/>
          <w:color w:val="auto"/>
          <w:szCs w:val="21"/>
        </w:rPr>
        <w:t>应</w:t>
      </w:r>
      <w:r>
        <w:rPr>
          <w:color w:val="auto"/>
          <w:szCs w:val="21"/>
        </w:rPr>
        <w:t>综合考虑危险废物焚烧</w:t>
      </w:r>
      <w:r>
        <w:rPr>
          <w:rFonts w:hint="eastAsia"/>
          <w:color w:val="auto"/>
          <w:szCs w:val="21"/>
        </w:rPr>
        <w:t>工程</w:t>
      </w:r>
      <w:r>
        <w:rPr>
          <w:color w:val="auto"/>
          <w:szCs w:val="21"/>
        </w:rPr>
        <w:t>服务区域</w:t>
      </w:r>
      <w:r>
        <w:rPr>
          <w:rFonts w:hint="eastAsia"/>
          <w:color w:val="auto"/>
          <w:szCs w:val="21"/>
        </w:rPr>
        <w:t>的危险废物</w:t>
      </w:r>
      <w:r>
        <w:rPr>
          <w:color w:val="auto"/>
          <w:szCs w:val="21"/>
        </w:rPr>
        <w:t>产生量、运输距离</w:t>
      </w:r>
      <w:r>
        <w:rPr>
          <w:rFonts w:hint="eastAsia"/>
          <w:color w:val="auto"/>
          <w:szCs w:val="21"/>
        </w:rPr>
        <w:t>等</w:t>
      </w:r>
      <w:r>
        <w:rPr>
          <w:color w:val="auto"/>
          <w:szCs w:val="21"/>
        </w:rPr>
        <w:t>因素</w:t>
      </w:r>
      <w:r>
        <w:rPr>
          <w:rFonts w:hint="eastAsia"/>
          <w:color w:val="auto"/>
          <w:szCs w:val="21"/>
        </w:rPr>
        <w:t>；</w:t>
      </w:r>
    </w:p>
    <w:p>
      <w:pPr>
        <w:spacing w:line="360" w:lineRule="auto"/>
        <w:ind w:firstLine="420"/>
        <w:rPr>
          <w:color w:val="auto"/>
          <w:szCs w:val="21"/>
        </w:rPr>
      </w:pPr>
      <w:r>
        <w:rPr>
          <w:rFonts w:hint="eastAsia"/>
          <w:color w:val="auto"/>
          <w:szCs w:val="21"/>
        </w:rPr>
        <w:t>2</w:t>
      </w:r>
      <w:r>
        <w:rPr>
          <w:color w:val="auto"/>
          <w:szCs w:val="21"/>
        </w:rPr>
        <w:t xml:space="preserve"> </w:t>
      </w:r>
      <w:r>
        <w:rPr>
          <w:rFonts w:hint="eastAsia"/>
          <w:color w:val="auto"/>
          <w:szCs w:val="21"/>
        </w:rPr>
        <w:t>焚烧工程内危险废物处理设施距离主要居民区以及学校、医院等公共设施的距离</w:t>
      </w:r>
      <w:r>
        <w:rPr>
          <w:rFonts w:hint="eastAsia"/>
          <w:color w:val="auto"/>
          <w:szCs w:val="21"/>
        </w:rPr>
        <w:t>不应</w:t>
      </w:r>
      <w:r>
        <w:rPr>
          <w:rFonts w:hint="eastAsia"/>
          <w:color w:val="auto"/>
          <w:szCs w:val="21"/>
        </w:rPr>
        <w:t>小于800 米；</w:t>
      </w:r>
    </w:p>
    <w:p>
      <w:pPr>
        <w:spacing w:line="360" w:lineRule="auto"/>
        <w:ind w:firstLine="420"/>
        <w:rPr>
          <w:color w:val="auto"/>
          <w:szCs w:val="21"/>
        </w:rPr>
      </w:pPr>
      <w:r>
        <w:rPr>
          <w:rFonts w:hint="eastAsia"/>
          <w:color w:val="auto"/>
          <w:szCs w:val="21"/>
        </w:rPr>
        <w:t>3</w:t>
      </w:r>
      <w:r>
        <w:rPr>
          <w:color w:val="auto"/>
          <w:szCs w:val="21"/>
        </w:rPr>
        <w:t xml:space="preserve"> </w:t>
      </w:r>
      <w:r>
        <w:rPr>
          <w:rFonts w:hint="eastAsia"/>
          <w:color w:val="auto"/>
          <w:szCs w:val="21"/>
        </w:rPr>
        <w:t>应具备满足工程建设要求的工程地质条件和水文地质条件。不应建在受洪水、潮水或内涝威胁的地区；</w:t>
      </w:r>
      <w:r>
        <w:rPr>
          <w:rFonts w:hint="eastAsia"/>
          <w:color w:val="auto"/>
          <w:szCs w:val="21"/>
        </w:rPr>
        <w:t>当</w:t>
      </w:r>
      <w:r>
        <w:rPr>
          <w:rFonts w:hint="eastAsia"/>
          <w:color w:val="auto"/>
          <w:szCs w:val="21"/>
        </w:rPr>
        <w:t>受条件限制必须建在上述地区时，应具备抵御</w:t>
      </w:r>
      <w:r>
        <w:rPr>
          <w:color w:val="auto"/>
          <w:szCs w:val="21"/>
        </w:rPr>
        <w:t xml:space="preserve">100 </w:t>
      </w:r>
      <w:r>
        <w:rPr>
          <w:rFonts w:hint="eastAsia"/>
          <w:color w:val="auto"/>
          <w:szCs w:val="21"/>
        </w:rPr>
        <w:t>年一遇洪水的防洪、排涝措施；</w:t>
      </w:r>
    </w:p>
    <w:p>
      <w:pPr>
        <w:spacing w:line="360" w:lineRule="auto"/>
        <w:ind w:firstLine="420"/>
        <w:rPr>
          <w:color w:val="auto"/>
          <w:szCs w:val="21"/>
        </w:rPr>
      </w:pPr>
      <w:r>
        <w:rPr>
          <w:rFonts w:hint="eastAsia"/>
          <w:color w:val="auto"/>
          <w:szCs w:val="21"/>
        </w:rPr>
        <w:t>4应靠近钢铁厂内</w:t>
      </w:r>
      <w:r>
        <w:rPr>
          <w:color w:val="auto"/>
          <w:szCs w:val="21"/>
        </w:rPr>
        <w:t>的烧结</w:t>
      </w:r>
      <w:r>
        <w:rPr>
          <w:rFonts w:hint="eastAsia"/>
          <w:color w:val="auto"/>
          <w:szCs w:val="21"/>
        </w:rPr>
        <w:t>厂</w:t>
      </w:r>
      <w:r>
        <w:rPr>
          <w:color w:val="auto"/>
          <w:szCs w:val="21"/>
        </w:rPr>
        <w:t>或球团厂</w:t>
      </w:r>
      <w:r>
        <w:rPr>
          <w:rFonts w:hint="eastAsia"/>
          <w:color w:val="auto"/>
          <w:szCs w:val="21"/>
        </w:rPr>
        <w:t>；</w:t>
      </w:r>
    </w:p>
    <w:p>
      <w:pPr>
        <w:spacing w:line="360" w:lineRule="auto"/>
        <w:ind w:firstLine="420"/>
        <w:rPr>
          <w:color w:val="auto"/>
          <w:szCs w:val="21"/>
        </w:rPr>
      </w:pPr>
      <w:r>
        <w:rPr>
          <w:rFonts w:hint="eastAsia"/>
          <w:color w:val="auto"/>
          <w:szCs w:val="21"/>
        </w:rPr>
        <w:t>5</w:t>
      </w:r>
      <w:r>
        <w:rPr>
          <w:color w:val="auto"/>
          <w:szCs w:val="21"/>
        </w:rPr>
        <w:t xml:space="preserve"> </w:t>
      </w:r>
      <w:r>
        <w:rPr>
          <w:rFonts w:hint="eastAsia"/>
          <w:color w:val="auto"/>
          <w:szCs w:val="21"/>
        </w:rPr>
        <w:t>应有可靠的电力供应；</w:t>
      </w:r>
    </w:p>
    <w:p>
      <w:pPr>
        <w:spacing w:line="360" w:lineRule="auto"/>
        <w:ind w:firstLine="420"/>
        <w:rPr>
          <w:color w:val="auto"/>
          <w:szCs w:val="21"/>
        </w:rPr>
      </w:pPr>
      <w:r>
        <w:rPr>
          <w:rFonts w:hint="eastAsia"/>
          <w:color w:val="auto"/>
          <w:szCs w:val="21"/>
        </w:rPr>
        <w:t>6</w:t>
      </w:r>
      <w:r>
        <w:rPr>
          <w:color w:val="auto"/>
          <w:szCs w:val="21"/>
        </w:rPr>
        <w:t xml:space="preserve"> </w:t>
      </w:r>
      <w:r>
        <w:rPr>
          <w:rFonts w:hint="eastAsia"/>
          <w:color w:val="auto"/>
          <w:szCs w:val="21"/>
        </w:rPr>
        <w:t>应有可靠的供水水源和污水处理及排放系统。</w:t>
      </w:r>
    </w:p>
    <w:p>
      <w:pPr>
        <w:pStyle w:val="3"/>
        <w:spacing w:before="0" w:after="0" w:line="360" w:lineRule="auto"/>
        <w:jc w:val="center"/>
        <w:rPr>
          <w:rFonts w:asciiTheme="minorEastAsia" w:hAnsiTheme="minorEastAsia" w:eastAsiaTheme="minorEastAsia"/>
          <w:color w:val="auto"/>
          <w:sz w:val="21"/>
          <w:szCs w:val="21"/>
        </w:rPr>
      </w:pPr>
      <w:bookmarkStart w:id="37" w:name="_Toc92877433"/>
      <w:r>
        <w:rPr>
          <w:rFonts w:hint="eastAsia" w:asciiTheme="minorEastAsia" w:hAnsiTheme="minorEastAsia" w:eastAsiaTheme="minorEastAsia"/>
          <w:color w:val="auto"/>
          <w:sz w:val="21"/>
          <w:szCs w:val="21"/>
        </w:rPr>
        <w:t>4.3 总图</w:t>
      </w:r>
      <w:r>
        <w:rPr>
          <w:rFonts w:asciiTheme="minorEastAsia" w:hAnsiTheme="minorEastAsia" w:eastAsiaTheme="minorEastAsia"/>
          <w:color w:val="auto"/>
          <w:sz w:val="21"/>
          <w:szCs w:val="21"/>
        </w:rPr>
        <w:t>设计</w:t>
      </w:r>
      <w:bookmarkEnd w:id="37"/>
    </w:p>
    <w:p>
      <w:pPr>
        <w:spacing w:line="360" w:lineRule="auto"/>
        <w:rPr>
          <w:color w:val="auto"/>
          <w:szCs w:val="21"/>
        </w:rPr>
      </w:pPr>
      <w:r>
        <w:rPr>
          <w:color w:val="auto"/>
          <w:szCs w:val="21"/>
        </w:rPr>
        <w:t>4.3.1</w:t>
      </w:r>
      <w:r>
        <w:rPr>
          <w:rFonts w:hint="eastAsia"/>
          <w:color w:val="auto"/>
          <w:szCs w:val="21"/>
        </w:rPr>
        <w:t>钢铁厂</w:t>
      </w:r>
      <w:r>
        <w:rPr>
          <w:color w:val="auto"/>
          <w:szCs w:val="21"/>
        </w:rPr>
        <w:t>危险废物处置</w:t>
      </w:r>
      <w:r>
        <w:rPr>
          <w:rFonts w:hint="eastAsia"/>
          <w:color w:val="auto"/>
          <w:szCs w:val="21"/>
        </w:rPr>
        <w:t>工程</w:t>
      </w:r>
      <w:r>
        <w:rPr>
          <w:color w:val="auto"/>
          <w:szCs w:val="21"/>
        </w:rPr>
        <w:t>系统布置应根据</w:t>
      </w:r>
      <w:r>
        <w:rPr>
          <w:rFonts w:hint="eastAsia"/>
          <w:color w:val="auto"/>
          <w:szCs w:val="21"/>
        </w:rPr>
        <w:t>危险</w:t>
      </w:r>
      <w:r>
        <w:rPr>
          <w:color w:val="auto"/>
          <w:szCs w:val="21"/>
        </w:rPr>
        <w:t>废物输运</w:t>
      </w:r>
      <w:r>
        <w:rPr>
          <w:rFonts w:hint="eastAsia"/>
          <w:color w:val="auto"/>
          <w:szCs w:val="21"/>
        </w:rPr>
        <w:t>过程</w:t>
      </w:r>
      <w:r>
        <w:rPr>
          <w:color w:val="auto"/>
          <w:szCs w:val="21"/>
        </w:rPr>
        <w:t>、焚烧处置</w:t>
      </w:r>
      <w:r>
        <w:rPr>
          <w:rFonts w:hint="eastAsia"/>
          <w:color w:val="auto"/>
          <w:szCs w:val="21"/>
        </w:rPr>
        <w:t>工艺</w:t>
      </w:r>
      <w:r>
        <w:rPr>
          <w:color w:val="auto"/>
          <w:szCs w:val="21"/>
        </w:rPr>
        <w:t>流程、烟气净化流程</w:t>
      </w:r>
      <w:r>
        <w:rPr>
          <w:rFonts w:hint="eastAsia"/>
          <w:color w:val="auto"/>
          <w:szCs w:val="21"/>
        </w:rPr>
        <w:t>、</w:t>
      </w:r>
      <w:r>
        <w:rPr>
          <w:color w:val="auto"/>
          <w:szCs w:val="21"/>
        </w:rPr>
        <w:t>飞灰及残渣资源化等确定</w:t>
      </w:r>
      <w:r>
        <w:rPr>
          <w:rFonts w:hint="eastAsia"/>
          <w:color w:val="auto"/>
          <w:szCs w:val="21"/>
        </w:rPr>
        <w:t>，流程应顺畅、紧凑，利用地形、节约用地，辅助系统应联合建设，并应根据规划需要确定是否预留扩容处置空间。</w:t>
      </w:r>
    </w:p>
    <w:p>
      <w:pPr>
        <w:spacing w:line="360" w:lineRule="auto"/>
        <w:rPr>
          <w:color w:val="auto"/>
          <w:szCs w:val="21"/>
        </w:rPr>
      </w:pPr>
      <w:r>
        <w:rPr>
          <w:color w:val="auto"/>
          <w:szCs w:val="21"/>
        </w:rPr>
        <w:t>4.3.</w:t>
      </w:r>
      <w:r>
        <w:rPr>
          <w:rFonts w:hint="eastAsia"/>
          <w:color w:val="auto"/>
          <w:szCs w:val="21"/>
        </w:rPr>
        <w:t>2交通线路应顺直通畅，物料流应顺向短捷。</w:t>
      </w:r>
    </w:p>
    <w:p>
      <w:pPr>
        <w:spacing w:line="360" w:lineRule="auto"/>
        <w:rPr>
          <w:color w:val="auto"/>
          <w:szCs w:val="21"/>
        </w:rPr>
      </w:pPr>
      <w:r>
        <w:rPr>
          <w:color w:val="auto"/>
          <w:szCs w:val="21"/>
        </w:rPr>
        <w:t>4.3.</w:t>
      </w:r>
      <w:r>
        <w:rPr>
          <w:rFonts w:hint="eastAsia"/>
          <w:color w:val="auto"/>
          <w:szCs w:val="21"/>
        </w:rPr>
        <w:t>3 厂区通道设计</w:t>
      </w:r>
      <w:r>
        <w:rPr>
          <w:color w:val="auto"/>
          <w:szCs w:val="21"/>
        </w:rPr>
        <w:t>应</w:t>
      </w:r>
      <w:r>
        <w:rPr>
          <w:rFonts w:hint="eastAsia"/>
          <w:color w:val="auto"/>
          <w:szCs w:val="21"/>
        </w:rPr>
        <w:t>满足道路、管线、建筑间距等的布设要求。</w:t>
      </w:r>
    </w:p>
    <w:p>
      <w:pPr>
        <w:spacing w:line="360" w:lineRule="auto"/>
        <w:rPr>
          <w:strike/>
          <w:color w:val="auto"/>
          <w:szCs w:val="21"/>
        </w:rPr>
      </w:pPr>
      <w:r>
        <w:rPr>
          <w:color w:val="auto"/>
          <w:szCs w:val="21"/>
        </w:rPr>
        <w:t>4.3.</w:t>
      </w:r>
      <w:r>
        <w:rPr>
          <w:rFonts w:hint="eastAsia"/>
          <w:color w:val="auto"/>
          <w:szCs w:val="21"/>
        </w:rPr>
        <w:t>4 罐区卸车场地以及焚烧处理装置的四周应设置初期雨水池和排水沟</w:t>
      </w:r>
      <w:r>
        <w:rPr>
          <w:rFonts w:hint="eastAsia"/>
          <w:color w:val="auto"/>
          <w:szCs w:val="21"/>
        </w:rPr>
        <w:t>。</w:t>
      </w:r>
    </w:p>
    <w:p>
      <w:pPr>
        <w:spacing w:line="360" w:lineRule="auto"/>
        <w:rPr>
          <w:color w:val="auto"/>
          <w:szCs w:val="21"/>
        </w:rPr>
      </w:pPr>
      <w:r>
        <w:rPr>
          <w:rFonts w:hint="eastAsia"/>
          <w:color w:val="auto"/>
          <w:szCs w:val="21"/>
        </w:rPr>
        <w:t>4.3.</w:t>
      </w:r>
      <w:r>
        <w:rPr>
          <w:color w:val="auto"/>
          <w:szCs w:val="21"/>
        </w:rPr>
        <w:t>5</w:t>
      </w:r>
      <w:r>
        <w:rPr>
          <w:rFonts w:hint="eastAsia"/>
          <w:color w:val="auto"/>
          <w:szCs w:val="21"/>
        </w:rPr>
        <w:t>在</w:t>
      </w:r>
      <w:r>
        <w:rPr>
          <w:color w:val="auto"/>
          <w:szCs w:val="21"/>
        </w:rPr>
        <w:t>厂区</w:t>
      </w:r>
      <w:r>
        <w:rPr>
          <w:rFonts w:hint="eastAsia"/>
          <w:color w:val="auto"/>
          <w:szCs w:val="21"/>
        </w:rPr>
        <w:t>车辆进出口附近</w:t>
      </w:r>
      <w:r>
        <w:rPr>
          <w:color w:val="auto"/>
          <w:szCs w:val="21"/>
        </w:rPr>
        <w:t>应</w:t>
      </w:r>
      <w:r>
        <w:rPr>
          <w:rFonts w:hint="eastAsia"/>
          <w:color w:val="auto"/>
          <w:szCs w:val="21"/>
        </w:rPr>
        <w:t>设置洗车设施和地泵房，</w:t>
      </w:r>
      <w:r>
        <w:rPr>
          <w:color w:val="auto"/>
          <w:szCs w:val="21"/>
        </w:rPr>
        <w:t>且应位于</w:t>
      </w:r>
      <w:r>
        <w:rPr>
          <w:rFonts w:hint="eastAsia"/>
          <w:color w:val="auto"/>
          <w:szCs w:val="21"/>
        </w:rPr>
        <w:t>汽车</w:t>
      </w:r>
      <w:r>
        <w:rPr>
          <w:color w:val="auto"/>
          <w:szCs w:val="21"/>
        </w:rPr>
        <w:t>主要行驶方向的右侧</w:t>
      </w:r>
      <w:r>
        <w:rPr>
          <w:rFonts w:hint="eastAsia"/>
          <w:color w:val="auto"/>
          <w:szCs w:val="21"/>
        </w:rPr>
        <w:t>。</w:t>
      </w:r>
    </w:p>
    <w:p>
      <w:pPr>
        <w:spacing w:line="360" w:lineRule="auto"/>
        <w:rPr>
          <w:color w:val="auto"/>
          <w:szCs w:val="21"/>
        </w:rPr>
      </w:pPr>
      <w:r>
        <w:rPr>
          <w:rFonts w:hint="eastAsia"/>
          <w:color w:val="auto"/>
          <w:szCs w:val="21"/>
        </w:rPr>
        <w:t>4.3.6焚烧工程周围应设置围墙和防护栅栏。</w:t>
      </w:r>
    </w:p>
    <w:p>
      <w:pPr>
        <w:rPr>
          <w:color w:val="auto"/>
          <w:szCs w:val="21"/>
        </w:rPr>
      </w:pPr>
    </w:p>
    <w:p>
      <w:pPr>
        <w:pStyle w:val="3"/>
        <w:spacing w:before="0" w:after="0" w:line="360" w:lineRule="auto"/>
        <w:jc w:val="center"/>
        <w:rPr>
          <w:rFonts w:asciiTheme="minorEastAsia" w:hAnsiTheme="minorEastAsia" w:eastAsiaTheme="minorEastAsia"/>
          <w:color w:val="auto"/>
          <w:sz w:val="21"/>
          <w:szCs w:val="21"/>
        </w:rPr>
      </w:pPr>
      <w:bookmarkStart w:id="38" w:name="_Toc92877434"/>
      <w:r>
        <w:rPr>
          <w:rFonts w:hint="eastAsia" w:asciiTheme="minorEastAsia" w:hAnsiTheme="minorEastAsia" w:eastAsiaTheme="minorEastAsia"/>
          <w:color w:val="auto"/>
          <w:sz w:val="21"/>
          <w:szCs w:val="21"/>
        </w:rPr>
        <w:t>4.4 厂区</w:t>
      </w:r>
      <w:r>
        <w:rPr>
          <w:rFonts w:asciiTheme="minorEastAsia" w:hAnsiTheme="minorEastAsia" w:eastAsiaTheme="minorEastAsia"/>
          <w:color w:val="auto"/>
          <w:sz w:val="21"/>
          <w:szCs w:val="21"/>
        </w:rPr>
        <w:t>道路</w:t>
      </w:r>
      <w:bookmarkEnd w:id="38"/>
    </w:p>
    <w:p>
      <w:pPr>
        <w:spacing w:line="360" w:lineRule="auto"/>
        <w:rPr>
          <w:color w:val="auto"/>
          <w:szCs w:val="21"/>
        </w:rPr>
      </w:pPr>
      <w:r>
        <w:rPr>
          <w:rFonts w:hint="eastAsia"/>
          <w:color w:val="auto"/>
          <w:szCs w:val="21"/>
        </w:rPr>
        <w:t>4.</w:t>
      </w:r>
      <w:r>
        <w:rPr>
          <w:color w:val="auto"/>
          <w:szCs w:val="21"/>
        </w:rPr>
        <w:t>4</w:t>
      </w:r>
      <w:r>
        <w:rPr>
          <w:rFonts w:hint="eastAsia"/>
          <w:color w:val="auto"/>
          <w:szCs w:val="21"/>
        </w:rPr>
        <w:t>.1厂区道路应满足</w:t>
      </w:r>
      <w:r>
        <w:rPr>
          <w:color w:val="auto"/>
          <w:szCs w:val="21"/>
        </w:rPr>
        <w:t>运输、消防、安全、检修要求</w:t>
      </w:r>
      <w:r>
        <w:rPr>
          <w:rFonts w:hint="eastAsia"/>
          <w:color w:val="auto"/>
          <w:szCs w:val="21"/>
        </w:rPr>
        <w:t>。</w:t>
      </w:r>
      <w:r>
        <w:rPr>
          <w:color w:val="auto"/>
          <w:szCs w:val="21"/>
        </w:rPr>
        <w:t>大型设备</w:t>
      </w:r>
      <w:r>
        <w:rPr>
          <w:rFonts w:hint="eastAsia"/>
          <w:color w:val="auto"/>
          <w:szCs w:val="21"/>
        </w:rPr>
        <w:t>和</w:t>
      </w:r>
      <w:r>
        <w:rPr>
          <w:color w:val="auto"/>
          <w:szCs w:val="21"/>
        </w:rPr>
        <w:t>物件</w:t>
      </w:r>
      <w:r>
        <w:rPr>
          <w:rFonts w:hint="eastAsia"/>
          <w:color w:val="auto"/>
          <w:szCs w:val="21"/>
        </w:rPr>
        <w:t>场地</w:t>
      </w:r>
      <w:r>
        <w:rPr>
          <w:color w:val="auto"/>
          <w:szCs w:val="21"/>
        </w:rPr>
        <w:t>应满足运输、安装和检修</w:t>
      </w:r>
      <w:r>
        <w:rPr>
          <w:rFonts w:hint="eastAsia"/>
          <w:color w:val="auto"/>
          <w:szCs w:val="21"/>
        </w:rPr>
        <w:t>要求</w:t>
      </w:r>
      <w:r>
        <w:rPr>
          <w:color w:val="auto"/>
          <w:szCs w:val="21"/>
        </w:rPr>
        <w:t>。</w:t>
      </w:r>
    </w:p>
    <w:p>
      <w:pPr>
        <w:spacing w:line="360" w:lineRule="auto"/>
        <w:rPr>
          <w:color w:val="auto"/>
          <w:szCs w:val="21"/>
        </w:rPr>
      </w:pPr>
      <w:r>
        <w:rPr>
          <w:rFonts w:hint="eastAsia"/>
          <w:color w:val="auto"/>
          <w:szCs w:val="21"/>
        </w:rPr>
        <w:t>4.</w:t>
      </w:r>
      <w:r>
        <w:rPr>
          <w:color w:val="auto"/>
          <w:szCs w:val="21"/>
        </w:rPr>
        <w:t>4</w:t>
      </w:r>
      <w:r>
        <w:rPr>
          <w:rFonts w:hint="eastAsia"/>
          <w:color w:val="auto"/>
          <w:szCs w:val="21"/>
        </w:rPr>
        <w:t>.</w:t>
      </w:r>
      <w:r>
        <w:rPr>
          <w:color w:val="auto"/>
          <w:szCs w:val="21"/>
        </w:rPr>
        <w:t>2</w:t>
      </w:r>
      <w:r>
        <w:rPr>
          <w:rFonts w:hint="eastAsia"/>
          <w:color w:val="auto"/>
          <w:szCs w:val="21"/>
        </w:rPr>
        <w:t>焚烧工程</w:t>
      </w:r>
      <w:r>
        <w:rPr>
          <w:color w:val="auto"/>
          <w:szCs w:val="21"/>
        </w:rPr>
        <w:t>主要道路的行车路面宽度不应小于9</w:t>
      </w:r>
      <w:r>
        <w:rPr>
          <w:rFonts w:hint="eastAsia"/>
          <w:color w:val="auto"/>
          <w:szCs w:val="21"/>
        </w:rPr>
        <w:t>m。</w:t>
      </w:r>
    </w:p>
    <w:p>
      <w:pPr>
        <w:spacing w:line="360" w:lineRule="auto"/>
        <w:rPr>
          <w:color w:val="auto"/>
          <w:szCs w:val="21"/>
        </w:rPr>
      </w:pPr>
      <w:r>
        <w:rPr>
          <w:rFonts w:hint="eastAsia"/>
          <w:color w:val="auto"/>
          <w:szCs w:val="21"/>
        </w:rPr>
        <w:t>4.4.3</w:t>
      </w:r>
      <w:r>
        <w:rPr>
          <w:color w:val="auto"/>
          <w:szCs w:val="21"/>
        </w:rPr>
        <w:t>焚烧</w:t>
      </w:r>
      <w:r>
        <w:rPr>
          <w:rFonts w:hint="eastAsia"/>
          <w:color w:val="auto"/>
          <w:szCs w:val="21"/>
        </w:rPr>
        <w:t>工程</w:t>
      </w:r>
      <w:r>
        <w:rPr>
          <w:color w:val="auto"/>
          <w:szCs w:val="21"/>
        </w:rPr>
        <w:t>的厂</w:t>
      </w:r>
      <w:r>
        <w:rPr>
          <w:rFonts w:hint="eastAsia"/>
          <w:color w:val="auto"/>
          <w:szCs w:val="21"/>
        </w:rPr>
        <w:t>房</w:t>
      </w:r>
      <w:r>
        <w:rPr>
          <w:color w:val="auto"/>
          <w:szCs w:val="21"/>
        </w:rPr>
        <w:t>外应设消防道路，路面宽度</w:t>
      </w:r>
      <w:r>
        <w:rPr>
          <w:rFonts w:hint="eastAsia"/>
          <w:color w:val="auto"/>
          <w:szCs w:val="21"/>
        </w:rPr>
        <w:t>和</w:t>
      </w:r>
      <w:r>
        <w:rPr>
          <w:color w:val="auto"/>
          <w:szCs w:val="21"/>
        </w:rPr>
        <w:t>净空高度不应小于4</w:t>
      </w:r>
      <w:r>
        <w:rPr>
          <w:rFonts w:hint="eastAsia"/>
          <w:color w:val="auto"/>
          <w:szCs w:val="21"/>
        </w:rPr>
        <w:t>m，</w:t>
      </w:r>
      <w:r>
        <w:rPr>
          <w:color w:val="auto"/>
        </w:rPr>
        <w:t>转弯半径应满足消防车转弯的要求</w:t>
      </w:r>
      <w:r>
        <w:rPr>
          <w:color w:val="auto"/>
          <w:szCs w:val="21"/>
        </w:rPr>
        <w:t>。</w:t>
      </w:r>
    </w:p>
    <w:p>
      <w:pPr>
        <w:spacing w:line="360" w:lineRule="auto"/>
        <w:rPr>
          <w:color w:val="auto"/>
          <w:szCs w:val="21"/>
        </w:rPr>
      </w:pPr>
      <w:r>
        <w:rPr>
          <w:rFonts w:hint="eastAsia"/>
          <w:color w:val="auto"/>
        </w:rPr>
        <w:t>4.</w:t>
      </w:r>
      <w:r>
        <w:rPr>
          <w:color w:val="auto"/>
        </w:rPr>
        <w:t>4</w:t>
      </w:r>
      <w:r>
        <w:rPr>
          <w:rFonts w:hint="eastAsia"/>
          <w:color w:val="auto"/>
        </w:rPr>
        <w:t>.4在厂区空地及道路两旁宜种植忍冬、臭椿、美青杨、卫矛、刺槐、山桃等树木及花草。</w:t>
      </w:r>
    </w:p>
    <w:p>
      <w:pPr>
        <w:widowControl/>
        <w:jc w:val="left"/>
        <w:rPr>
          <w:color w:val="auto"/>
        </w:rPr>
      </w:pPr>
      <w:r>
        <w:rPr>
          <w:color w:val="auto"/>
        </w:rPr>
        <w:br w:type="page"/>
      </w:r>
    </w:p>
    <w:p>
      <w:pPr>
        <w:pStyle w:val="2"/>
        <w:spacing w:before="120" w:after="120"/>
        <w:jc w:val="center"/>
        <w:rPr>
          <w:color w:val="auto"/>
          <w:sz w:val="28"/>
          <w:szCs w:val="28"/>
        </w:rPr>
      </w:pPr>
      <w:bookmarkStart w:id="39" w:name="_Toc92877435"/>
      <w:r>
        <w:rPr>
          <w:color w:val="auto"/>
          <w:sz w:val="28"/>
          <w:szCs w:val="28"/>
        </w:rPr>
        <w:t>5</w:t>
      </w:r>
      <w:r>
        <w:rPr>
          <w:rFonts w:hint="eastAsia"/>
          <w:color w:val="auto"/>
          <w:sz w:val="28"/>
          <w:szCs w:val="28"/>
        </w:rPr>
        <w:t xml:space="preserve"> 接收</w:t>
      </w:r>
      <w:r>
        <w:rPr>
          <w:color w:val="auto"/>
          <w:sz w:val="28"/>
          <w:szCs w:val="28"/>
        </w:rPr>
        <w:t>、分析</w:t>
      </w:r>
      <w:r>
        <w:rPr>
          <w:rFonts w:hint="eastAsia"/>
          <w:color w:val="auto"/>
          <w:sz w:val="28"/>
          <w:szCs w:val="28"/>
        </w:rPr>
        <w:t>鉴别</w:t>
      </w:r>
      <w:r>
        <w:rPr>
          <w:color w:val="auto"/>
          <w:sz w:val="28"/>
          <w:szCs w:val="28"/>
        </w:rPr>
        <w:t>和贮存</w:t>
      </w:r>
      <w:bookmarkEnd w:id="39"/>
    </w:p>
    <w:p>
      <w:pPr>
        <w:pStyle w:val="3"/>
        <w:spacing w:before="0" w:after="0" w:line="360" w:lineRule="auto"/>
        <w:jc w:val="center"/>
        <w:rPr>
          <w:rFonts w:ascii="Times New Roman" w:hAnsi="Times New Roman" w:eastAsiaTheme="minorEastAsia"/>
          <w:color w:val="auto"/>
          <w:sz w:val="21"/>
          <w:szCs w:val="21"/>
        </w:rPr>
      </w:pPr>
      <w:bookmarkStart w:id="40" w:name="_Toc92877436"/>
      <w:r>
        <w:rPr>
          <w:rFonts w:ascii="Times New Roman" w:hAnsi="Times New Roman" w:eastAsiaTheme="minorEastAsia"/>
          <w:color w:val="auto"/>
          <w:sz w:val="21"/>
          <w:szCs w:val="21"/>
        </w:rPr>
        <w:t>5.1 接收与运输</w:t>
      </w:r>
      <w:bookmarkEnd w:id="40"/>
    </w:p>
    <w:p>
      <w:pPr>
        <w:spacing w:line="360" w:lineRule="auto"/>
        <w:rPr>
          <w:color w:val="auto"/>
        </w:rPr>
      </w:pPr>
      <w:r>
        <w:rPr>
          <w:color w:val="auto"/>
        </w:rPr>
        <w:t xml:space="preserve">5.1.1 </w:t>
      </w:r>
      <w:r>
        <w:rPr>
          <w:rFonts w:hint="eastAsia"/>
          <w:color w:val="auto"/>
        </w:rPr>
        <w:t>焚烧工程应</w:t>
      </w:r>
      <w:r>
        <w:rPr>
          <w:color w:val="auto"/>
        </w:rPr>
        <w:t>设进</w:t>
      </w:r>
      <w:r>
        <w:rPr>
          <w:rFonts w:hint="eastAsia"/>
          <w:color w:val="auto"/>
        </w:rPr>
        <w:t>厂</w:t>
      </w:r>
      <w:r>
        <w:rPr>
          <w:color w:val="auto"/>
        </w:rPr>
        <w:t>危险废物计量设施。</w:t>
      </w:r>
    </w:p>
    <w:p>
      <w:pPr>
        <w:spacing w:line="360" w:lineRule="auto"/>
        <w:rPr>
          <w:color w:val="auto"/>
        </w:rPr>
      </w:pPr>
      <w:r>
        <w:rPr>
          <w:color w:val="auto"/>
        </w:rPr>
        <w:t xml:space="preserve">5.1.2 </w:t>
      </w:r>
      <w:r>
        <w:rPr>
          <w:rFonts w:hint="eastAsia"/>
          <w:color w:val="auto"/>
        </w:rPr>
        <w:t>地磅</w:t>
      </w:r>
      <w:r>
        <w:rPr>
          <w:color w:val="auto"/>
        </w:rPr>
        <w:t>的规格</w:t>
      </w:r>
      <w:r>
        <w:rPr>
          <w:rFonts w:hint="eastAsia"/>
          <w:color w:val="auto"/>
        </w:rPr>
        <w:t>应按</w:t>
      </w:r>
      <w:r>
        <w:rPr>
          <w:color w:val="auto"/>
        </w:rPr>
        <w:t>运输车</w:t>
      </w:r>
      <w:r>
        <w:rPr>
          <w:rFonts w:hint="eastAsia"/>
          <w:color w:val="auto"/>
        </w:rPr>
        <w:t>最大满载</w:t>
      </w:r>
      <w:r>
        <w:rPr>
          <w:color w:val="auto"/>
        </w:rPr>
        <w:t>重量</w:t>
      </w:r>
      <w:r>
        <w:rPr>
          <w:rFonts w:hint="eastAsia"/>
          <w:color w:val="auto"/>
        </w:rPr>
        <w:t>的1.7倍</w:t>
      </w:r>
      <w:r>
        <w:rPr>
          <w:color w:val="auto"/>
        </w:rPr>
        <w:t>设置。</w:t>
      </w:r>
    </w:p>
    <w:p>
      <w:pPr>
        <w:spacing w:line="360" w:lineRule="auto"/>
        <w:rPr>
          <w:color w:val="auto"/>
        </w:rPr>
      </w:pPr>
      <w:r>
        <w:rPr>
          <w:color w:val="auto"/>
        </w:rPr>
        <w:t xml:space="preserve">5.1.3 </w:t>
      </w:r>
      <w:r>
        <w:rPr>
          <w:rFonts w:cs="微软雅黑" w:asciiTheme="minorEastAsia" w:hAnsiTheme="minorEastAsia" w:eastAsiaTheme="minorEastAsia"/>
          <w:color w:val="auto"/>
          <w:szCs w:val="21"/>
          <w:shd w:val="clear" w:color="auto" w:fill="FFFFFF"/>
        </w:rPr>
        <w:t>城市危险废物</w:t>
      </w:r>
      <w:r>
        <w:rPr>
          <w:rFonts w:hint="eastAsia" w:asciiTheme="minorEastAsia" w:hAnsiTheme="minorEastAsia" w:eastAsiaTheme="minorEastAsia"/>
          <w:color w:val="auto"/>
        </w:rPr>
        <w:t>应具有</w:t>
      </w:r>
      <w:r>
        <w:rPr>
          <w:rFonts w:asciiTheme="minorEastAsia" w:hAnsiTheme="minorEastAsia" w:eastAsiaTheme="minorEastAsia"/>
          <w:color w:val="auto"/>
        </w:rPr>
        <w:t>一</w:t>
      </w:r>
      <w:r>
        <w:rPr>
          <w:color w:val="auto"/>
        </w:rPr>
        <w:t>定的热值</w:t>
      </w:r>
      <w:r>
        <w:rPr>
          <w:rFonts w:hint="eastAsia"/>
          <w:color w:val="auto"/>
        </w:rPr>
        <w:t>，且不得具有传染性、放射性和爆炸性。</w:t>
      </w:r>
    </w:p>
    <w:p>
      <w:pPr>
        <w:spacing w:line="360" w:lineRule="auto"/>
        <w:rPr>
          <w:color w:val="auto"/>
        </w:rPr>
      </w:pPr>
    </w:p>
    <w:p>
      <w:pPr>
        <w:pStyle w:val="3"/>
        <w:spacing w:before="0" w:after="0" w:line="360" w:lineRule="auto"/>
        <w:jc w:val="center"/>
        <w:rPr>
          <w:rFonts w:ascii="Times New Roman" w:hAnsi="Times New Roman" w:eastAsiaTheme="minorEastAsia"/>
          <w:color w:val="auto"/>
          <w:sz w:val="21"/>
          <w:szCs w:val="21"/>
        </w:rPr>
      </w:pPr>
      <w:bookmarkStart w:id="41" w:name="_Toc92877437"/>
      <w:r>
        <w:rPr>
          <w:rFonts w:ascii="Times New Roman" w:hAnsi="Times New Roman" w:eastAsiaTheme="minorEastAsia"/>
          <w:color w:val="auto"/>
          <w:sz w:val="21"/>
          <w:szCs w:val="21"/>
        </w:rPr>
        <w:t xml:space="preserve">5.2 </w:t>
      </w:r>
      <w:r>
        <w:rPr>
          <w:rFonts w:hint="eastAsia" w:ascii="Times New Roman" w:hAnsi="Times New Roman" w:eastAsiaTheme="minorEastAsia"/>
          <w:color w:val="auto"/>
          <w:sz w:val="21"/>
          <w:szCs w:val="21"/>
        </w:rPr>
        <w:t>分析鉴别</w:t>
      </w:r>
      <w:bookmarkEnd w:id="41"/>
    </w:p>
    <w:p>
      <w:pPr>
        <w:spacing w:line="360" w:lineRule="auto"/>
        <w:rPr>
          <w:color w:val="auto"/>
        </w:rPr>
      </w:pPr>
      <w:r>
        <w:rPr>
          <w:color w:val="auto"/>
        </w:rPr>
        <w:t>5.2.1</w:t>
      </w:r>
      <w:r>
        <w:rPr>
          <w:rFonts w:hint="eastAsia"/>
          <w:color w:val="auto"/>
        </w:rPr>
        <w:t>焚烧工程应设置分析实验室，并应配备危险废物</w:t>
      </w:r>
      <w:r>
        <w:rPr>
          <w:color w:val="auto"/>
        </w:rPr>
        <w:t>特性鉴别</w:t>
      </w:r>
      <w:r>
        <w:rPr>
          <w:rFonts w:hint="eastAsia"/>
          <w:color w:val="auto"/>
        </w:rPr>
        <w:t>、锅炉水</w:t>
      </w:r>
      <w:r>
        <w:rPr>
          <w:color w:val="auto"/>
        </w:rPr>
        <w:t>、污水、烟气和灰渣等</w:t>
      </w:r>
      <w:r>
        <w:rPr>
          <w:rFonts w:hint="eastAsia"/>
          <w:color w:val="auto"/>
        </w:rPr>
        <w:t>检测</w:t>
      </w:r>
      <w:r>
        <w:rPr>
          <w:color w:val="auto"/>
        </w:rPr>
        <w:t>和分析仪器</w:t>
      </w:r>
      <w:r>
        <w:rPr>
          <w:rFonts w:hint="eastAsia"/>
          <w:color w:val="auto"/>
        </w:rPr>
        <w:t>。</w:t>
      </w:r>
    </w:p>
    <w:p>
      <w:pPr>
        <w:spacing w:line="360" w:lineRule="auto"/>
        <w:rPr>
          <w:color w:val="auto"/>
        </w:rPr>
      </w:pPr>
      <w:r>
        <w:rPr>
          <w:rFonts w:hint="eastAsia"/>
          <w:color w:val="auto"/>
        </w:rPr>
        <w:t>5.2.2化验室</w:t>
      </w:r>
      <w:r>
        <w:rPr>
          <w:color w:val="auto"/>
        </w:rPr>
        <w:t>所用仪器的</w:t>
      </w:r>
      <w:r>
        <w:rPr>
          <w:rFonts w:hint="eastAsia"/>
          <w:color w:val="auto"/>
        </w:rPr>
        <w:t>规格</w:t>
      </w:r>
      <w:r>
        <w:rPr>
          <w:color w:val="auto"/>
        </w:rPr>
        <w:t>、数量及化验室的面积应根据焚烧</w:t>
      </w:r>
      <w:r>
        <w:rPr>
          <w:rFonts w:hint="eastAsia"/>
          <w:color w:val="auto"/>
        </w:rPr>
        <w:t>工程</w:t>
      </w:r>
      <w:r>
        <w:rPr>
          <w:color w:val="auto"/>
        </w:rPr>
        <w:t>的运行参数和规模等条件确定。</w:t>
      </w:r>
    </w:p>
    <w:p>
      <w:pPr>
        <w:spacing w:line="360" w:lineRule="auto"/>
        <w:rPr>
          <w:color w:val="auto"/>
        </w:rPr>
      </w:pPr>
      <w:r>
        <w:rPr>
          <w:color w:val="auto"/>
        </w:rPr>
        <w:t>5.2.3</w:t>
      </w:r>
      <w:r>
        <w:rPr>
          <w:rFonts w:hint="eastAsia"/>
          <w:color w:val="auto"/>
        </w:rPr>
        <w:t>危险废物属性检测应包括下列内容：</w:t>
      </w:r>
    </w:p>
    <w:p>
      <w:pPr>
        <w:spacing w:line="360" w:lineRule="auto"/>
        <w:ind w:firstLine="420"/>
        <w:rPr>
          <w:color w:val="auto"/>
        </w:rPr>
      </w:pPr>
      <w:r>
        <w:rPr>
          <w:color w:val="auto"/>
        </w:rPr>
        <w:t xml:space="preserve">1 </w:t>
      </w:r>
      <w:r>
        <w:rPr>
          <w:rFonts w:hint="eastAsia"/>
          <w:color w:val="auto"/>
        </w:rPr>
        <w:t>高位热值和低位热值；</w:t>
      </w:r>
    </w:p>
    <w:p>
      <w:pPr>
        <w:spacing w:line="360" w:lineRule="auto"/>
        <w:ind w:firstLine="420"/>
        <w:rPr>
          <w:color w:val="auto"/>
        </w:rPr>
      </w:pPr>
      <w:r>
        <w:rPr>
          <w:color w:val="auto"/>
        </w:rPr>
        <w:t xml:space="preserve">2 </w:t>
      </w:r>
      <w:r>
        <w:rPr>
          <w:rFonts w:hint="eastAsia"/>
          <w:color w:val="auto"/>
        </w:rPr>
        <w:t>工业分析应包括水分、灰分、挥发分、固定碳等；</w:t>
      </w:r>
    </w:p>
    <w:p>
      <w:pPr>
        <w:spacing w:line="360" w:lineRule="auto"/>
        <w:ind w:firstLine="420"/>
        <w:rPr>
          <w:color w:val="auto"/>
        </w:rPr>
      </w:pPr>
      <w:r>
        <w:rPr>
          <w:color w:val="auto"/>
        </w:rPr>
        <w:t xml:space="preserve">3 </w:t>
      </w:r>
      <w:r>
        <w:rPr>
          <w:rFonts w:hint="eastAsia"/>
          <w:color w:val="auto"/>
        </w:rPr>
        <w:t>元素分析应包括铁元素以及氯、汞、钙和铅等有害元素；</w:t>
      </w:r>
    </w:p>
    <w:p>
      <w:pPr>
        <w:spacing w:line="360" w:lineRule="auto"/>
        <w:ind w:firstLine="420"/>
        <w:rPr>
          <w:color w:val="auto"/>
        </w:rPr>
      </w:pPr>
      <w:r>
        <w:rPr>
          <w:color w:val="auto"/>
        </w:rPr>
        <w:t xml:space="preserve">4 </w:t>
      </w:r>
      <w:r>
        <w:rPr>
          <w:rFonts w:hint="eastAsia"/>
          <w:color w:val="auto"/>
        </w:rPr>
        <w:t>容重（密度）；</w:t>
      </w:r>
    </w:p>
    <w:p>
      <w:pPr>
        <w:spacing w:line="360" w:lineRule="auto"/>
        <w:ind w:firstLine="420"/>
        <w:rPr>
          <w:color w:val="auto"/>
        </w:rPr>
      </w:pPr>
      <w:r>
        <w:rPr>
          <w:color w:val="auto"/>
        </w:rPr>
        <w:t>5</w:t>
      </w:r>
      <w:r>
        <w:rPr>
          <w:rFonts w:hint="eastAsia"/>
          <w:color w:val="auto"/>
        </w:rPr>
        <w:t xml:space="preserve"> </w:t>
      </w:r>
      <w:r>
        <w:rPr>
          <w:color w:val="auto"/>
        </w:rPr>
        <w:t xml:space="preserve"> pH</w:t>
      </w:r>
      <w:r>
        <w:rPr>
          <w:rFonts w:hint="eastAsia"/>
          <w:color w:val="auto"/>
        </w:rPr>
        <w:t>值。</w:t>
      </w:r>
    </w:p>
    <w:p>
      <w:pPr>
        <w:spacing w:line="360" w:lineRule="auto"/>
        <w:rPr>
          <w:color w:val="auto"/>
        </w:rPr>
      </w:pPr>
      <w:r>
        <w:rPr>
          <w:color w:val="auto"/>
        </w:rPr>
        <w:t>5.2.4</w:t>
      </w:r>
      <w:r>
        <w:rPr>
          <w:rFonts w:hint="eastAsia"/>
          <w:color w:val="auto"/>
        </w:rPr>
        <w:t>危险废物检测记录应包括试样编号、测定条件、检测仪器和试剂、检测项目、检测结果、操作人员及检测日期等。</w:t>
      </w:r>
    </w:p>
    <w:p>
      <w:pPr>
        <w:rPr>
          <w:color w:val="auto"/>
        </w:rPr>
      </w:pPr>
    </w:p>
    <w:p>
      <w:pPr>
        <w:pStyle w:val="3"/>
        <w:spacing w:before="0" w:after="0" w:line="360" w:lineRule="auto"/>
        <w:jc w:val="center"/>
        <w:rPr>
          <w:rFonts w:ascii="Times New Roman" w:hAnsi="Times New Roman" w:eastAsiaTheme="minorEastAsia"/>
          <w:color w:val="auto"/>
          <w:sz w:val="21"/>
          <w:szCs w:val="21"/>
        </w:rPr>
      </w:pPr>
      <w:bookmarkStart w:id="42" w:name="_Toc92877438"/>
      <w:r>
        <w:rPr>
          <w:rFonts w:ascii="Times New Roman" w:hAnsi="Times New Roman" w:eastAsiaTheme="minorEastAsia"/>
          <w:color w:val="auto"/>
          <w:sz w:val="21"/>
          <w:szCs w:val="21"/>
        </w:rPr>
        <w:t>5.3 贮存</w:t>
      </w:r>
      <w:bookmarkEnd w:id="42"/>
    </w:p>
    <w:p>
      <w:pPr>
        <w:spacing w:line="360" w:lineRule="auto"/>
        <w:rPr>
          <w:color w:val="auto"/>
        </w:rPr>
      </w:pPr>
      <w:r>
        <w:rPr>
          <w:rFonts w:hint="eastAsia"/>
          <w:color w:val="auto"/>
        </w:rPr>
        <w:t>5.3.1危险废物应分类贮存于专用贮存设施内，所有贮存</w:t>
      </w:r>
      <w:r>
        <w:rPr>
          <w:color w:val="auto"/>
        </w:rPr>
        <w:t>设施</w:t>
      </w:r>
      <w:r>
        <w:rPr>
          <w:rFonts w:hint="eastAsia"/>
          <w:color w:val="auto"/>
        </w:rPr>
        <w:t>内部均应设有污水收集池及通风设施，地面和裙脚应采用坚固、防渗材料。</w:t>
      </w:r>
    </w:p>
    <w:p>
      <w:pPr>
        <w:spacing w:line="360" w:lineRule="auto"/>
        <w:rPr>
          <w:color w:val="auto"/>
        </w:rPr>
      </w:pPr>
      <w:r>
        <w:rPr>
          <w:rFonts w:hint="eastAsia"/>
          <w:color w:val="auto"/>
        </w:rPr>
        <w:t>5.3.2 危险废物贮存设施设计应符合下列规定：</w:t>
      </w:r>
    </w:p>
    <w:p>
      <w:pPr>
        <w:spacing w:line="360" w:lineRule="auto"/>
        <w:ind w:firstLine="420"/>
        <w:rPr>
          <w:color w:val="auto"/>
        </w:rPr>
      </w:pPr>
      <w:r>
        <w:rPr>
          <w:rFonts w:hint="eastAsia"/>
          <w:color w:val="auto"/>
        </w:rPr>
        <w:t>1</w:t>
      </w:r>
      <w:r>
        <w:rPr>
          <w:color w:val="auto"/>
        </w:rPr>
        <w:t xml:space="preserve"> </w:t>
      </w:r>
      <w:r>
        <w:rPr>
          <w:rFonts w:hint="eastAsia"/>
          <w:color w:val="auto"/>
        </w:rPr>
        <w:t>危险废物贮存场所应设符合现行国家标准要求的专用标志，</w:t>
      </w:r>
      <w:r>
        <w:rPr>
          <w:color w:val="auto"/>
        </w:rPr>
        <w:t>标志信息</w:t>
      </w:r>
      <w:r>
        <w:rPr>
          <w:rFonts w:hint="eastAsia"/>
          <w:color w:val="auto"/>
        </w:rPr>
        <w:t>应</w:t>
      </w:r>
      <w:r>
        <w:rPr>
          <w:color w:val="auto"/>
        </w:rPr>
        <w:t>清晰</w:t>
      </w:r>
      <w:r>
        <w:rPr>
          <w:rFonts w:hint="eastAsia"/>
          <w:color w:val="auto"/>
        </w:rPr>
        <w:t>；</w:t>
      </w:r>
    </w:p>
    <w:p>
      <w:pPr>
        <w:spacing w:line="360" w:lineRule="auto"/>
        <w:ind w:firstLine="420"/>
        <w:rPr>
          <w:color w:val="auto"/>
        </w:rPr>
      </w:pPr>
      <w:r>
        <w:rPr>
          <w:rFonts w:hint="eastAsia"/>
          <w:color w:val="auto"/>
        </w:rPr>
        <w:t>2</w:t>
      </w:r>
      <w:r>
        <w:rPr>
          <w:color w:val="auto"/>
        </w:rPr>
        <w:t xml:space="preserve"> </w:t>
      </w:r>
      <w:r>
        <w:rPr>
          <w:rFonts w:hint="eastAsia"/>
          <w:color w:val="auto"/>
        </w:rPr>
        <w:t>不相容的危险废物</w:t>
      </w:r>
      <w:r>
        <w:rPr>
          <w:rFonts w:hint="eastAsia"/>
          <w:color w:val="auto"/>
        </w:rPr>
        <w:t>贮存应分开设置</w:t>
      </w:r>
      <w:r>
        <w:rPr>
          <w:rFonts w:hint="eastAsia"/>
          <w:color w:val="auto"/>
        </w:rPr>
        <w:t>，并应设有隔离间隔断；</w:t>
      </w:r>
    </w:p>
    <w:p>
      <w:pPr>
        <w:widowControl/>
        <w:spacing w:line="360" w:lineRule="auto"/>
        <w:ind w:firstLine="420"/>
        <w:rPr>
          <w:color w:val="auto"/>
          <w:szCs w:val="28"/>
        </w:rPr>
      </w:pPr>
      <w:r>
        <w:rPr>
          <w:color w:val="auto"/>
          <w:szCs w:val="28"/>
        </w:rPr>
        <w:t xml:space="preserve">3 </w:t>
      </w:r>
      <w:r>
        <w:rPr>
          <w:rFonts w:hint="eastAsia"/>
          <w:color w:val="auto"/>
          <w:szCs w:val="28"/>
        </w:rPr>
        <w:t>液体危险废物应设置液体罐区，并宜按热值高低分区贮存；</w:t>
      </w:r>
    </w:p>
    <w:p>
      <w:pPr>
        <w:spacing w:line="360" w:lineRule="auto"/>
        <w:ind w:firstLine="420"/>
        <w:rPr>
          <w:color w:val="auto"/>
        </w:rPr>
      </w:pPr>
      <w:r>
        <w:rPr>
          <w:rFonts w:hint="eastAsia"/>
          <w:color w:val="auto"/>
        </w:rPr>
        <w:t>4</w:t>
      </w:r>
      <w:r>
        <w:rPr>
          <w:color w:val="auto"/>
        </w:rPr>
        <w:t xml:space="preserve"> </w:t>
      </w:r>
      <w:r>
        <w:rPr>
          <w:rFonts w:hint="eastAsia"/>
          <w:color w:val="auto"/>
        </w:rPr>
        <w:t>存放液体废物的设施应建有围堰，围堰容积应大于设施内最大容器的容积；</w:t>
      </w:r>
    </w:p>
    <w:p>
      <w:pPr>
        <w:spacing w:line="360" w:lineRule="auto"/>
        <w:ind w:firstLine="420"/>
        <w:rPr>
          <w:color w:val="auto"/>
        </w:rPr>
      </w:pPr>
      <w:r>
        <w:rPr>
          <w:rFonts w:hint="eastAsia"/>
          <w:color w:val="auto"/>
        </w:rPr>
        <w:t>5</w:t>
      </w:r>
      <w:r>
        <w:rPr>
          <w:color w:val="auto"/>
        </w:rPr>
        <w:t xml:space="preserve"> </w:t>
      </w:r>
      <w:r>
        <w:rPr>
          <w:rFonts w:hint="eastAsia"/>
          <w:color w:val="auto"/>
        </w:rPr>
        <w:t>设施内应设有泄漏液体收集装置、气体导出口和气体净化装置；</w:t>
      </w:r>
    </w:p>
    <w:p>
      <w:pPr>
        <w:spacing w:line="360" w:lineRule="auto"/>
        <w:ind w:firstLine="420"/>
        <w:rPr>
          <w:color w:val="auto"/>
        </w:rPr>
      </w:pPr>
      <w:r>
        <w:rPr>
          <w:rFonts w:hint="eastAsia"/>
          <w:color w:val="auto"/>
        </w:rPr>
        <w:t>6</w:t>
      </w:r>
      <w:r>
        <w:rPr>
          <w:color w:val="auto"/>
        </w:rPr>
        <w:t xml:space="preserve"> </w:t>
      </w:r>
      <w:r>
        <w:rPr>
          <w:rFonts w:hint="eastAsia"/>
          <w:color w:val="auto"/>
        </w:rPr>
        <w:t>应</w:t>
      </w:r>
      <w:r>
        <w:rPr>
          <w:color w:val="auto"/>
        </w:rPr>
        <w:t>设置</w:t>
      </w:r>
      <w:r>
        <w:rPr>
          <w:rFonts w:hint="eastAsia"/>
          <w:color w:val="auto"/>
        </w:rPr>
        <w:t>安全照明和观察窗口，并应设有应急防护设施；</w:t>
      </w:r>
    </w:p>
    <w:p>
      <w:pPr>
        <w:spacing w:line="360" w:lineRule="auto"/>
        <w:ind w:firstLine="420"/>
        <w:rPr>
          <w:color w:val="auto"/>
        </w:rPr>
      </w:pPr>
      <w:r>
        <w:rPr>
          <w:rFonts w:hint="eastAsia"/>
          <w:color w:val="auto"/>
        </w:rPr>
        <w:t>7</w:t>
      </w:r>
      <w:r>
        <w:rPr>
          <w:color w:val="auto"/>
        </w:rPr>
        <w:t xml:space="preserve"> </w:t>
      </w:r>
      <w:r>
        <w:rPr>
          <w:rFonts w:hint="eastAsia"/>
          <w:color w:val="auto"/>
        </w:rPr>
        <w:t>应设有隔离设施、报警装置和防风、防晒、防雨设施及必备</w:t>
      </w:r>
      <w:r>
        <w:rPr>
          <w:color w:val="auto"/>
        </w:rPr>
        <w:t>的消防设施</w:t>
      </w:r>
      <w:r>
        <w:rPr>
          <w:rFonts w:hint="eastAsia"/>
          <w:color w:val="auto"/>
        </w:rPr>
        <w:t>；</w:t>
      </w:r>
    </w:p>
    <w:p>
      <w:pPr>
        <w:spacing w:line="360" w:lineRule="auto"/>
        <w:ind w:firstLine="420"/>
        <w:rPr>
          <w:color w:val="auto"/>
        </w:rPr>
      </w:pPr>
      <w:r>
        <w:rPr>
          <w:color w:val="auto"/>
        </w:rPr>
        <w:t xml:space="preserve">8 </w:t>
      </w:r>
      <w:r>
        <w:rPr>
          <w:rFonts w:hint="eastAsia"/>
          <w:color w:val="auto"/>
        </w:rPr>
        <w:t>墙面、棚面材料应具备防吸附特性，存放装载液体、半固体危险废物容器处场地应进行防腐蚀设计；</w:t>
      </w:r>
    </w:p>
    <w:p>
      <w:pPr>
        <w:spacing w:line="360" w:lineRule="auto"/>
        <w:ind w:firstLine="420"/>
        <w:rPr>
          <w:color w:val="auto"/>
        </w:rPr>
      </w:pPr>
      <w:r>
        <w:rPr>
          <w:color w:val="auto"/>
        </w:rPr>
        <w:t xml:space="preserve">9 </w:t>
      </w:r>
      <w:r>
        <w:rPr>
          <w:rFonts w:hint="eastAsia"/>
          <w:color w:val="auto"/>
        </w:rPr>
        <w:t>库房应设置备用通风系统和电视监视装置；</w:t>
      </w:r>
    </w:p>
    <w:p>
      <w:pPr>
        <w:spacing w:line="360" w:lineRule="auto"/>
        <w:ind w:firstLine="420"/>
        <w:rPr>
          <w:color w:val="auto"/>
        </w:rPr>
      </w:pPr>
      <w:r>
        <w:rPr>
          <w:rFonts w:hint="eastAsia"/>
          <w:color w:val="auto"/>
        </w:rPr>
        <w:t>1</w:t>
      </w:r>
      <w:r>
        <w:rPr>
          <w:color w:val="auto"/>
        </w:rPr>
        <w:t xml:space="preserve">0 </w:t>
      </w:r>
      <w:r>
        <w:rPr>
          <w:rFonts w:hint="eastAsia"/>
          <w:color w:val="auto"/>
        </w:rPr>
        <w:t>贮存设施容量的设计应考虑工艺运行要求和废物配伍焚烧的要求，贮存量宜满足不少于15d的运行要求。</w:t>
      </w:r>
    </w:p>
    <w:p>
      <w:pPr>
        <w:spacing w:line="360" w:lineRule="auto"/>
        <w:rPr>
          <w:color w:val="auto"/>
        </w:rPr>
      </w:pPr>
      <w:r>
        <w:rPr>
          <w:rFonts w:hint="eastAsia"/>
          <w:color w:val="auto"/>
        </w:rPr>
        <w:t>5.3.3危险废物贮存容器应满足下列要求：</w:t>
      </w:r>
    </w:p>
    <w:p>
      <w:pPr>
        <w:spacing w:line="360" w:lineRule="auto"/>
        <w:ind w:firstLine="420"/>
        <w:rPr>
          <w:color w:val="auto"/>
        </w:rPr>
      </w:pPr>
      <w:r>
        <w:rPr>
          <w:color w:val="auto"/>
        </w:rPr>
        <w:t>1</w:t>
      </w:r>
      <w:r>
        <w:rPr>
          <w:rFonts w:hint="eastAsia"/>
          <w:color w:val="auto"/>
        </w:rPr>
        <w:t xml:space="preserve"> 贮存容器应具有耐腐蚀、耐压、密封特性</w:t>
      </w:r>
      <w:r>
        <w:rPr>
          <w:color w:val="auto"/>
        </w:rPr>
        <w:t>，且</w:t>
      </w:r>
      <w:r>
        <w:rPr>
          <w:rFonts w:hint="eastAsia"/>
          <w:color w:val="auto"/>
        </w:rPr>
        <w:t>不得与所贮存的危险</w:t>
      </w:r>
      <w:r>
        <w:rPr>
          <w:color w:val="auto"/>
        </w:rPr>
        <w:t>废物</w:t>
      </w:r>
      <w:r>
        <w:rPr>
          <w:rFonts w:hint="eastAsia"/>
          <w:color w:val="auto"/>
        </w:rPr>
        <w:t>发生反应。贮存容器应具有明显标志。</w:t>
      </w:r>
    </w:p>
    <w:p>
      <w:pPr>
        <w:spacing w:line="360" w:lineRule="auto"/>
        <w:ind w:firstLine="420"/>
        <w:rPr>
          <w:color w:val="auto"/>
        </w:rPr>
      </w:pPr>
      <w:r>
        <w:rPr>
          <w:color w:val="auto"/>
        </w:rPr>
        <w:t xml:space="preserve">2 </w:t>
      </w:r>
      <w:r>
        <w:rPr>
          <w:rFonts w:hint="eastAsia"/>
          <w:color w:val="auto"/>
        </w:rPr>
        <w:t>贮存液体危险废物的</w:t>
      </w:r>
      <w:r>
        <w:rPr>
          <w:color w:val="auto"/>
        </w:rPr>
        <w:t>容器</w:t>
      </w:r>
      <w:r>
        <w:rPr>
          <w:rFonts w:hint="eastAsia"/>
          <w:color w:val="auto"/>
        </w:rPr>
        <w:t>开孔直径不应超过70毫米，</w:t>
      </w:r>
      <w:r>
        <w:rPr>
          <w:color w:val="auto"/>
        </w:rPr>
        <w:t>并应</w:t>
      </w:r>
      <w:r>
        <w:rPr>
          <w:rFonts w:hint="eastAsia"/>
          <w:color w:val="auto"/>
        </w:rPr>
        <w:t>设置放气孔。</w:t>
      </w:r>
    </w:p>
    <w:p>
      <w:pPr>
        <w:widowControl/>
        <w:jc w:val="left"/>
        <w:rPr>
          <w:color w:val="auto"/>
        </w:rPr>
      </w:pPr>
      <w:r>
        <w:rPr>
          <w:color w:val="auto"/>
        </w:rPr>
        <w:br w:type="page"/>
      </w:r>
      <w:bookmarkStart w:id="63" w:name="_GoBack"/>
      <w:bookmarkEnd w:id="63"/>
    </w:p>
    <w:p>
      <w:pPr>
        <w:widowControl/>
        <w:jc w:val="left"/>
        <w:rPr>
          <w:color w:val="auto"/>
        </w:rPr>
      </w:pPr>
    </w:p>
    <w:p>
      <w:pPr>
        <w:pStyle w:val="2"/>
        <w:spacing w:before="120" w:after="120"/>
        <w:jc w:val="center"/>
        <w:rPr>
          <w:color w:val="auto"/>
          <w:sz w:val="28"/>
          <w:szCs w:val="28"/>
        </w:rPr>
      </w:pPr>
      <w:bookmarkStart w:id="43" w:name="_Toc92877439"/>
      <w:r>
        <w:rPr>
          <w:rFonts w:hint="eastAsia"/>
          <w:color w:val="auto"/>
          <w:sz w:val="28"/>
          <w:szCs w:val="28"/>
        </w:rPr>
        <w:t xml:space="preserve">6 </w:t>
      </w:r>
      <w:r>
        <w:rPr>
          <w:color w:val="auto"/>
          <w:sz w:val="28"/>
          <w:szCs w:val="28"/>
        </w:rPr>
        <w:t>焚烧处置系统</w:t>
      </w:r>
      <w:bookmarkEnd w:id="43"/>
    </w:p>
    <w:p>
      <w:pPr>
        <w:pStyle w:val="3"/>
        <w:spacing w:before="0" w:after="0" w:line="360" w:lineRule="auto"/>
        <w:jc w:val="center"/>
        <w:rPr>
          <w:rFonts w:ascii="Times New Roman" w:hAnsi="Times New Roman" w:eastAsiaTheme="minorEastAsia"/>
          <w:color w:val="auto"/>
          <w:sz w:val="21"/>
          <w:szCs w:val="21"/>
        </w:rPr>
      </w:pPr>
      <w:bookmarkStart w:id="44" w:name="_Toc92877440"/>
      <w:r>
        <w:rPr>
          <w:rFonts w:ascii="Times New Roman" w:hAnsi="Times New Roman" w:eastAsiaTheme="minorEastAsia"/>
          <w:color w:val="auto"/>
          <w:sz w:val="21"/>
          <w:szCs w:val="21"/>
        </w:rPr>
        <w:t>6.1 一般要求</w:t>
      </w:r>
      <w:bookmarkEnd w:id="44"/>
    </w:p>
    <w:p>
      <w:pPr>
        <w:widowControl/>
        <w:spacing w:line="360" w:lineRule="auto"/>
        <w:rPr>
          <w:color w:val="auto"/>
          <w:szCs w:val="28"/>
        </w:rPr>
      </w:pPr>
      <w:r>
        <w:rPr>
          <w:color w:val="auto"/>
          <w:szCs w:val="28"/>
        </w:rPr>
        <w:t>6.1.1焚烧炉型的选择应</w:t>
      </w:r>
      <w:r>
        <w:rPr>
          <w:rFonts w:hint="eastAsia"/>
          <w:color w:val="auto"/>
          <w:szCs w:val="28"/>
        </w:rPr>
        <w:t>根据</w:t>
      </w:r>
      <w:r>
        <w:rPr>
          <w:color w:val="auto"/>
          <w:szCs w:val="28"/>
        </w:rPr>
        <w:t>需处理的危险废物组成、当地的产业结构和市场变化趋势</w:t>
      </w:r>
      <w:r>
        <w:rPr>
          <w:rFonts w:hint="eastAsia"/>
          <w:color w:val="auto"/>
          <w:szCs w:val="28"/>
        </w:rPr>
        <w:t>确定</w:t>
      </w:r>
      <w:r>
        <w:rPr>
          <w:color w:val="auto"/>
          <w:szCs w:val="28"/>
        </w:rPr>
        <w:t>，</w:t>
      </w:r>
      <w:r>
        <w:rPr>
          <w:color w:val="auto"/>
          <w:szCs w:val="28"/>
          <w:highlight w:val="none"/>
        </w:rPr>
        <w:t>并</w:t>
      </w:r>
      <w:r>
        <w:rPr>
          <w:rFonts w:hint="eastAsia"/>
          <w:color w:val="auto"/>
          <w:szCs w:val="28"/>
          <w:highlight w:val="none"/>
        </w:rPr>
        <w:t>宜</w:t>
      </w:r>
      <w:r>
        <w:rPr>
          <w:color w:val="auto"/>
          <w:szCs w:val="28"/>
          <w:highlight w:val="none"/>
        </w:rPr>
        <w:t>留有一定的机动性和适度发展余地。</w:t>
      </w:r>
    </w:p>
    <w:p>
      <w:pPr>
        <w:widowControl/>
        <w:spacing w:line="360" w:lineRule="auto"/>
        <w:rPr>
          <w:color w:val="auto"/>
          <w:szCs w:val="28"/>
        </w:rPr>
      </w:pPr>
      <w:r>
        <w:rPr>
          <w:color w:val="auto"/>
          <w:szCs w:val="28"/>
        </w:rPr>
        <w:t>6.1.2</w:t>
      </w:r>
      <w:r>
        <w:rPr>
          <w:color w:val="auto"/>
          <w:szCs w:val="28"/>
        </w:rPr>
        <w:t>工艺路线</w:t>
      </w:r>
      <w:r>
        <w:rPr>
          <w:rFonts w:hint="eastAsia"/>
          <w:color w:val="auto"/>
          <w:szCs w:val="28"/>
        </w:rPr>
        <w:t>应根据</w:t>
      </w:r>
      <w:r>
        <w:rPr>
          <w:color w:val="auto"/>
          <w:szCs w:val="28"/>
        </w:rPr>
        <w:t>危险废物的复杂性和多变性</w:t>
      </w:r>
      <w:r>
        <w:rPr>
          <w:rFonts w:hint="eastAsia"/>
          <w:color w:val="auto"/>
          <w:szCs w:val="28"/>
        </w:rPr>
        <w:t>确定</w:t>
      </w:r>
      <w:r>
        <w:rPr>
          <w:color w:val="auto"/>
          <w:szCs w:val="28"/>
        </w:rPr>
        <w:t>，焚烧</w:t>
      </w:r>
      <w:r>
        <w:rPr>
          <w:rFonts w:hint="eastAsia"/>
          <w:color w:val="auto"/>
          <w:szCs w:val="28"/>
        </w:rPr>
        <w:t>主体</w:t>
      </w:r>
      <w:r>
        <w:rPr>
          <w:color w:val="auto"/>
          <w:szCs w:val="28"/>
        </w:rPr>
        <w:t>设备</w:t>
      </w:r>
      <w:r>
        <w:rPr>
          <w:rFonts w:hint="eastAsia"/>
          <w:color w:val="auto"/>
          <w:szCs w:val="28"/>
        </w:rPr>
        <w:t>选择</w:t>
      </w:r>
      <w:r>
        <w:rPr>
          <w:color w:val="auto"/>
          <w:szCs w:val="28"/>
        </w:rPr>
        <w:t>应兼顾通用性、广泛性</w:t>
      </w:r>
      <w:r>
        <w:rPr>
          <w:rFonts w:hint="eastAsia"/>
          <w:color w:val="auto"/>
          <w:szCs w:val="28"/>
        </w:rPr>
        <w:t>、</w:t>
      </w:r>
      <w:r>
        <w:rPr>
          <w:color w:val="auto"/>
          <w:szCs w:val="28"/>
        </w:rPr>
        <w:t>稳定性。</w:t>
      </w:r>
    </w:p>
    <w:p>
      <w:pPr>
        <w:widowControl/>
        <w:jc w:val="left"/>
        <w:rPr>
          <w:color w:val="auto"/>
          <w:sz w:val="28"/>
          <w:szCs w:val="28"/>
        </w:rPr>
      </w:pPr>
    </w:p>
    <w:p>
      <w:pPr>
        <w:pStyle w:val="3"/>
        <w:spacing w:before="0" w:after="0" w:line="360" w:lineRule="auto"/>
        <w:jc w:val="center"/>
        <w:rPr>
          <w:rFonts w:ascii="Times New Roman" w:hAnsi="Times New Roman" w:eastAsiaTheme="minorEastAsia"/>
          <w:color w:val="auto"/>
          <w:sz w:val="21"/>
          <w:szCs w:val="21"/>
        </w:rPr>
      </w:pPr>
      <w:bookmarkStart w:id="45" w:name="_Toc92877441"/>
      <w:r>
        <w:rPr>
          <w:rFonts w:ascii="Times New Roman" w:hAnsi="Times New Roman" w:eastAsiaTheme="minorEastAsia"/>
          <w:color w:val="auto"/>
          <w:sz w:val="21"/>
          <w:szCs w:val="21"/>
        </w:rPr>
        <w:t>6.2 预处理及进料系统</w:t>
      </w:r>
      <w:bookmarkEnd w:id="45"/>
    </w:p>
    <w:p>
      <w:pPr>
        <w:widowControl/>
        <w:spacing w:line="360" w:lineRule="auto"/>
        <w:rPr>
          <w:color w:val="auto"/>
          <w:szCs w:val="28"/>
        </w:rPr>
      </w:pPr>
      <w:r>
        <w:rPr>
          <w:color w:val="auto"/>
          <w:szCs w:val="28"/>
        </w:rPr>
        <w:t>6.2.1固体危险废物预处理</w:t>
      </w:r>
      <w:r>
        <w:rPr>
          <w:rFonts w:hint="eastAsia"/>
          <w:color w:val="auto"/>
          <w:szCs w:val="28"/>
        </w:rPr>
        <w:t>工艺</w:t>
      </w:r>
      <w:r>
        <w:rPr>
          <w:rFonts w:hint="eastAsia"/>
          <w:color w:val="auto"/>
          <w:szCs w:val="28"/>
        </w:rPr>
        <w:t>应</w:t>
      </w:r>
      <w:r>
        <w:rPr>
          <w:color w:val="auto"/>
          <w:szCs w:val="28"/>
        </w:rPr>
        <w:t>包括破碎、混合、包装、分拣</w:t>
      </w:r>
      <w:r>
        <w:rPr>
          <w:rFonts w:hint="eastAsia"/>
          <w:color w:val="auto"/>
          <w:szCs w:val="28"/>
        </w:rPr>
        <w:t>，</w:t>
      </w:r>
      <w:r>
        <w:rPr>
          <w:color w:val="auto"/>
          <w:szCs w:val="28"/>
        </w:rPr>
        <w:t>液体危险废物预处理</w:t>
      </w:r>
      <w:r>
        <w:rPr>
          <w:rFonts w:hint="eastAsia"/>
          <w:color w:val="auto"/>
          <w:szCs w:val="28"/>
        </w:rPr>
        <w:t>工艺</w:t>
      </w:r>
      <w:r>
        <w:rPr>
          <w:rFonts w:hint="eastAsia"/>
          <w:color w:val="auto"/>
          <w:szCs w:val="28"/>
        </w:rPr>
        <w:t>应</w:t>
      </w:r>
      <w:r>
        <w:rPr>
          <w:color w:val="auto"/>
          <w:szCs w:val="28"/>
        </w:rPr>
        <w:t>包括多级过滤、</w:t>
      </w:r>
      <w:r>
        <w:rPr>
          <w:color w:val="auto"/>
          <w:szCs w:val="28"/>
        </w:rPr>
        <w:t>酸碱度</w:t>
      </w:r>
      <w:r>
        <w:rPr>
          <w:rFonts w:hint="eastAsia"/>
          <w:color w:val="auto"/>
          <w:szCs w:val="28"/>
        </w:rPr>
        <w:t>和</w:t>
      </w:r>
      <w:r>
        <w:rPr>
          <w:color w:val="auto"/>
          <w:szCs w:val="28"/>
        </w:rPr>
        <w:t>热值</w:t>
      </w:r>
      <w:r>
        <w:rPr>
          <w:rFonts w:hint="eastAsia"/>
          <w:color w:val="auto"/>
          <w:szCs w:val="28"/>
        </w:rPr>
        <w:t>的</w:t>
      </w:r>
      <w:r>
        <w:rPr>
          <w:color w:val="auto"/>
          <w:szCs w:val="28"/>
        </w:rPr>
        <w:t>混匀调质</w:t>
      </w:r>
      <w:r>
        <w:rPr>
          <w:rFonts w:hint="eastAsia"/>
          <w:color w:val="auto"/>
          <w:szCs w:val="28"/>
        </w:rPr>
        <w:t>。</w:t>
      </w:r>
    </w:p>
    <w:p>
      <w:pPr>
        <w:widowControl/>
        <w:spacing w:line="360" w:lineRule="auto"/>
        <w:rPr>
          <w:color w:val="auto"/>
          <w:szCs w:val="28"/>
        </w:rPr>
      </w:pPr>
      <w:r>
        <w:rPr>
          <w:color w:val="auto"/>
          <w:szCs w:val="28"/>
        </w:rPr>
        <w:t>6.2.2进料</w:t>
      </w:r>
      <w:r>
        <w:rPr>
          <w:rFonts w:hint="eastAsia"/>
          <w:color w:val="auto"/>
          <w:szCs w:val="28"/>
        </w:rPr>
        <w:t>系统</w:t>
      </w:r>
      <w:r>
        <w:rPr>
          <w:color w:val="auto"/>
          <w:szCs w:val="28"/>
        </w:rPr>
        <w:t>应</w:t>
      </w:r>
      <w:r>
        <w:rPr>
          <w:rFonts w:hint="eastAsia"/>
          <w:color w:val="auto"/>
          <w:szCs w:val="28"/>
        </w:rPr>
        <w:t>根据</w:t>
      </w:r>
      <w:r>
        <w:rPr>
          <w:color w:val="auto"/>
          <w:szCs w:val="28"/>
        </w:rPr>
        <w:t>物料的相容性</w:t>
      </w:r>
      <w:r>
        <w:rPr>
          <w:rFonts w:hint="eastAsia"/>
          <w:color w:val="auto"/>
          <w:szCs w:val="28"/>
        </w:rPr>
        <w:t>进行设置，并应符合下列规定：</w:t>
      </w:r>
    </w:p>
    <w:p>
      <w:pPr>
        <w:widowControl/>
        <w:spacing w:line="360" w:lineRule="auto"/>
        <w:ind w:firstLine="420" w:firstLineChars="200"/>
        <w:rPr>
          <w:color w:val="auto"/>
          <w:szCs w:val="28"/>
        </w:rPr>
      </w:pPr>
      <w:r>
        <w:rPr>
          <w:rFonts w:hint="eastAsia"/>
          <w:color w:val="auto"/>
          <w:szCs w:val="28"/>
        </w:rPr>
        <w:t>1 混合后会</w:t>
      </w:r>
      <w:r>
        <w:rPr>
          <w:color w:val="auto"/>
          <w:szCs w:val="28"/>
        </w:rPr>
        <w:t>剧烈放热、释放气体、爆炸的物料不</w:t>
      </w:r>
      <w:r>
        <w:rPr>
          <w:rFonts w:hint="eastAsia"/>
          <w:color w:val="auto"/>
          <w:szCs w:val="28"/>
        </w:rPr>
        <w:t>应</w:t>
      </w:r>
      <w:r>
        <w:rPr>
          <w:color w:val="auto"/>
          <w:szCs w:val="28"/>
        </w:rPr>
        <w:t>同时进料或混合</w:t>
      </w:r>
      <w:r>
        <w:rPr>
          <w:rFonts w:hint="eastAsia"/>
          <w:color w:val="auto"/>
          <w:szCs w:val="28"/>
        </w:rPr>
        <w:t>。</w:t>
      </w:r>
    </w:p>
    <w:p>
      <w:pPr>
        <w:widowControl/>
        <w:spacing w:line="360" w:lineRule="auto"/>
        <w:ind w:firstLine="420" w:firstLineChars="200"/>
        <w:rPr>
          <w:color w:val="auto"/>
          <w:szCs w:val="28"/>
        </w:rPr>
      </w:pPr>
      <w:r>
        <w:rPr>
          <w:rFonts w:hint="eastAsia"/>
          <w:color w:val="auto"/>
          <w:szCs w:val="28"/>
        </w:rPr>
        <w:t xml:space="preserve">2 </w:t>
      </w:r>
      <w:r>
        <w:rPr>
          <w:color w:val="auto"/>
          <w:szCs w:val="28"/>
        </w:rPr>
        <w:t>酸性和</w:t>
      </w:r>
      <w:r>
        <w:rPr>
          <w:rFonts w:hint="eastAsia"/>
          <w:color w:val="auto"/>
          <w:szCs w:val="28"/>
        </w:rPr>
        <w:t>碱性物料入炉应</w:t>
      </w:r>
      <w:r>
        <w:rPr>
          <w:color w:val="auto"/>
          <w:szCs w:val="28"/>
        </w:rPr>
        <w:t>预</w:t>
      </w:r>
      <w:r>
        <w:rPr>
          <w:rFonts w:hint="eastAsia"/>
          <w:color w:val="auto"/>
          <w:szCs w:val="28"/>
        </w:rPr>
        <w:t>先混合</w:t>
      </w:r>
      <w:r>
        <w:rPr>
          <w:rFonts w:hint="eastAsia"/>
          <w:color w:val="auto"/>
          <w:szCs w:val="28"/>
        </w:rPr>
        <w:t>。</w:t>
      </w:r>
    </w:p>
    <w:p>
      <w:pPr>
        <w:widowControl/>
        <w:spacing w:line="360" w:lineRule="auto"/>
        <w:rPr>
          <w:color w:val="auto"/>
          <w:szCs w:val="28"/>
        </w:rPr>
      </w:pPr>
      <w:r>
        <w:rPr>
          <w:color w:val="auto"/>
          <w:szCs w:val="28"/>
        </w:rPr>
        <w:t>6.2.3进料口附近</w:t>
      </w:r>
      <w:r>
        <w:rPr>
          <w:rFonts w:hint="eastAsia"/>
          <w:color w:val="auto"/>
          <w:szCs w:val="28"/>
        </w:rPr>
        <w:t>应</w:t>
      </w:r>
      <w:r>
        <w:rPr>
          <w:color w:val="auto"/>
          <w:szCs w:val="28"/>
        </w:rPr>
        <w:t>设置固体废物暂存坑</w:t>
      </w:r>
      <w:r>
        <w:rPr>
          <w:rFonts w:hint="eastAsia"/>
          <w:color w:val="auto"/>
          <w:szCs w:val="28"/>
        </w:rPr>
        <w:t>，并</w:t>
      </w:r>
      <w:r>
        <w:rPr>
          <w:color w:val="auto"/>
          <w:szCs w:val="28"/>
        </w:rPr>
        <w:t>应做好防腐、除臭措施</w:t>
      </w:r>
      <w:r>
        <w:rPr>
          <w:rFonts w:hint="eastAsia"/>
          <w:color w:val="auto"/>
          <w:szCs w:val="28"/>
        </w:rPr>
        <w:t>，坑底应设置排液孔</w:t>
      </w:r>
      <w:r>
        <w:rPr>
          <w:color w:val="auto"/>
          <w:szCs w:val="28"/>
        </w:rPr>
        <w:t>。</w:t>
      </w:r>
    </w:p>
    <w:p>
      <w:pPr>
        <w:widowControl/>
        <w:spacing w:line="360" w:lineRule="auto"/>
        <w:rPr>
          <w:color w:val="auto"/>
          <w:szCs w:val="28"/>
        </w:rPr>
      </w:pPr>
      <w:r>
        <w:rPr>
          <w:color w:val="auto"/>
          <w:szCs w:val="28"/>
        </w:rPr>
        <w:t>6.2.</w:t>
      </w:r>
      <w:r>
        <w:rPr>
          <w:rFonts w:hint="eastAsia"/>
          <w:color w:val="auto"/>
          <w:szCs w:val="28"/>
        </w:rPr>
        <w:t>4危险废物</w:t>
      </w:r>
      <w:r>
        <w:rPr>
          <w:color w:val="auto"/>
          <w:szCs w:val="28"/>
        </w:rPr>
        <w:t>的进料方式</w:t>
      </w:r>
      <w:r>
        <w:rPr>
          <w:rFonts w:hint="eastAsia"/>
          <w:color w:val="auto"/>
          <w:szCs w:val="28"/>
        </w:rPr>
        <w:t>应符合下列</w:t>
      </w:r>
      <w:r>
        <w:rPr>
          <w:color w:val="auto"/>
          <w:szCs w:val="28"/>
        </w:rPr>
        <w:t>规定：</w:t>
      </w:r>
    </w:p>
    <w:p>
      <w:pPr>
        <w:widowControl/>
        <w:spacing w:line="360" w:lineRule="auto"/>
        <w:ind w:firstLine="420"/>
        <w:rPr>
          <w:color w:val="auto"/>
          <w:szCs w:val="28"/>
        </w:rPr>
      </w:pPr>
      <w:r>
        <w:rPr>
          <w:rFonts w:hint="eastAsia"/>
          <w:color w:val="auto"/>
          <w:szCs w:val="28"/>
        </w:rPr>
        <w:t>1</w:t>
      </w:r>
      <w:r>
        <w:rPr>
          <w:color w:val="auto"/>
          <w:szCs w:val="28"/>
        </w:rPr>
        <w:t>经破碎后尺寸合格的固体危险废物</w:t>
      </w:r>
      <w:r>
        <w:rPr>
          <w:rFonts w:hint="eastAsia"/>
          <w:color w:val="auto"/>
          <w:szCs w:val="28"/>
        </w:rPr>
        <w:t>应</w:t>
      </w:r>
      <w:r>
        <w:rPr>
          <w:color w:val="auto"/>
          <w:szCs w:val="28"/>
        </w:rPr>
        <w:t>通过行车抓斗送入回转窑进料口，</w:t>
      </w:r>
      <w:r>
        <w:rPr>
          <w:rFonts w:hint="eastAsia"/>
          <w:color w:val="auto"/>
          <w:szCs w:val="28"/>
        </w:rPr>
        <w:t>并应</w:t>
      </w:r>
      <w:r>
        <w:rPr>
          <w:color w:val="auto"/>
          <w:szCs w:val="28"/>
        </w:rPr>
        <w:t>通过液压推杆或进料溜槽送入回转窑；粉状的固体废物宜采用包装袋包装，</w:t>
      </w:r>
      <w:r>
        <w:rPr>
          <w:rFonts w:hint="eastAsia"/>
          <w:color w:val="auto"/>
          <w:szCs w:val="28"/>
        </w:rPr>
        <w:t>并应</w:t>
      </w:r>
      <w:r>
        <w:rPr>
          <w:color w:val="auto"/>
          <w:szCs w:val="28"/>
        </w:rPr>
        <w:t>经过垂直斗提机送至进料平台</w:t>
      </w:r>
      <w:r>
        <w:rPr>
          <w:rFonts w:hint="eastAsia"/>
          <w:color w:val="auto"/>
          <w:szCs w:val="28"/>
        </w:rPr>
        <w:t>后</w:t>
      </w:r>
      <w:r>
        <w:rPr>
          <w:color w:val="auto"/>
          <w:szCs w:val="28"/>
        </w:rPr>
        <w:t>通过液压推杆送入回转窑</w:t>
      </w:r>
      <w:r>
        <w:rPr>
          <w:rFonts w:hint="eastAsia"/>
          <w:color w:val="auto"/>
          <w:szCs w:val="28"/>
        </w:rPr>
        <w:t>；</w:t>
      </w:r>
    </w:p>
    <w:p>
      <w:pPr>
        <w:widowControl/>
        <w:spacing w:line="360" w:lineRule="auto"/>
        <w:ind w:firstLine="420"/>
        <w:rPr>
          <w:color w:val="auto"/>
          <w:szCs w:val="28"/>
        </w:rPr>
      </w:pPr>
      <w:r>
        <w:rPr>
          <w:rFonts w:hint="eastAsia"/>
          <w:color w:val="auto"/>
          <w:szCs w:val="28"/>
        </w:rPr>
        <w:t>2</w:t>
      </w:r>
      <w:r>
        <w:rPr>
          <w:color w:val="auto"/>
          <w:szCs w:val="28"/>
        </w:rPr>
        <w:t xml:space="preserve"> 液体危险废物</w:t>
      </w:r>
      <w:r>
        <w:rPr>
          <w:rFonts w:hint="eastAsia"/>
          <w:color w:val="auto"/>
          <w:szCs w:val="28"/>
        </w:rPr>
        <w:t>应</w:t>
      </w:r>
      <w:r>
        <w:rPr>
          <w:color w:val="auto"/>
          <w:szCs w:val="28"/>
        </w:rPr>
        <w:t>采用直接喂料泵输送，</w:t>
      </w:r>
      <w:r>
        <w:rPr>
          <w:rFonts w:hint="eastAsia"/>
          <w:color w:val="auto"/>
          <w:szCs w:val="28"/>
        </w:rPr>
        <w:t>且应</w:t>
      </w:r>
      <w:r>
        <w:rPr>
          <w:color w:val="auto"/>
          <w:szCs w:val="28"/>
        </w:rPr>
        <w:t>由废液喷枪上料，其中</w:t>
      </w:r>
      <w:r>
        <w:rPr>
          <w:rFonts w:hint="eastAsia"/>
          <w:color w:val="auto"/>
          <w:szCs w:val="28"/>
        </w:rPr>
        <w:t>热值大于2000kcal/kg的</w:t>
      </w:r>
      <w:r>
        <w:rPr>
          <w:color w:val="auto"/>
          <w:szCs w:val="28"/>
        </w:rPr>
        <w:t>高热值液体</w:t>
      </w:r>
      <w:r>
        <w:rPr>
          <w:rFonts w:hint="eastAsia"/>
          <w:color w:val="auto"/>
          <w:szCs w:val="21"/>
        </w:rPr>
        <w:t>危险废物应</w:t>
      </w:r>
      <w:r>
        <w:rPr>
          <w:color w:val="auto"/>
          <w:szCs w:val="28"/>
        </w:rPr>
        <w:t>从二燃室送入，</w:t>
      </w:r>
      <w:r>
        <w:rPr>
          <w:rFonts w:hint="eastAsia"/>
          <w:color w:val="auto"/>
          <w:szCs w:val="28"/>
        </w:rPr>
        <w:t>热值</w:t>
      </w:r>
      <w:r>
        <w:rPr>
          <w:color w:val="auto"/>
          <w:szCs w:val="28"/>
        </w:rPr>
        <w:t>低于</w:t>
      </w:r>
      <w:r>
        <w:rPr>
          <w:rFonts w:hint="eastAsia"/>
          <w:color w:val="auto"/>
          <w:szCs w:val="28"/>
        </w:rPr>
        <w:t>2000kcal/kg的</w:t>
      </w:r>
      <w:r>
        <w:rPr>
          <w:color w:val="auto"/>
          <w:szCs w:val="28"/>
        </w:rPr>
        <w:t>低热值液体</w:t>
      </w:r>
      <w:r>
        <w:rPr>
          <w:rFonts w:hint="eastAsia"/>
          <w:color w:val="auto"/>
          <w:szCs w:val="21"/>
        </w:rPr>
        <w:t>危险废物应</w:t>
      </w:r>
      <w:r>
        <w:rPr>
          <w:color w:val="auto"/>
          <w:szCs w:val="28"/>
        </w:rPr>
        <w:t>从回转窑窑头送入。</w:t>
      </w:r>
    </w:p>
    <w:p>
      <w:pPr>
        <w:widowControl/>
        <w:spacing w:line="360" w:lineRule="auto"/>
        <w:ind w:firstLine="420"/>
        <w:rPr>
          <w:color w:val="auto"/>
          <w:szCs w:val="28"/>
        </w:rPr>
      </w:pPr>
      <w:r>
        <w:rPr>
          <w:rFonts w:hint="eastAsia"/>
          <w:color w:val="auto"/>
          <w:szCs w:val="28"/>
        </w:rPr>
        <w:t>3</w:t>
      </w:r>
      <w:r>
        <w:rPr>
          <w:color w:val="auto"/>
          <w:szCs w:val="28"/>
        </w:rPr>
        <w:t xml:space="preserve"> </w:t>
      </w:r>
      <w:r>
        <w:rPr>
          <w:rFonts w:hint="eastAsia"/>
          <w:color w:val="auto"/>
          <w:szCs w:val="28"/>
        </w:rPr>
        <w:t>膏状体物料</w:t>
      </w:r>
      <w:r>
        <w:rPr>
          <w:rFonts w:hint="eastAsia"/>
          <w:color w:val="auto"/>
          <w:szCs w:val="28"/>
        </w:rPr>
        <w:t>宜</w:t>
      </w:r>
      <w:r>
        <w:rPr>
          <w:color w:val="auto"/>
          <w:szCs w:val="28"/>
        </w:rPr>
        <w:t>通过</w:t>
      </w:r>
      <w:r>
        <w:rPr>
          <w:rFonts w:hint="eastAsia"/>
          <w:color w:val="auto"/>
          <w:szCs w:val="28"/>
        </w:rPr>
        <w:t>沉淀</w:t>
      </w:r>
      <w:r>
        <w:rPr>
          <w:color w:val="auto"/>
          <w:szCs w:val="28"/>
        </w:rPr>
        <w:t>、固化</w:t>
      </w:r>
      <w:r>
        <w:rPr>
          <w:rFonts w:hint="eastAsia"/>
          <w:color w:val="auto"/>
          <w:szCs w:val="28"/>
        </w:rPr>
        <w:t>、</w:t>
      </w:r>
      <w:r>
        <w:rPr>
          <w:rFonts w:hint="eastAsia"/>
          <w:color w:val="auto"/>
          <w:szCs w:val="28"/>
        </w:rPr>
        <w:t>混入</w:t>
      </w:r>
      <w:r>
        <w:rPr>
          <w:color w:val="auto"/>
          <w:szCs w:val="28"/>
        </w:rPr>
        <w:t>熟石灰、干木屑后作为固体物料上料，</w:t>
      </w:r>
      <w:r>
        <w:rPr>
          <w:rFonts w:hint="eastAsia"/>
          <w:color w:val="auto"/>
          <w:szCs w:val="28"/>
        </w:rPr>
        <w:t>也可</w:t>
      </w:r>
      <w:r>
        <w:rPr>
          <w:rFonts w:hint="eastAsia"/>
          <w:color w:val="auto"/>
          <w:szCs w:val="28"/>
        </w:rPr>
        <w:t>通过</w:t>
      </w:r>
      <w:r>
        <w:rPr>
          <w:color w:val="auto"/>
          <w:szCs w:val="28"/>
        </w:rPr>
        <w:t>柱塞泵</w:t>
      </w:r>
      <w:r>
        <w:rPr>
          <w:rFonts w:hint="eastAsia"/>
          <w:color w:val="auto"/>
          <w:szCs w:val="28"/>
        </w:rPr>
        <w:t>和</w:t>
      </w:r>
      <w:r>
        <w:rPr>
          <w:color w:val="auto"/>
          <w:szCs w:val="28"/>
        </w:rPr>
        <w:t>喷枪</w:t>
      </w:r>
      <w:r>
        <w:rPr>
          <w:rFonts w:hint="eastAsia"/>
          <w:color w:val="auto"/>
          <w:szCs w:val="28"/>
        </w:rPr>
        <w:t>送入</w:t>
      </w:r>
      <w:r>
        <w:rPr>
          <w:color w:val="auto"/>
          <w:szCs w:val="28"/>
        </w:rPr>
        <w:t>回转窑。</w:t>
      </w:r>
    </w:p>
    <w:p>
      <w:pPr>
        <w:widowControl/>
        <w:spacing w:line="360" w:lineRule="auto"/>
        <w:rPr>
          <w:color w:val="auto"/>
          <w:szCs w:val="28"/>
        </w:rPr>
      </w:pPr>
      <w:r>
        <w:rPr>
          <w:rFonts w:hint="eastAsia"/>
          <w:color w:val="auto"/>
          <w:szCs w:val="28"/>
        </w:rPr>
        <w:t>6.2.5进料</w:t>
      </w:r>
      <w:r>
        <w:rPr>
          <w:color w:val="auto"/>
          <w:szCs w:val="28"/>
        </w:rPr>
        <w:t>抓斗、进料斗</w:t>
      </w:r>
      <w:r>
        <w:rPr>
          <w:rFonts w:hint="eastAsia"/>
          <w:color w:val="auto"/>
          <w:szCs w:val="28"/>
        </w:rPr>
        <w:t>和</w:t>
      </w:r>
      <w:r>
        <w:rPr>
          <w:color w:val="auto"/>
          <w:szCs w:val="28"/>
        </w:rPr>
        <w:t>液体泵送管道</w:t>
      </w:r>
      <w:r>
        <w:rPr>
          <w:rFonts w:hint="eastAsia"/>
          <w:color w:val="auto"/>
          <w:szCs w:val="28"/>
        </w:rPr>
        <w:t>应</w:t>
      </w:r>
      <w:r>
        <w:rPr>
          <w:color w:val="auto"/>
          <w:szCs w:val="28"/>
        </w:rPr>
        <w:t>设置计量装置</w:t>
      </w:r>
      <w:r>
        <w:rPr>
          <w:rFonts w:hint="eastAsia"/>
          <w:color w:val="auto"/>
          <w:szCs w:val="28"/>
        </w:rPr>
        <w:t>。</w:t>
      </w:r>
      <w:r>
        <w:rPr>
          <w:rFonts w:hint="eastAsia"/>
          <w:color w:val="auto"/>
          <w:szCs w:val="28"/>
        </w:rPr>
        <w:t>进料量应根据入炉的热负荷和污染负荷进行确定。</w:t>
      </w:r>
    </w:p>
    <w:p>
      <w:pPr>
        <w:pStyle w:val="3"/>
        <w:spacing w:before="0" w:after="0" w:line="360" w:lineRule="auto"/>
        <w:jc w:val="center"/>
        <w:rPr>
          <w:rFonts w:asciiTheme="minorEastAsia" w:hAnsiTheme="minorEastAsia" w:eastAsiaTheme="minorEastAsia"/>
          <w:color w:val="auto"/>
          <w:sz w:val="21"/>
          <w:szCs w:val="21"/>
        </w:rPr>
      </w:pPr>
      <w:bookmarkStart w:id="46" w:name="_Toc92877442"/>
      <w:r>
        <w:rPr>
          <w:rFonts w:hint="eastAsia" w:asciiTheme="minorEastAsia" w:hAnsiTheme="minorEastAsia" w:eastAsiaTheme="minorEastAsia"/>
          <w:color w:val="auto"/>
          <w:sz w:val="21"/>
          <w:szCs w:val="21"/>
        </w:rPr>
        <w:t>6.3 焚烧系统</w:t>
      </w:r>
      <w:bookmarkEnd w:id="46"/>
    </w:p>
    <w:p>
      <w:pPr>
        <w:widowControl/>
        <w:spacing w:line="360" w:lineRule="auto"/>
        <w:jc w:val="left"/>
        <w:rPr>
          <w:color w:val="auto"/>
          <w:szCs w:val="28"/>
        </w:rPr>
      </w:pPr>
      <w:r>
        <w:rPr>
          <w:rFonts w:hint="eastAsia"/>
          <w:color w:val="auto"/>
          <w:szCs w:val="28"/>
        </w:rPr>
        <w:t>6.3.1危险</w:t>
      </w:r>
      <w:r>
        <w:rPr>
          <w:color w:val="auto"/>
          <w:szCs w:val="28"/>
        </w:rPr>
        <w:t>废物</w:t>
      </w:r>
      <w:r>
        <w:rPr>
          <w:rFonts w:hint="eastAsia"/>
          <w:color w:val="auto"/>
          <w:szCs w:val="28"/>
        </w:rPr>
        <w:t>焚烧系统</w:t>
      </w:r>
      <w:r>
        <w:rPr>
          <w:color w:val="auto"/>
          <w:szCs w:val="28"/>
        </w:rPr>
        <w:t>应包括回转窑和二燃室。</w:t>
      </w:r>
    </w:p>
    <w:p>
      <w:pPr>
        <w:widowControl/>
        <w:spacing w:line="360" w:lineRule="auto"/>
        <w:jc w:val="left"/>
        <w:rPr>
          <w:color w:val="auto"/>
          <w:szCs w:val="28"/>
        </w:rPr>
      </w:pPr>
      <w:r>
        <w:rPr>
          <w:color w:val="auto"/>
          <w:szCs w:val="28"/>
        </w:rPr>
        <w:t>6.3.2回转窑</w:t>
      </w:r>
      <w:r>
        <w:rPr>
          <w:rFonts w:hint="eastAsia"/>
          <w:color w:val="auto"/>
          <w:szCs w:val="28"/>
        </w:rPr>
        <w:t>设计应符合下列</w:t>
      </w:r>
      <w:r>
        <w:rPr>
          <w:color w:val="auto"/>
          <w:szCs w:val="28"/>
        </w:rPr>
        <w:t xml:space="preserve">规定： </w:t>
      </w:r>
    </w:p>
    <w:p>
      <w:pPr>
        <w:widowControl/>
        <w:spacing w:line="360" w:lineRule="auto"/>
        <w:ind w:firstLine="420" w:firstLineChars="200"/>
        <w:jc w:val="left"/>
        <w:rPr>
          <w:color w:val="auto"/>
          <w:szCs w:val="28"/>
        </w:rPr>
      </w:pPr>
      <w:r>
        <w:rPr>
          <w:color w:val="auto"/>
          <w:szCs w:val="28"/>
        </w:rPr>
        <w:t>1 尺寸</w:t>
      </w:r>
      <w:r>
        <w:rPr>
          <w:rFonts w:hint="eastAsia"/>
          <w:color w:val="auto"/>
          <w:szCs w:val="28"/>
        </w:rPr>
        <w:t>应</w:t>
      </w:r>
      <w:r>
        <w:rPr>
          <w:color w:val="auto"/>
          <w:szCs w:val="28"/>
        </w:rPr>
        <w:t>根据</w:t>
      </w:r>
      <w:r>
        <w:rPr>
          <w:rFonts w:hint="eastAsia"/>
          <w:color w:val="auto"/>
          <w:szCs w:val="28"/>
        </w:rPr>
        <w:t>危险</w:t>
      </w:r>
      <w:r>
        <w:rPr>
          <w:color w:val="auto"/>
          <w:szCs w:val="28"/>
        </w:rPr>
        <w:t>废物处置规模、运行工况</w:t>
      </w:r>
      <w:r>
        <w:rPr>
          <w:rFonts w:hint="eastAsia"/>
          <w:color w:val="auto"/>
          <w:szCs w:val="28"/>
        </w:rPr>
        <w:t>确定；</w:t>
      </w:r>
    </w:p>
    <w:p>
      <w:pPr>
        <w:widowControl/>
        <w:spacing w:line="360" w:lineRule="auto"/>
        <w:ind w:firstLine="420" w:firstLineChars="200"/>
        <w:jc w:val="left"/>
        <w:rPr>
          <w:color w:val="auto"/>
          <w:szCs w:val="28"/>
        </w:rPr>
      </w:pPr>
      <w:r>
        <w:rPr>
          <w:color w:val="auto"/>
          <w:szCs w:val="28"/>
        </w:rPr>
        <w:t>2</w:t>
      </w:r>
      <w:r>
        <w:rPr>
          <w:rFonts w:hint="eastAsia"/>
          <w:color w:val="auto"/>
          <w:szCs w:val="28"/>
        </w:rPr>
        <w:t xml:space="preserve"> </w:t>
      </w:r>
      <w:r>
        <w:rPr>
          <w:color w:val="auto"/>
          <w:szCs w:val="28"/>
        </w:rPr>
        <w:t>应</w:t>
      </w:r>
      <w:r>
        <w:rPr>
          <w:rFonts w:hint="eastAsia"/>
          <w:color w:val="auto"/>
          <w:szCs w:val="28"/>
        </w:rPr>
        <w:t>为</w:t>
      </w:r>
      <w:r>
        <w:rPr>
          <w:color w:val="auto"/>
          <w:szCs w:val="28"/>
        </w:rPr>
        <w:t>均热窑</w:t>
      </w:r>
      <w:r>
        <w:rPr>
          <w:rFonts w:hint="eastAsia"/>
          <w:color w:val="auto"/>
          <w:szCs w:val="28"/>
        </w:rPr>
        <w:t>，</w:t>
      </w:r>
      <w:r>
        <w:rPr>
          <w:color w:val="auto"/>
          <w:szCs w:val="28"/>
        </w:rPr>
        <w:t>长径比</w:t>
      </w:r>
      <w:r>
        <w:rPr>
          <w:rFonts w:hint="eastAsia"/>
          <w:color w:val="auto"/>
          <w:szCs w:val="28"/>
        </w:rPr>
        <w:t>宜</w:t>
      </w:r>
      <w:r>
        <w:rPr>
          <w:color w:val="auto"/>
          <w:szCs w:val="28"/>
        </w:rPr>
        <w:t>为</w:t>
      </w:r>
      <w:r>
        <w:rPr>
          <w:rFonts w:hint="eastAsia"/>
          <w:color w:val="auto"/>
          <w:szCs w:val="28"/>
        </w:rPr>
        <w:t>3:1</w:t>
      </w:r>
      <w:r>
        <w:rPr>
          <w:color w:val="auto"/>
          <w:szCs w:val="28"/>
        </w:rPr>
        <w:t>~5:1</w:t>
      </w:r>
      <w:r>
        <w:rPr>
          <w:rFonts w:hint="eastAsia"/>
          <w:color w:val="auto"/>
          <w:szCs w:val="28"/>
        </w:rPr>
        <w:t>；</w:t>
      </w:r>
    </w:p>
    <w:p>
      <w:pPr>
        <w:widowControl/>
        <w:spacing w:line="360" w:lineRule="auto"/>
        <w:ind w:firstLine="420"/>
        <w:jc w:val="left"/>
        <w:rPr>
          <w:color w:val="auto"/>
          <w:szCs w:val="28"/>
        </w:rPr>
      </w:pPr>
      <w:r>
        <w:rPr>
          <w:color w:val="auto"/>
          <w:szCs w:val="28"/>
        </w:rPr>
        <w:t xml:space="preserve">3 </w:t>
      </w:r>
      <w:r>
        <w:rPr>
          <w:rFonts w:hint="eastAsia"/>
          <w:color w:val="auto"/>
          <w:szCs w:val="28"/>
        </w:rPr>
        <w:t>烟气</w:t>
      </w:r>
      <w:r>
        <w:rPr>
          <w:color w:val="auto"/>
          <w:szCs w:val="28"/>
        </w:rPr>
        <w:t>与物料</w:t>
      </w:r>
      <w:r>
        <w:rPr>
          <w:rFonts w:hint="eastAsia"/>
          <w:color w:val="auto"/>
          <w:szCs w:val="28"/>
        </w:rPr>
        <w:t>行进</w:t>
      </w:r>
      <w:r>
        <w:rPr>
          <w:color w:val="auto"/>
          <w:szCs w:val="28"/>
        </w:rPr>
        <w:t>方向应</w:t>
      </w:r>
      <w:r>
        <w:rPr>
          <w:rFonts w:hint="eastAsia"/>
          <w:color w:val="auto"/>
          <w:szCs w:val="28"/>
        </w:rPr>
        <w:t>一致</w:t>
      </w:r>
      <w:r>
        <w:rPr>
          <w:color w:val="auto"/>
          <w:szCs w:val="28"/>
        </w:rPr>
        <w:t>；</w:t>
      </w:r>
    </w:p>
    <w:p>
      <w:pPr>
        <w:widowControl/>
        <w:spacing w:line="360" w:lineRule="auto"/>
        <w:ind w:firstLine="420"/>
        <w:jc w:val="left"/>
        <w:rPr>
          <w:color w:val="auto"/>
          <w:szCs w:val="28"/>
        </w:rPr>
      </w:pPr>
      <w:r>
        <w:rPr>
          <w:color w:val="auto"/>
          <w:szCs w:val="28"/>
        </w:rPr>
        <w:t>4</w:t>
      </w:r>
      <w:r>
        <w:rPr>
          <w:rFonts w:hint="eastAsia"/>
          <w:color w:val="auto"/>
          <w:szCs w:val="28"/>
        </w:rPr>
        <w:t xml:space="preserve"> 窑头应</w:t>
      </w:r>
      <w:r>
        <w:rPr>
          <w:color w:val="auto"/>
          <w:szCs w:val="28"/>
        </w:rPr>
        <w:t>设置进料口、燃烧器</w:t>
      </w:r>
      <w:r>
        <w:rPr>
          <w:rFonts w:hint="eastAsia"/>
          <w:color w:val="auto"/>
          <w:szCs w:val="28"/>
        </w:rPr>
        <w:t>、</w:t>
      </w:r>
      <w:r>
        <w:rPr>
          <w:color w:val="auto"/>
          <w:szCs w:val="28"/>
        </w:rPr>
        <w:t>喷枪和一次风入口</w:t>
      </w:r>
      <w:r>
        <w:rPr>
          <w:rFonts w:hint="eastAsia"/>
          <w:color w:val="auto"/>
          <w:szCs w:val="28"/>
        </w:rPr>
        <w:t>，</w:t>
      </w:r>
      <w:r>
        <w:rPr>
          <w:color w:val="auto"/>
          <w:szCs w:val="28"/>
        </w:rPr>
        <w:t>窑尾</w:t>
      </w:r>
      <w:r>
        <w:rPr>
          <w:rFonts w:hint="eastAsia"/>
          <w:color w:val="auto"/>
          <w:szCs w:val="28"/>
        </w:rPr>
        <w:t>应</w:t>
      </w:r>
      <w:r>
        <w:rPr>
          <w:color w:val="auto"/>
          <w:szCs w:val="28"/>
        </w:rPr>
        <w:t>设置</w:t>
      </w:r>
      <w:r>
        <w:rPr>
          <w:rFonts w:hint="eastAsia"/>
          <w:color w:val="auto"/>
          <w:szCs w:val="28"/>
        </w:rPr>
        <w:t>出渣机</w:t>
      </w:r>
      <w:r>
        <w:rPr>
          <w:color w:val="auto"/>
          <w:szCs w:val="28"/>
        </w:rPr>
        <w:t>。</w:t>
      </w:r>
    </w:p>
    <w:p>
      <w:pPr>
        <w:widowControl/>
        <w:spacing w:line="360" w:lineRule="auto"/>
        <w:jc w:val="left"/>
        <w:rPr>
          <w:rFonts w:eastAsiaTheme="minorEastAsia"/>
          <w:color w:val="auto"/>
          <w:szCs w:val="28"/>
        </w:rPr>
      </w:pPr>
      <w:r>
        <w:rPr>
          <w:rFonts w:hint="eastAsia"/>
          <w:color w:val="auto"/>
          <w:szCs w:val="28"/>
        </w:rPr>
        <w:t>6.3.3固体</w:t>
      </w:r>
      <w:r>
        <w:rPr>
          <w:color w:val="auto"/>
          <w:szCs w:val="28"/>
        </w:rPr>
        <w:t>物料在回转窑中的运行时间</w:t>
      </w:r>
      <w:r>
        <w:rPr>
          <w:rFonts w:hint="eastAsia"/>
          <w:color w:val="auto"/>
          <w:szCs w:val="28"/>
        </w:rPr>
        <w:t>不</w:t>
      </w:r>
      <w:r>
        <w:rPr>
          <w:color w:val="auto"/>
          <w:szCs w:val="28"/>
        </w:rPr>
        <w:t>应</w:t>
      </w:r>
      <w:r>
        <w:rPr>
          <w:rFonts w:hint="eastAsia"/>
          <w:color w:val="auto"/>
          <w:szCs w:val="28"/>
        </w:rPr>
        <w:t>少</w:t>
      </w:r>
      <w:r>
        <w:rPr>
          <w:color w:val="auto"/>
          <w:szCs w:val="28"/>
        </w:rPr>
        <w:t>于</w:t>
      </w:r>
      <w:r>
        <w:rPr>
          <w:rFonts w:hint="eastAsia"/>
          <w:color w:val="auto"/>
          <w:szCs w:val="28"/>
        </w:rPr>
        <w:t>30</w:t>
      </w:r>
      <w:r>
        <w:rPr>
          <w:color w:val="auto"/>
          <w:szCs w:val="28"/>
        </w:rPr>
        <w:t>min</w:t>
      </w:r>
      <w:r>
        <w:rPr>
          <w:rFonts w:ascii="宋体" w:hAnsi="宋体" w:eastAsia="MS Mincho" w:cs="宋体"/>
          <w:color w:val="auto"/>
          <w:szCs w:val="28"/>
          <w:lang w:eastAsia="ja-JP"/>
        </w:rPr>
        <w:t>，</w:t>
      </w:r>
      <w:r>
        <w:rPr>
          <w:rFonts w:hint="eastAsia" w:ascii="宋体" w:hAnsi="宋体" w:cs="宋体" w:eastAsiaTheme="minorEastAsia"/>
          <w:color w:val="auto"/>
          <w:szCs w:val="28"/>
        </w:rPr>
        <w:t>一次风</w:t>
      </w:r>
      <w:r>
        <w:rPr>
          <w:rFonts w:eastAsiaTheme="minorEastAsia"/>
          <w:color w:val="auto"/>
          <w:szCs w:val="28"/>
        </w:rPr>
        <w:t>风量</w:t>
      </w:r>
      <w:r>
        <w:rPr>
          <w:rFonts w:hint="eastAsia" w:eastAsiaTheme="minorEastAsia"/>
          <w:color w:val="auto"/>
          <w:szCs w:val="28"/>
        </w:rPr>
        <w:t>应</w:t>
      </w:r>
      <w:r>
        <w:rPr>
          <w:rFonts w:eastAsiaTheme="minorEastAsia"/>
          <w:color w:val="auto"/>
          <w:szCs w:val="28"/>
        </w:rPr>
        <w:t>控制窑内燃烧过剩空</w:t>
      </w:r>
      <w:r>
        <w:rPr>
          <w:rFonts w:eastAsiaTheme="minorEastAsia"/>
          <w:color w:val="auto"/>
          <w:szCs w:val="28"/>
        </w:rPr>
        <w:t>气系数为0.7~1.3</w:t>
      </w:r>
      <w:r>
        <w:rPr>
          <w:rFonts w:hint="eastAsia" w:eastAsiaTheme="minorEastAsia"/>
          <w:color w:val="auto"/>
          <w:szCs w:val="28"/>
        </w:rPr>
        <w:t>，</w:t>
      </w:r>
      <w:r>
        <w:rPr>
          <w:rFonts w:eastAsiaTheme="minorEastAsia"/>
          <w:color w:val="auto"/>
          <w:szCs w:val="28"/>
        </w:rPr>
        <w:t>物料</w:t>
      </w:r>
      <w:r>
        <w:rPr>
          <w:rFonts w:hint="eastAsia" w:eastAsiaTheme="minorEastAsia"/>
          <w:color w:val="auto"/>
          <w:szCs w:val="28"/>
        </w:rPr>
        <w:t>在</w:t>
      </w:r>
      <w:r>
        <w:rPr>
          <w:rFonts w:eastAsiaTheme="minorEastAsia"/>
          <w:color w:val="auto"/>
          <w:szCs w:val="28"/>
        </w:rPr>
        <w:t>回转窑内填充率</w:t>
      </w:r>
      <w:r>
        <w:rPr>
          <w:rFonts w:hint="eastAsia" w:eastAsiaTheme="minorEastAsia"/>
          <w:color w:val="auto"/>
          <w:szCs w:val="28"/>
        </w:rPr>
        <w:t>应</w:t>
      </w:r>
      <w:r>
        <w:rPr>
          <w:rFonts w:eastAsiaTheme="minorEastAsia"/>
          <w:color w:val="auto"/>
          <w:szCs w:val="28"/>
        </w:rPr>
        <w:t>为10%~15%</w:t>
      </w:r>
      <w:r>
        <w:rPr>
          <w:rFonts w:hint="eastAsia" w:eastAsiaTheme="minorEastAsia"/>
          <w:color w:val="auto"/>
          <w:szCs w:val="28"/>
        </w:rPr>
        <w:t>。</w:t>
      </w:r>
    </w:p>
    <w:p>
      <w:pPr>
        <w:widowControl/>
        <w:spacing w:line="360" w:lineRule="auto"/>
        <w:jc w:val="left"/>
        <w:rPr>
          <w:rFonts w:eastAsiaTheme="minorEastAsia"/>
          <w:color w:val="auto"/>
          <w:szCs w:val="28"/>
        </w:rPr>
      </w:pPr>
      <w:r>
        <w:rPr>
          <w:rFonts w:eastAsiaTheme="minorEastAsia"/>
          <w:color w:val="auto"/>
          <w:szCs w:val="28"/>
        </w:rPr>
        <w:t>6.3.4</w:t>
      </w:r>
      <w:r>
        <w:rPr>
          <w:rFonts w:hint="eastAsia" w:eastAsiaTheme="minorEastAsia"/>
          <w:color w:val="auto"/>
          <w:szCs w:val="28"/>
        </w:rPr>
        <w:t>回转窑内焚烧温度</w:t>
      </w:r>
      <w:r>
        <w:rPr>
          <w:rFonts w:hint="eastAsia" w:eastAsiaTheme="minorEastAsia"/>
          <w:color w:val="auto"/>
          <w:szCs w:val="28"/>
        </w:rPr>
        <w:t>应</w:t>
      </w:r>
      <w:r>
        <w:rPr>
          <w:rFonts w:hint="eastAsia" w:eastAsiaTheme="minorEastAsia"/>
          <w:color w:val="auto"/>
          <w:szCs w:val="28"/>
        </w:rPr>
        <w:t>根据所处置</w:t>
      </w:r>
      <w:r>
        <w:rPr>
          <w:rFonts w:hint="eastAsia"/>
          <w:color w:val="auto"/>
          <w:szCs w:val="21"/>
        </w:rPr>
        <w:t>危险废物</w:t>
      </w:r>
      <w:r>
        <w:rPr>
          <w:rFonts w:hint="eastAsia" w:eastAsiaTheme="minorEastAsia"/>
          <w:color w:val="auto"/>
          <w:szCs w:val="28"/>
        </w:rPr>
        <w:t>含铁量</w:t>
      </w:r>
      <w:r>
        <w:rPr>
          <w:rFonts w:hint="eastAsia" w:eastAsiaTheme="minorEastAsia"/>
          <w:color w:val="auto"/>
          <w:szCs w:val="28"/>
        </w:rPr>
        <w:t>进行</w:t>
      </w:r>
      <w:r>
        <w:rPr>
          <w:rFonts w:hint="eastAsia" w:eastAsiaTheme="minorEastAsia"/>
          <w:color w:val="auto"/>
          <w:szCs w:val="28"/>
        </w:rPr>
        <w:t>调整</w:t>
      </w:r>
      <w:r>
        <w:rPr>
          <w:rFonts w:eastAsiaTheme="minorEastAsia"/>
          <w:color w:val="auto"/>
          <w:szCs w:val="28"/>
        </w:rPr>
        <w:t>，</w:t>
      </w:r>
      <w:r>
        <w:rPr>
          <w:rFonts w:hint="eastAsia" w:eastAsiaTheme="minorEastAsia"/>
          <w:color w:val="auto"/>
          <w:szCs w:val="28"/>
        </w:rPr>
        <w:t>回转窑焚烧</w:t>
      </w:r>
      <w:r>
        <w:rPr>
          <w:rFonts w:eastAsiaTheme="minorEastAsia"/>
          <w:color w:val="auto"/>
          <w:szCs w:val="28"/>
        </w:rPr>
        <w:t>温度</w:t>
      </w:r>
      <w:r>
        <w:rPr>
          <w:rFonts w:hint="eastAsia" w:eastAsiaTheme="minorEastAsia"/>
          <w:color w:val="auto"/>
          <w:szCs w:val="28"/>
        </w:rPr>
        <w:t>调整规则应</w:t>
      </w:r>
      <w:r>
        <w:rPr>
          <w:rFonts w:eastAsiaTheme="minorEastAsia"/>
          <w:color w:val="auto"/>
          <w:szCs w:val="28"/>
        </w:rPr>
        <w:t>满足表</w:t>
      </w:r>
      <w:r>
        <w:rPr>
          <w:rFonts w:hint="eastAsia" w:eastAsiaTheme="minorEastAsia"/>
          <w:color w:val="auto"/>
          <w:szCs w:val="28"/>
        </w:rPr>
        <w:t>6.3.4要求。</w:t>
      </w:r>
    </w:p>
    <w:p>
      <w:pPr>
        <w:widowControl/>
        <w:spacing w:line="360" w:lineRule="auto"/>
        <w:jc w:val="center"/>
        <w:rPr>
          <w:rFonts w:eastAsiaTheme="minorEastAsia"/>
          <w:color w:val="auto"/>
          <w:szCs w:val="28"/>
        </w:rPr>
      </w:pPr>
      <w:r>
        <w:rPr>
          <w:rFonts w:hint="eastAsia" w:eastAsiaTheme="minorEastAsia"/>
          <w:color w:val="auto"/>
          <w:szCs w:val="28"/>
        </w:rPr>
        <w:t>表6.3.4 回转窑焚烧</w:t>
      </w:r>
      <w:r>
        <w:rPr>
          <w:rFonts w:eastAsiaTheme="minorEastAsia"/>
          <w:color w:val="auto"/>
          <w:szCs w:val="28"/>
        </w:rPr>
        <w:t>温度</w:t>
      </w:r>
      <w:r>
        <w:rPr>
          <w:rFonts w:hint="eastAsia" w:eastAsiaTheme="minorEastAsia"/>
          <w:color w:val="auto"/>
          <w:szCs w:val="28"/>
        </w:rPr>
        <w:t>调整规则</w:t>
      </w:r>
    </w:p>
    <w:tbl>
      <w:tblPr>
        <w:tblStyle w:val="22"/>
        <w:tblW w:w="45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704"/>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01" w:type="dxa"/>
            <w:vAlign w:val="center"/>
          </w:tcPr>
          <w:p>
            <w:pPr>
              <w:widowControl/>
              <w:spacing w:line="360" w:lineRule="auto"/>
              <w:jc w:val="center"/>
              <w:rPr>
                <w:rFonts w:eastAsiaTheme="minorEastAsia"/>
                <w:color w:val="auto"/>
                <w:szCs w:val="28"/>
              </w:rPr>
            </w:pPr>
            <w:r>
              <w:rPr>
                <w:rFonts w:hint="eastAsia" w:eastAsiaTheme="minorEastAsia"/>
                <w:color w:val="auto"/>
                <w:szCs w:val="28"/>
              </w:rPr>
              <w:t>序号</w:t>
            </w:r>
          </w:p>
        </w:tc>
        <w:tc>
          <w:tcPr>
            <w:tcW w:w="1704" w:type="dxa"/>
            <w:vAlign w:val="center"/>
          </w:tcPr>
          <w:p>
            <w:pPr>
              <w:widowControl/>
              <w:spacing w:line="360" w:lineRule="auto"/>
              <w:jc w:val="center"/>
              <w:rPr>
                <w:rFonts w:eastAsiaTheme="minorEastAsia"/>
                <w:color w:val="auto"/>
                <w:szCs w:val="28"/>
              </w:rPr>
            </w:pPr>
            <w:r>
              <w:rPr>
                <w:rFonts w:hint="eastAsia" w:eastAsiaTheme="minorEastAsia"/>
                <w:color w:val="auto"/>
                <w:szCs w:val="28"/>
              </w:rPr>
              <w:t>固废</w:t>
            </w:r>
            <w:r>
              <w:rPr>
                <w:rFonts w:eastAsiaTheme="minorEastAsia"/>
                <w:color w:val="auto"/>
                <w:szCs w:val="28"/>
              </w:rPr>
              <w:t>含铁量</w:t>
            </w:r>
          </w:p>
        </w:tc>
        <w:tc>
          <w:tcPr>
            <w:tcW w:w="1704" w:type="dxa"/>
            <w:vAlign w:val="center"/>
          </w:tcPr>
          <w:p>
            <w:pPr>
              <w:widowControl/>
              <w:spacing w:line="360" w:lineRule="auto"/>
              <w:jc w:val="center"/>
              <w:rPr>
                <w:rFonts w:eastAsiaTheme="minorEastAsia"/>
                <w:color w:val="auto"/>
                <w:szCs w:val="28"/>
              </w:rPr>
            </w:pPr>
            <w:r>
              <w:rPr>
                <w:rFonts w:hint="eastAsia" w:eastAsiaTheme="minorEastAsia"/>
                <w:color w:val="auto"/>
                <w:szCs w:val="28"/>
              </w:rPr>
              <w:t>焚烧</w:t>
            </w:r>
            <w:r>
              <w:rPr>
                <w:rFonts w:eastAsiaTheme="minorEastAsia"/>
                <w:color w:val="auto"/>
                <w:szCs w:val="28"/>
              </w:rPr>
              <w:t>温度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01" w:type="dxa"/>
            <w:vAlign w:val="center"/>
          </w:tcPr>
          <w:p>
            <w:pPr>
              <w:widowControl/>
              <w:spacing w:line="360" w:lineRule="auto"/>
              <w:jc w:val="center"/>
              <w:rPr>
                <w:rFonts w:eastAsiaTheme="minorEastAsia"/>
                <w:color w:val="auto"/>
                <w:szCs w:val="28"/>
              </w:rPr>
            </w:pPr>
            <w:r>
              <w:rPr>
                <w:rFonts w:hint="eastAsia" w:eastAsiaTheme="minorEastAsia"/>
                <w:color w:val="auto"/>
                <w:szCs w:val="28"/>
              </w:rPr>
              <w:t>1</w:t>
            </w:r>
          </w:p>
        </w:tc>
        <w:tc>
          <w:tcPr>
            <w:tcW w:w="1704" w:type="dxa"/>
            <w:vAlign w:val="center"/>
          </w:tcPr>
          <w:p>
            <w:pPr>
              <w:widowControl/>
              <w:spacing w:line="360" w:lineRule="auto"/>
              <w:jc w:val="center"/>
              <w:rPr>
                <w:rFonts w:eastAsiaTheme="minorEastAsia"/>
                <w:color w:val="auto"/>
                <w:szCs w:val="28"/>
              </w:rPr>
            </w:pPr>
            <w:r>
              <w:rPr>
                <w:rFonts w:hint="eastAsia" w:eastAsiaTheme="minorEastAsia"/>
                <w:color w:val="auto"/>
                <w:szCs w:val="28"/>
              </w:rPr>
              <w:t>≥50</w:t>
            </w:r>
            <w:r>
              <w:rPr>
                <w:rFonts w:eastAsiaTheme="minorEastAsia"/>
                <w:color w:val="auto"/>
                <w:szCs w:val="28"/>
              </w:rPr>
              <w:t>%</w:t>
            </w:r>
          </w:p>
        </w:tc>
        <w:tc>
          <w:tcPr>
            <w:tcW w:w="1704" w:type="dxa"/>
            <w:vAlign w:val="center"/>
          </w:tcPr>
          <w:p>
            <w:pPr>
              <w:widowControl/>
              <w:spacing w:line="360" w:lineRule="auto"/>
              <w:jc w:val="center"/>
              <w:rPr>
                <w:rFonts w:eastAsiaTheme="minorEastAsia"/>
                <w:color w:val="auto"/>
                <w:szCs w:val="28"/>
              </w:rPr>
            </w:pPr>
            <w:r>
              <w:rPr>
                <w:rFonts w:eastAsiaTheme="minorEastAsia"/>
                <w:color w:val="auto"/>
                <w:szCs w:val="28"/>
              </w:rPr>
              <w:t>550</w:t>
            </w:r>
            <w:r>
              <w:rPr>
                <w:rFonts w:hint="eastAsia" w:ascii="宋体" w:hAnsi="宋体" w:cs="宋体"/>
                <w:color w:val="auto"/>
                <w:szCs w:val="28"/>
                <w:lang w:eastAsia="ja-JP"/>
              </w:rPr>
              <w:t>℃</w:t>
            </w:r>
            <w:r>
              <w:rPr>
                <w:rFonts w:eastAsiaTheme="minorEastAsia"/>
                <w:color w:val="auto"/>
                <w:szCs w:val="28"/>
              </w:rPr>
              <w:t>~650</w:t>
            </w:r>
            <w:r>
              <w:rPr>
                <w:rFonts w:hint="eastAsia" w:ascii="宋体" w:hAnsi="宋体" w:cs="宋体"/>
                <w:color w:val="auto"/>
                <w:szCs w:val="28"/>
                <w:lang w:eastAsia="ja-JP"/>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01" w:type="dxa"/>
            <w:vAlign w:val="center"/>
          </w:tcPr>
          <w:p>
            <w:pPr>
              <w:widowControl/>
              <w:spacing w:line="360" w:lineRule="auto"/>
              <w:jc w:val="center"/>
              <w:rPr>
                <w:rFonts w:eastAsiaTheme="minorEastAsia"/>
                <w:color w:val="auto"/>
                <w:szCs w:val="28"/>
              </w:rPr>
            </w:pPr>
            <w:r>
              <w:rPr>
                <w:rFonts w:hint="eastAsia" w:eastAsiaTheme="minorEastAsia"/>
                <w:color w:val="auto"/>
                <w:szCs w:val="28"/>
              </w:rPr>
              <w:t>2</w:t>
            </w:r>
          </w:p>
        </w:tc>
        <w:tc>
          <w:tcPr>
            <w:tcW w:w="1704" w:type="dxa"/>
            <w:vAlign w:val="center"/>
          </w:tcPr>
          <w:p>
            <w:pPr>
              <w:widowControl/>
              <w:spacing w:line="360" w:lineRule="auto"/>
              <w:jc w:val="center"/>
              <w:rPr>
                <w:rFonts w:eastAsiaTheme="minorEastAsia"/>
                <w:color w:val="auto"/>
                <w:szCs w:val="28"/>
              </w:rPr>
            </w:pPr>
            <w:r>
              <w:rPr>
                <w:rFonts w:eastAsiaTheme="minorEastAsia"/>
                <w:color w:val="auto"/>
                <w:szCs w:val="28"/>
              </w:rPr>
              <w:t>25%~</w:t>
            </w:r>
            <w:r>
              <w:rPr>
                <w:rFonts w:hint="eastAsia" w:eastAsiaTheme="minorEastAsia"/>
                <w:color w:val="auto"/>
                <w:szCs w:val="28"/>
              </w:rPr>
              <w:t>50</w:t>
            </w:r>
            <w:r>
              <w:rPr>
                <w:rFonts w:eastAsiaTheme="minorEastAsia"/>
                <w:color w:val="auto"/>
                <w:szCs w:val="28"/>
              </w:rPr>
              <w:t>%</w:t>
            </w:r>
          </w:p>
        </w:tc>
        <w:tc>
          <w:tcPr>
            <w:tcW w:w="1704" w:type="dxa"/>
            <w:vAlign w:val="center"/>
          </w:tcPr>
          <w:p>
            <w:pPr>
              <w:widowControl/>
              <w:spacing w:line="360" w:lineRule="auto"/>
              <w:jc w:val="center"/>
              <w:rPr>
                <w:rFonts w:eastAsiaTheme="minorEastAsia"/>
                <w:color w:val="auto"/>
                <w:szCs w:val="28"/>
              </w:rPr>
            </w:pPr>
            <w:r>
              <w:rPr>
                <w:rFonts w:eastAsiaTheme="minorEastAsia"/>
                <w:color w:val="auto"/>
                <w:szCs w:val="28"/>
              </w:rPr>
              <w:t>650</w:t>
            </w:r>
            <w:r>
              <w:rPr>
                <w:rFonts w:hint="eastAsia" w:ascii="宋体" w:hAnsi="宋体" w:cs="宋体"/>
                <w:color w:val="auto"/>
                <w:szCs w:val="28"/>
                <w:lang w:eastAsia="ja-JP"/>
              </w:rPr>
              <w:t>℃</w:t>
            </w:r>
            <w:r>
              <w:rPr>
                <w:rFonts w:eastAsiaTheme="minorEastAsia"/>
                <w:color w:val="auto"/>
                <w:szCs w:val="28"/>
              </w:rPr>
              <w:t>~750</w:t>
            </w:r>
            <w:r>
              <w:rPr>
                <w:rFonts w:hint="eastAsia" w:ascii="宋体" w:hAnsi="宋体" w:cs="宋体"/>
                <w:color w:val="auto"/>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01" w:type="dxa"/>
            <w:vAlign w:val="center"/>
          </w:tcPr>
          <w:p>
            <w:pPr>
              <w:widowControl/>
              <w:spacing w:line="360" w:lineRule="auto"/>
              <w:jc w:val="center"/>
              <w:rPr>
                <w:rFonts w:eastAsiaTheme="minorEastAsia"/>
                <w:color w:val="auto"/>
                <w:szCs w:val="28"/>
              </w:rPr>
            </w:pPr>
            <w:r>
              <w:rPr>
                <w:rFonts w:hint="eastAsia" w:eastAsiaTheme="minorEastAsia"/>
                <w:color w:val="auto"/>
                <w:szCs w:val="28"/>
              </w:rPr>
              <w:t>3</w:t>
            </w:r>
          </w:p>
        </w:tc>
        <w:tc>
          <w:tcPr>
            <w:tcW w:w="1704" w:type="dxa"/>
            <w:vAlign w:val="center"/>
          </w:tcPr>
          <w:p>
            <w:pPr>
              <w:widowControl/>
              <w:spacing w:line="360" w:lineRule="auto"/>
              <w:jc w:val="center"/>
              <w:rPr>
                <w:rFonts w:eastAsiaTheme="minorEastAsia"/>
                <w:color w:val="auto"/>
                <w:szCs w:val="28"/>
              </w:rPr>
            </w:pPr>
            <w:r>
              <w:rPr>
                <w:rFonts w:hint="eastAsia" w:eastAsiaTheme="minorEastAsia"/>
                <w:color w:val="auto"/>
                <w:szCs w:val="28"/>
              </w:rPr>
              <w:t>5</w:t>
            </w:r>
            <w:r>
              <w:rPr>
                <w:rFonts w:eastAsiaTheme="minorEastAsia"/>
                <w:color w:val="auto"/>
                <w:szCs w:val="28"/>
              </w:rPr>
              <w:t>%~25%</w:t>
            </w:r>
          </w:p>
        </w:tc>
        <w:tc>
          <w:tcPr>
            <w:tcW w:w="1704" w:type="dxa"/>
            <w:vAlign w:val="center"/>
          </w:tcPr>
          <w:p>
            <w:pPr>
              <w:widowControl/>
              <w:spacing w:line="360" w:lineRule="auto"/>
              <w:jc w:val="center"/>
              <w:rPr>
                <w:rFonts w:eastAsiaTheme="minorEastAsia"/>
                <w:color w:val="auto"/>
                <w:szCs w:val="28"/>
              </w:rPr>
            </w:pPr>
            <w:r>
              <w:rPr>
                <w:rFonts w:eastAsiaTheme="minorEastAsia"/>
                <w:color w:val="auto"/>
                <w:szCs w:val="28"/>
              </w:rPr>
              <w:t>750</w:t>
            </w:r>
            <w:r>
              <w:rPr>
                <w:rFonts w:hint="eastAsia" w:ascii="宋体" w:hAnsi="宋体" w:cs="宋体"/>
                <w:color w:val="auto"/>
                <w:szCs w:val="28"/>
                <w:lang w:eastAsia="ja-JP"/>
              </w:rPr>
              <w:t>℃</w:t>
            </w:r>
            <w:r>
              <w:rPr>
                <w:rFonts w:eastAsiaTheme="minorEastAsia"/>
                <w:color w:val="auto"/>
                <w:szCs w:val="28"/>
              </w:rPr>
              <w:t>~850</w:t>
            </w:r>
            <w:r>
              <w:rPr>
                <w:rFonts w:hint="eastAsia" w:ascii="宋体" w:hAnsi="宋体" w:cs="宋体"/>
                <w:color w:val="auto"/>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01" w:type="dxa"/>
            <w:vAlign w:val="center"/>
          </w:tcPr>
          <w:p>
            <w:pPr>
              <w:widowControl/>
              <w:spacing w:line="360" w:lineRule="auto"/>
              <w:jc w:val="center"/>
              <w:rPr>
                <w:rFonts w:eastAsiaTheme="minorEastAsia"/>
                <w:color w:val="auto"/>
                <w:szCs w:val="28"/>
              </w:rPr>
            </w:pPr>
            <w:r>
              <w:rPr>
                <w:rFonts w:hint="eastAsia" w:eastAsiaTheme="minorEastAsia"/>
                <w:color w:val="auto"/>
                <w:szCs w:val="28"/>
              </w:rPr>
              <w:t>4</w:t>
            </w:r>
          </w:p>
        </w:tc>
        <w:tc>
          <w:tcPr>
            <w:tcW w:w="1704" w:type="dxa"/>
            <w:vAlign w:val="center"/>
          </w:tcPr>
          <w:p>
            <w:pPr>
              <w:widowControl/>
              <w:spacing w:line="360" w:lineRule="auto"/>
              <w:jc w:val="center"/>
              <w:rPr>
                <w:rFonts w:eastAsiaTheme="minorEastAsia"/>
                <w:color w:val="auto"/>
                <w:szCs w:val="28"/>
              </w:rPr>
            </w:pPr>
            <w:r>
              <w:rPr>
                <w:rFonts w:hint="eastAsia" w:eastAsiaTheme="minorEastAsia"/>
                <w:color w:val="auto"/>
                <w:szCs w:val="28"/>
              </w:rPr>
              <w:t>＜5</w:t>
            </w:r>
            <w:r>
              <w:rPr>
                <w:rFonts w:eastAsiaTheme="minorEastAsia"/>
                <w:color w:val="auto"/>
                <w:szCs w:val="28"/>
              </w:rPr>
              <w:t>%</w:t>
            </w:r>
          </w:p>
        </w:tc>
        <w:tc>
          <w:tcPr>
            <w:tcW w:w="1704" w:type="dxa"/>
            <w:vAlign w:val="center"/>
          </w:tcPr>
          <w:p>
            <w:pPr>
              <w:widowControl/>
              <w:spacing w:line="360" w:lineRule="auto"/>
              <w:jc w:val="center"/>
              <w:rPr>
                <w:rFonts w:eastAsiaTheme="minorEastAsia"/>
                <w:color w:val="auto"/>
                <w:szCs w:val="28"/>
              </w:rPr>
            </w:pPr>
            <w:r>
              <w:rPr>
                <w:rFonts w:eastAsiaTheme="minorEastAsia"/>
                <w:color w:val="auto"/>
                <w:szCs w:val="28"/>
              </w:rPr>
              <w:t>850</w:t>
            </w:r>
            <w:r>
              <w:rPr>
                <w:rFonts w:hint="eastAsia" w:ascii="宋体" w:hAnsi="宋体" w:cs="宋体"/>
                <w:color w:val="auto"/>
                <w:szCs w:val="28"/>
                <w:lang w:eastAsia="ja-JP"/>
              </w:rPr>
              <w:t>℃</w:t>
            </w:r>
            <w:r>
              <w:rPr>
                <w:rFonts w:eastAsiaTheme="minorEastAsia"/>
                <w:color w:val="auto"/>
                <w:szCs w:val="28"/>
              </w:rPr>
              <w:t>~950</w:t>
            </w:r>
            <w:r>
              <w:rPr>
                <w:rFonts w:hint="eastAsia" w:ascii="宋体" w:hAnsi="宋体" w:cs="宋体"/>
                <w:color w:val="auto"/>
                <w:szCs w:val="28"/>
              </w:rPr>
              <w:t>℃</w:t>
            </w:r>
          </w:p>
        </w:tc>
      </w:tr>
    </w:tbl>
    <w:p>
      <w:pPr>
        <w:widowControl/>
        <w:spacing w:line="360" w:lineRule="auto"/>
        <w:jc w:val="left"/>
        <w:rPr>
          <w:color w:val="auto"/>
          <w:szCs w:val="28"/>
        </w:rPr>
      </w:pPr>
      <w:r>
        <w:rPr>
          <w:rFonts w:hint="eastAsia"/>
          <w:color w:val="auto"/>
          <w:szCs w:val="28"/>
        </w:rPr>
        <w:t>6.3.</w:t>
      </w:r>
      <w:r>
        <w:rPr>
          <w:color w:val="auto"/>
          <w:szCs w:val="28"/>
        </w:rPr>
        <w:t>5</w:t>
      </w:r>
      <w:r>
        <w:rPr>
          <w:rFonts w:hint="eastAsia"/>
          <w:color w:val="auto"/>
          <w:szCs w:val="28"/>
        </w:rPr>
        <w:t>二燃室入口应与</w:t>
      </w:r>
      <w:r>
        <w:rPr>
          <w:color w:val="auto"/>
          <w:szCs w:val="28"/>
        </w:rPr>
        <w:t>回转窑尾端相连</w:t>
      </w:r>
      <w:r>
        <w:rPr>
          <w:rFonts w:hint="eastAsia"/>
          <w:color w:val="auto"/>
          <w:szCs w:val="28"/>
        </w:rPr>
        <w:t>。二燃室应</w:t>
      </w:r>
      <w:r>
        <w:rPr>
          <w:color w:val="auto"/>
          <w:szCs w:val="28"/>
        </w:rPr>
        <w:t>设有</w:t>
      </w:r>
      <w:r>
        <w:rPr>
          <w:rFonts w:hint="eastAsia"/>
          <w:color w:val="auto"/>
          <w:szCs w:val="28"/>
        </w:rPr>
        <w:t>燃烧器</w:t>
      </w:r>
      <w:r>
        <w:rPr>
          <w:color w:val="auto"/>
          <w:szCs w:val="28"/>
        </w:rPr>
        <w:t>、液体</w:t>
      </w:r>
      <w:r>
        <w:rPr>
          <w:rFonts w:hint="eastAsia"/>
          <w:color w:val="auto"/>
          <w:szCs w:val="21"/>
        </w:rPr>
        <w:t>危险废物</w:t>
      </w:r>
      <w:r>
        <w:rPr>
          <w:color w:val="auto"/>
          <w:szCs w:val="28"/>
        </w:rPr>
        <w:t>喷枪、二次风喷口。</w:t>
      </w:r>
      <w:r>
        <w:rPr>
          <w:rFonts w:hint="eastAsia"/>
          <w:color w:val="auto"/>
          <w:szCs w:val="28"/>
        </w:rPr>
        <w:t>对含氮量高的危险废物焚烧应采用低氮燃烧器。</w:t>
      </w:r>
    </w:p>
    <w:p>
      <w:pPr>
        <w:widowControl/>
        <w:spacing w:line="360" w:lineRule="auto"/>
        <w:jc w:val="left"/>
        <w:rPr>
          <w:color w:val="auto"/>
          <w:szCs w:val="28"/>
        </w:rPr>
      </w:pPr>
      <w:r>
        <w:rPr>
          <w:rFonts w:hint="eastAsia"/>
          <w:color w:val="auto"/>
          <w:szCs w:val="28"/>
        </w:rPr>
        <w:t>6.3.</w:t>
      </w:r>
      <w:r>
        <w:rPr>
          <w:color w:val="auto"/>
          <w:szCs w:val="28"/>
        </w:rPr>
        <w:t>6</w:t>
      </w:r>
      <w:r>
        <w:rPr>
          <w:rFonts w:hint="eastAsia"/>
          <w:color w:val="auto"/>
          <w:szCs w:val="28"/>
        </w:rPr>
        <w:t>二燃室</w:t>
      </w:r>
      <w:r>
        <w:rPr>
          <w:color w:val="auto"/>
          <w:szCs w:val="28"/>
        </w:rPr>
        <w:t>顶部应设置紧急</w:t>
      </w:r>
      <w:r>
        <w:rPr>
          <w:rFonts w:hint="eastAsia"/>
          <w:color w:val="auto"/>
          <w:szCs w:val="28"/>
        </w:rPr>
        <w:t>自动</w:t>
      </w:r>
      <w:r>
        <w:rPr>
          <w:color w:val="auto"/>
          <w:szCs w:val="28"/>
        </w:rPr>
        <w:t>排放阀</w:t>
      </w:r>
      <w:r>
        <w:rPr>
          <w:rFonts w:hint="eastAsia"/>
          <w:color w:val="auto"/>
          <w:szCs w:val="28"/>
        </w:rPr>
        <w:t>，并宜配备</w:t>
      </w:r>
      <w:r>
        <w:rPr>
          <w:color w:val="auto"/>
          <w:szCs w:val="28"/>
        </w:rPr>
        <w:t>手动开启功能。</w:t>
      </w:r>
    </w:p>
    <w:p>
      <w:pPr>
        <w:widowControl/>
        <w:spacing w:line="360" w:lineRule="auto"/>
        <w:jc w:val="left"/>
        <w:rPr>
          <w:color w:val="auto"/>
          <w:szCs w:val="28"/>
        </w:rPr>
      </w:pPr>
      <w:r>
        <w:rPr>
          <w:color w:val="auto"/>
          <w:szCs w:val="28"/>
        </w:rPr>
        <w:t>6.3.7二燃室</w:t>
      </w:r>
      <w:r>
        <w:rPr>
          <w:rFonts w:hint="eastAsia"/>
          <w:color w:val="auto"/>
          <w:szCs w:val="28"/>
        </w:rPr>
        <w:t>的</w:t>
      </w:r>
      <w:r>
        <w:rPr>
          <w:color w:val="auto"/>
          <w:szCs w:val="28"/>
        </w:rPr>
        <w:t>燃烧温度</w:t>
      </w:r>
      <w:r>
        <w:rPr>
          <w:rFonts w:hint="eastAsia"/>
          <w:color w:val="auto"/>
          <w:szCs w:val="28"/>
        </w:rPr>
        <w:t>不</w:t>
      </w:r>
      <w:r>
        <w:rPr>
          <w:color w:val="auto"/>
          <w:szCs w:val="28"/>
        </w:rPr>
        <w:t>应</w:t>
      </w:r>
      <w:r>
        <w:rPr>
          <w:rFonts w:hint="eastAsia"/>
          <w:color w:val="auto"/>
          <w:szCs w:val="28"/>
        </w:rPr>
        <w:t>低</w:t>
      </w:r>
      <w:r>
        <w:rPr>
          <w:rFonts w:hint="eastAsia"/>
          <w:color w:val="auto"/>
          <w:szCs w:val="28"/>
        </w:rPr>
        <w:t>于1100℃</w:t>
      </w:r>
      <w:r>
        <w:rPr>
          <w:color w:val="auto"/>
          <w:szCs w:val="28"/>
        </w:rPr>
        <w:t>，烟气在二燃室中</w:t>
      </w:r>
      <w:r>
        <w:rPr>
          <w:rFonts w:hint="eastAsia"/>
          <w:color w:val="auto"/>
          <w:szCs w:val="28"/>
        </w:rPr>
        <w:t>高温</w:t>
      </w:r>
      <w:r>
        <w:rPr>
          <w:color w:val="auto"/>
          <w:szCs w:val="28"/>
        </w:rPr>
        <w:t>区停留时间不</w:t>
      </w:r>
      <w:r>
        <w:rPr>
          <w:rFonts w:hint="eastAsia"/>
          <w:color w:val="auto"/>
          <w:szCs w:val="28"/>
        </w:rPr>
        <w:t>应小</w:t>
      </w:r>
      <w:r>
        <w:rPr>
          <w:color w:val="auto"/>
          <w:szCs w:val="28"/>
        </w:rPr>
        <w:t>于</w:t>
      </w:r>
      <w:r>
        <w:rPr>
          <w:rFonts w:hint="eastAsia"/>
          <w:color w:val="auto"/>
          <w:szCs w:val="28"/>
        </w:rPr>
        <w:t>2s，</w:t>
      </w:r>
      <w:r>
        <w:rPr>
          <w:color w:val="auto"/>
          <w:szCs w:val="28"/>
        </w:rPr>
        <w:t>二燃室内过剩空气</w:t>
      </w:r>
      <w:r>
        <w:rPr>
          <w:rFonts w:hint="eastAsia"/>
          <w:color w:val="auto"/>
          <w:szCs w:val="28"/>
        </w:rPr>
        <w:t>系数</w:t>
      </w:r>
      <w:r>
        <w:rPr>
          <w:color w:val="auto"/>
          <w:szCs w:val="28"/>
        </w:rPr>
        <w:t>应为</w:t>
      </w:r>
      <w:r>
        <w:rPr>
          <w:rFonts w:hint="eastAsia"/>
          <w:color w:val="auto"/>
          <w:szCs w:val="28"/>
        </w:rPr>
        <w:t>1.</w:t>
      </w:r>
      <w:r>
        <w:rPr>
          <w:color w:val="auto"/>
          <w:szCs w:val="28"/>
        </w:rPr>
        <w:t>2~1.6</w:t>
      </w:r>
      <w:r>
        <w:rPr>
          <w:rFonts w:hint="eastAsia"/>
          <w:color w:val="auto"/>
          <w:szCs w:val="28"/>
        </w:rPr>
        <w:t>，二燃室内流场应处于强湍流状态。</w:t>
      </w:r>
    </w:p>
    <w:p>
      <w:pPr>
        <w:widowControl/>
        <w:spacing w:line="360" w:lineRule="auto"/>
        <w:rPr>
          <w:color w:val="auto"/>
          <w:szCs w:val="28"/>
        </w:rPr>
      </w:pPr>
      <w:r>
        <w:rPr>
          <w:color w:val="auto"/>
          <w:szCs w:val="28"/>
        </w:rPr>
        <w:t>6.3.8</w:t>
      </w:r>
      <w:r>
        <w:rPr>
          <w:rFonts w:hint="eastAsia"/>
          <w:color w:val="auto"/>
          <w:szCs w:val="28"/>
        </w:rPr>
        <w:t>液态废物处置应配置废液输送泵、控制阀组及输送管道，液态进料的流量应能远程调节，并应具有手动调节功能。</w:t>
      </w:r>
    </w:p>
    <w:p>
      <w:pPr>
        <w:widowControl/>
        <w:spacing w:line="360" w:lineRule="auto"/>
        <w:rPr>
          <w:color w:val="auto"/>
          <w:szCs w:val="28"/>
        </w:rPr>
      </w:pPr>
      <w:r>
        <w:rPr>
          <w:rFonts w:hint="eastAsia"/>
          <w:color w:val="auto"/>
          <w:szCs w:val="28"/>
        </w:rPr>
        <w:t>6.</w:t>
      </w:r>
      <w:r>
        <w:rPr>
          <w:color w:val="auto"/>
          <w:szCs w:val="28"/>
        </w:rPr>
        <w:t>3</w:t>
      </w:r>
      <w:r>
        <w:rPr>
          <w:rFonts w:hint="eastAsia"/>
          <w:color w:val="auto"/>
          <w:szCs w:val="28"/>
        </w:rPr>
        <w:t>.</w:t>
      </w:r>
      <w:r>
        <w:rPr>
          <w:color w:val="auto"/>
          <w:szCs w:val="28"/>
        </w:rPr>
        <w:t>9</w:t>
      </w:r>
      <w:r>
        <w:rPr>
          <w:color w:val="auto"/>
        </w:rPr>
        <w:t>空压机</w:t>
      </w:r>
      <w:r>
        <w:rPr>
          <w:rFonts w:hint="eastAsia"/>
          <w:color w:val="auto"/>
        </w:rPr>
        <w:t>宜</w:t>
      </w:r>
      <w:r>
        <w:rPr>
          <w:color w:val="auto"/>
        </w:rPr>
        <w:t>采用一用一备，</w:t>
      </w:r>
      <w:r>
        <w:rPr>
          <w:rFonts w:hint="eastAsia"/>
          <w:color w:val="auto"/>
        </w:rPr>
        <w:t>应</w:t>
      </w:r>
      <w:r>
        <w:rPr>
          <w:color w:val="auto"/>
        </w:rPr>
        <w:t>设置鼓风零气耗吸附式干燥机</w:t>
      </w:r>
      <w:r>
        <w:rPr>
          <w:rFonts w:hint="eastAsia"/>
          <w:color w:val="auto"/>
        </w:rPr>
        <w:t>。</w:t>
      </w:r>
    </w:p>
    <w:p>
      <w:pPr>
        <w:widowControl/>
        <w:spacing w:line="360" w:lineRule="auto"/>
        <w:jc w:val="left"/>
        <w:rPr>
          <w:color w:val="auto"/>
          <w:szCs w:val="28"/>
        </w:rPr>
      </w:pPr>
    </w:p>
    <w:p>
      <w:pPr>
        <w:pStyle w:val="3"/>
        <w:spacing w:before="0" w:after="0" w:line="360" w:lineRule="auto"/>
        <w:jc w:val="center"/>
        <w:rPr>
          <w:rFonts w:asciiTheme="minorEastAsia" w:hAnsiTheme="minorEastAsia" w:eastAsiaTheme="minorEastAsia"/>
          <w:color w:val="auto"/>
          <w:sz w:val="21"/>
          <w:szCs w:val="21"/>
        </w:rPr>
      </w:pPr>
      <w:bookmarkStart w:id="47" w:name="_Toc92877443"/>
      <w:r>
        <w:rPr>
          <w:rFonts w:hint="eastAsia" w:asciiTheme="minorEastAsia" w:hAnsiTheme="minorEastAsia" w:eastAsiaTheme="minorEastAsia"/>
          <w:color w:val="auto"/>
          <w:sz w:val="21"/>
          <w:szCs w:val="21"/>
        </w:rPr>
        <w:t>6.4 余热</w:t>
      </w:r>
      <w:r>
        <w:rPr>
          <w:rFonts w:asciiTheme="minorEastAsia" w:hAnsiTheme="minorEastAsia" w:eastAsiaTheme="minorEastAsia"/>
          <w:color w:val="auto"/>
          <w:sz w:val="21"/>
          <w:szCs w:val="21"/>
        </w:rPr>
        <w:t>利用系统</w:t>
      </w:r>
      <w:bookmarkEnd w:id="47"/>
    </w:p>
    <w:p>
      <w:pPr>
        <w:widowControl/>
        <w:spacing w:line="360" w:lineRule="auto"/>
        <w:jc w:val="left"/>
        <w:rPr>
          <w:color w:val="auto"/>
        </w:rPr>
      </w:pPr>
      <w:r>
        <w:rPr>
          <w:rFonts w:hint="eastAsia"/>
          <w:color w:val="auto"/>
          <w:szCs w:val="28"/>
        </w:rPr>
        <w:t>6.4.1余热</w:t>
      </w:r>
      <w:r>
        <w:rPr>
          <w:color w:val="auto"/>
          <w:szCs w:val="28"/>
        </w:rPr>
        <w:t>利用系统</w:t>
      </w:r>
      <w:r>
        <w:rPr>
          <w:rFonts w:hint="eastAsia"/>
          <w:color w:val="auto"/>
        </w:rPr>
        <w:t>应</w:t>
      </w:r>
      <w:r>
        <w:rPr>
          <w:color w:val="auto"/>
        </w:rPr>
        <w:t>包括余热锅炉</w:t>
      </w:r>
      <w:r>
        <w:rPr>
          <w:rFonts w:hint="eastAsia"/>
          <w:color w:val="auto"/>
        </w:rPr>
        <w:t>、</w:t>
      </w:r>
      <w:r>
        <w:rPr>
          <w:color w:val="auto"/>
        </w:rPr>
        <w:t>纯水泵、锅炉给水泵、除氧器、加药设备、汽水取样系统、分汽缸等</w:t>
      </w:r>
      <w:r>
        <w:rPr>
          <w:rFonts w:hint="eastAsia"/>
          <w:color w:val="auto"/>
        </w:rPr>
        <w:t>。</w:t>
      </w:r>
    </w:p>
    <w:p>
      <w:pPr>
        <w:widowControl/>
        <w:spacing w:line="360" w:lineRule="auto"/>
        <w:jc w:val="left"/>
        <w:rPr>
          <w:color w:val="auto"/>
          <w:szCs w:val="28"/>
        </w:rPr>
      </w:pPr>
      <w:r>
        <w:rPr>
          <w:color w:val="auto"/>
          <w:szCs w:val="28"/>
        </w:rPr>
        <w:t>6.4.2</w:t>
      </w:r>
      <w:r>
        <w:rPr>
          <w:rFonts w:hint="eastAsia"/>
          <w:color w:val="auto"/>
          <w:szCs w:val="28"/>
        </w:rPr>
        <w:t>余热</w:t>
      </w:r>
      <w:r>
        <w:rPr>
          <w:color w:val="auto"/>
          <w:szCs w:val="28"/>
        </w:rPr>
        <w:t>锅炉</w:t>
      </w:r>
      <w:r>
        <w:rPr>
          <w:rFonts w:hint="eastAsia"/>
          <w:color w:val="auto"/>
          <w:szCs w:val="28"/>
        </w:rPr>
        <w:t>规模</w:t>
      </w:r>
      <w:r>
        <w:rPr>
          <w:color w:val="auto"/>
          <w:szCs w:val="28"/>
        </w:rPr>
        <w:t>选型应根据</w:t>
      </w:r>
      <w:r>
        <w:rPr>
          <w:rFonts w:hint="eastAsia"/>
          <w:color w:val="auto"/>
          <w:szCs w:val="28"/>
        </w:rPr>
        <w:t>焚烧</w:t>
      </w:r>
      <w:r>
        <w:rPr>
          <w:color w:val="auto"/>
          <w:szCs w:val="28"/>
        </w:rPr>
        <w:t>工程烟气量和</w:t>
      </w:r>
      <w:r>
        <w:rPr>
          <w:rFonts w:hint="eastAsia"/>
          <w:color w:val="auto"/>
          <w:szCs w:val="28"/>
        </w:rPr>
        <w:t>余热</w:t>
      </w:r>
      <w:r>
        <w:rPr>
          <w:color w:val="auto"/>
          <w:szCs w:val="28"/>
        </w:rPr>
        <w:t>利用</w:t>
      </w:r>
      <w:r>
        <w:rPr>
          <w:rFonts w:hint="eastAsia"/>
          <w:color w:val="auto"/>
          <w:szCs w:val="28"/>
        </w:rPr>
        <w:t>温度</w:t>
      </w:r>
      <w:r>
        <w:rPr>
          <w:rFonts w:hint="eastAsia"/>
          <w:color w:val="auto"/>
          <w:szCs w:val="28"/>
        </w:rPr>
        <w:t>确定</w:t>
      </w:r>
      <w:r>
        <w:rPr>
          <w:rFonts w:hint="eastAsia"/>
          <w:color w:val="auto"/>
          <w:szCs w:val="28"/>
        </w:rPr>
        <w:t>，</w:t>
      </w:r>
      <w:r>
        <w:rPr>
          <w:color w:val="auto"/>
          <w:szCs w:val="28"/>
        </w:rPr>
        <w:t>并</w:t>
      </w:r>
      <w:r>
        <w:rPr>
          <w:rFonts w:hint="eastAsia"/>
          <w:color w:val="auto"/>
          <w:szCs w:val="28"/>
        </w:rPr>
        <w:t>应符合下列</w:t>
      </w:r>
      <w:r>
        <w:rPr>
          <w:color w:val="auto"/>
          <w:szCs w:val="28"/>
        </w:rPr>
        <w:t>规定</w:t>
      </w:r>
      <w:r>
        <w:rPr>
          <w:rFonts w:hint="eastAsia"/>
          <w:color w:val="auto"/>
          <w:szCs w:val="28"/>
        </w:rPr>
        <w:t>：</w:t>
      </w:r>
    </w:p>
    <w:p>
      <w:pPr>
        <w:widowControl/>
        <w:spacing w:line="360" w:lineRule="auto"/>
        <w:ind w:firstLine="420"/>
        <w:jc w:val="left"/>
        <w:rPr>
          <w:color w:val="auto"/>
          <w:szCs w:val="28"/>
        </w:rPr>
      </w:pPr>
      <w:r>
        <w:rPr>
          <w:rFonts w:hint="eastAsia"/>
          <w:color w:val="auto"/>
          <w:szCs w:val="28"/>
        </w:rPr>
        <w:t>1采用烟气急冷</w:t>
      </w:r>
      <w:r>
        <w:rPr>
          <w:color w:val="auto"/>
          <w:szCs w:val="28"/>
        </w:rPr>
        <w:t>塔</w:t>
      </w:r>
      <w:r>
        <w:rPr>
          <w:rFonts w:hint="eastAsia"/>
          <w:color w:val="auto"/>
          <w:szCs w:val="28"/>
        </w:rPr>
        <w:t>和</w:t>
      </w:r>
      <w:r>
        <w:rPr>
          <w:color w:val="auto"/>
          <w:szCs w:val="28"/>
        </w:rPr>
        <w:t>干式除酸</w:t>
      </w:r>
      <w:r>
        <w:rPr>
          <w:rFonts w:hint="eastAsia"/>
          <w:color w:val="auto"/>
          <w:szCs w:val="28"/>
        </w:rPr>
        <w:t>工艺时，</w:t>
      </w:r>
      <w:r>
        <w:rPr>
          <w:color w:val="auto"/>
          <w:szCs w:val="28"/>
        </w:rPr>
        <w:t>烟气出口温度不</w:t>
      </w:r>
      <w:r>
        <w:rPr>
          <w:rFonts w:hint="eastAsia"/>
          <w:color w:val="auto"/>
          <w:szCs w:val="28"/>
        </w:rPr>
        <w:t>应</w:t>
      </w:r>
      <w:r>
        <w:rPr>
          <w:rFonts w:hint="eastAsia"/>
          <w:color w:val="auto"/>
          <w:szCs w:val="28"/>
        </w:rPr>
        <w:t>低</w:t>
      </w:r>
      <w:r>
        <w:rPr>
          <w:color w:val="auto"/>
          <w:szCs w:val="28"/>
        </w:rPr>
        <w:t>于</w:t>
      </w:r>
      <w:r>
        <w:rPr>
          <w:rFonts w:hint="eastAsia"/>
          <w:color w:val="auto"/>
          <w:szCs w:val="28"/>
        </w:rPr>
        <w:t>5</w:t>
      </w:r>
      <w:r>
        <w:rPr>
          <w:color w:val="auto"/>
          <w:szCs w:val="28"/>
        </w:rPr>
        <w:t>3</w:t>
      </w:r>
      <w:r>
        <w:rPr>
          <w:rFonts w:hint="eastAsia"/>
          <w:color w:val="auto"/>
          <w:szCs w:val="28"/>
        </w:rPr>
        <w:t>0℃</w:t>
      </w:r>
      <w:r>
        <w:rPr>
          <w:color w:val="auto"/>
          <w:szCs w:val="28"/>
        </w:rPr>
        <w:t>；</w:t>
      </w:r>
    </w:p>
    <w:p>
      <w:pPr>
        <w:widowControl/>
        <w:spacing w:line="360" w:lineRule="auto"/>
        <w:ind w:firstLine="420"/>
        <w:jc w:val="left"/>
        <w:rPr>
          <w:color w:val="auto"/>
          <w:szCs w:val="28"/>
        </w:rPr>
      </w:pPr>
      <w:r>
        <w:rPr>
          <w:rFonts w:hint="eastAsia"/>
          <w:color w:val="auto"/>
          <w:szCs w:val="28"/>
        </w:rPr>
        <w:t>2</w:t>
      </w:r>
      <w:r>
        <w:rPr>
          <w:color w:val="auto"/>
          <w:szCs w:val="28"/>
        </w:rPr>
        <w:t>采用活性炭法</w:t>
      </w:r>
      <w:r>
        <w:rPr>
          <w:rFonts w:hint="eastAsia"/>
          <w:color w:val="auto"/>
          <w:szCs w:val="28"/>
        </w:rPr>
        <w:t>烟气</w:t>
      </w:r>
      <w:r>
        <w:rPr>
          <w:color w:val="auto"/>
          <w:szCs w:val="28"/>
        </w:rPr>
        <w:t>净化工艺</w:t>
      </w:r>
      <w:r>
        <w:rPr>
          <w:rFonts w:hint="eastAsia"/>
          <w:color w:val="auto"/>
          <w:szCs w:val="28"/>
        </w:rPr>
        <w:t>时，烟气</w:t>
      </w:r>
      <w:r>
        <w:rPr>
          <w:color w:val="auto"/>
          <w:szCs w:val="28"/>
        </w:rPr>
        <w:t>出口温度不应</w:t>
      </w:r>
      <w:r>
        <w:rPr>
          <w:rFonts w:hint="eastAsia"/>
          <w:color w:val="auto"/>
          <w:szCs w:val="28"/>
        </w:rPr>
        <w:t>低</w:t>
      </w:r>
      <w:r>
        <w:rPr>
          <w:color w:val="auto"/>
          <w:szCs w:val="28"/>
        </w:rPr>
        <w:t>于</w:t>
      </w:r>
      <w:r>
        <w:rPr>
          <w:rFonts w:hint="eastAsia"/>
          <w:color w:val="auto"/>
          <w:szCs w:val="28"/>
        </w:rPr>
        <w:t>200℃</w:t>
      </w:r>
      <w:r>
        <w:rPr>
          <w:color w:val="auto"/>
          <w:szCs w:val="28"/>
        </w:rPr>
        <w:t>。</w:t>
      </w:r>
    </w:p>
    <w:p>
      <w:pPr>
        <w:widowControl/>
        <w:spacing w:line="360" w:lineRule="auto"/>
        <w:jc w:val="left"/>
        <w:rPr>
          <w:color w:val="auto"/>
          <w:szCs w:val="28"/>
        </w:rPr>
      </w:pPr>
      <w:r>
        <w:rPr>
          <w:color w:val="auto"/>
          <w:szCs w:val="28"/>
        </w:rPr>
        <w:t>6.4.3</w:t>
      </w:r>
      <w:r>
        <w:rPr>
          <w:rFonts w:hint="eastAsia"/>
          <w:color w:val="auto"/>
          <w:szCs w:val="28"/>
        </w:rPr>
        <w:t>余热</w:t>
      </w:r>
      <w:r>
        <w:rPr>
          <w:color w:val="auto"/>
          <w:szCs w:val="28"/>
        </w:rPr>
        <w:t>锅炉</w:t>
      </w:r>
      <w:r>
        <w:rPr>
          <w:rFonts w:hint="eastAsia"/>
          <w:color w:val="auto"/>
          <w:szCs w:val="28"/>
        </w:rPr>
        <w:t>宜</w:t>
      </w:r>
      <w:r>
        <w:rPr>
          <w:color w:val="auto"/>
          <w:szCs w:val="28"/>
        </w:rPr>
        <w:t>采用膜式水冷壁锅炉，</w:t>
      </w:r>
      <w:r>
        <w:rPr>
          <w:rFonts w:hint="eastAsia"/>
          <w:color w:val="auto"/>
          <w:szCs w:val="28"/>
        </w:rPr>
        <w:t>并应</w:t>
      </w:r>
      <w:r>
        <w:rPr>
          <w:color w:val="auto"/>
          <w:szCs w:val="28"/>
        </w:rPr>
        <w:t>配备</w:t>
      </w:r>
      <w:r>
        <w:rPr>
          <w:rFonts w:hint="eastAsia"/>
          <w:color w:val="auto"/>
          <w:szCs w:val="28"/>
        </w:rPr>
        <w:t>周期性清灰</w:t>
      </w:r>
      <w:r>
        <w:rPr>
          <w:color w:val="auto"/>
          <w:szCs w:val="28"/>
        </w:rPr>
        <w:t>设施。</w:t>
      </w:r>
    </w:p>
    <w:p>
      <w:pPr>
        <w:widowControl/>
        <w:spacing w:line="360" w:lineRule="auto"/>
        <w:jc w:val="left"/>
        <w:rPr>
          <w:color w:val="auto"/>
        </w:rPr>
      </w:pPr>
      <w:r>
        <w:rPr>
          <w:rFonts w:hint="eastAsia"/>
          <w:color w:val="auto"/>
        </w:rPr>
        <w:t>6.4.4锅炉汽包蒸汽压力应满足</w:t>
      </w:r>
      <w:r>
        <w:rPr>
          <w:color w:val="auto"/>
        </w:rPr>
        <w:t>各用</w:t>
      </w:r>
      <w:r>
        <w:rPr>
          <w:rFonts w:hint="eastAsia"/>
          <w:color w:val="auto"/>
        </w:rPr>
        <w:t>汽</w:t>
      </w:r>
      <w:r>
        <w:rPr>
          <w:color w:val="auto"/>
        </w:rPr>
        <w:t>点的需求</w:t>
      </w:r>
      <w:r>
        <w:rPr>
          <w:rFonts w:hint="eastAsia"/>
          <w:color w:val="auto"/>
        </w:rPr>
        <w:t>，且</w:t>
      </w:r>
      <w:r>
        <w:rPr>
          <w:color w:val="auto"/>
        </w:rPr>
        <w:t>不宜</w:t>
      </w:r>
      <w:r>
        <w:rPr>
          <w:rFonts w:hint="eastAsia"/>
          <w:color w:val="auto"/>
        </w:rPr>
        <w:t>小</w:t>
      </w:r>
      <w:r>
        <w:rPr>
          <w:color w:val="auto"/>
        </w:rPr>
        <w:t>于</w:t>
      </w:r>
      <w:r>
        <w:rPr>
          <w:rFonts w:hint="eastAsia"/>
          <w:color w:val="auto"/>
        </w:rPr>
        <w:t>1.0MPa，并应</w:t>
      </w:r>
      <w:r>
        <w:rPr>
          <w:color w:val="auto"/>
        </w:rPr>
        <w:t>根据厂区需求确定是否需要过热</w:t>
      </w:r>
      <w:r>
        <w:rPr>
          <w:rFonts w:hint="eastAsia"/>
          <w:color w:val="auto"/>
        </w:rPr>
        <w:t>。</w:t>
      </w:r>
    </w:p>
    <w:p>
      <w:pPr>
        <w:widowControl/>
        <w:spacing w:line="360" w:lineRule="auto"/>
        <w:jc w:val="left"/>
        <w:rPr>
          <w:color w:val="auto"/>
          <w:highlight w:val="yellow"/>
        </w:rPr>
      </w:pPr>
      <w:r>
        <w:rPr>
          <w:color w:val="auto"/>
        </w:rPr>
        <w:t xml:space="preserve">6.4.5 </w:t>
      </w:r>
      <w:r>
        <w:rPr>
          <w:rFonts w:hint="eastAsia"/>
          <w:color w:val="auto"/>
        </w:rPr>
        <w:t>锅炉汽包蒸汽应经过分汽缸送至焚烧工程</w:t>
      </w:r>
      <w:r>
        <w:rPr>
          <w:color w:val="auto"/>
        </w:rPr>
        <w:t>用汽设施</w:t>
      </w:r>
      <w:r>
        <w:rPr>
          <w:rFonts w:hint="eastAsia"/>
          <w:color w:val="auto"/>
        </w:rPr>
        <w:t>，分汽缸和</w:t>
      </w:r>
      <w:r>
        <w:rPr>
          <w:color w:val="auto"/>
        </w:rPr>
        <w:t>汽包</w:t>
      </w:r>
      <w:r>
        <w:rPr>
          <w:rFonts w:hint="eastAsia"/>
          <w:color w:val="auto"/>
        </w:rPr>
        <w:t>应设置安全阀和排汽口，排汽处宜装有消音器。</w:t>
      </w:r>
    </w:p>
    <w:p>
      <w:pPr>
        <w:widowControl/>
        <w:spacing w:line="360" w:lineRule="auto"/>
        <w:jc w:val="left"/>
        <w:rPr>
          <w:color w:val="auto"/>
          <w:szCs w:val="28"/>
        </w:rPr>
      </w:pPr>
      <w:r>
        <w:rPr>
          <w:rFonts w:hint="eastAsia"/>
          <w:color w:val="auto"/>
          <w:szCs w:val="28"/>
        </w:rPr>
        <w:t>6.4.</w:t>
      </w:r>
      <w:r>
        <w:rPr>
          <w:color w:val="auto"/>
          <w:szCs w:val="28"/>
        </w:rPr>
        <w:t>5</w:t>
      </w:r>
      <w:r>
        <w:rPr>
          <w:rFonts w:hint="eastAsia"/>
          <w:color w:val="auto"/>
          <w:szCs w:val="28"/>
        </w:rPr>
        <w:t>余热</w:t>
      </w:r>
      <w:r>
        <w:rPr>
          <w:color w:val="auto"/>
          <w:szCs w:val="28"/>
        </w:rPr>
        <w:t>锅炉上</w:t>
      </w:r>
      <w:r>
        <w:rPr>
          <w:rFonts w:hint="eastAsia"/>
          <w:color w:val="auto"/>
          <w:szCs w:val="28"/>
        </w:rPr>
        <w:t>应</w:t>
      </w:r>
      <w:r>
        <w:rPr>
          <w:color w:val="auto"/>
          <w:szCs w:val="28"/>
        </w:rPr>
        <w:t>设置</w:t>
      </w:r>
      <w:r>
        <w:rPr>
          <w:color w:val="auto"/>
        </w:rPr>
        <w:t>尿素泵</w:t>
      </w:r>
      <w:r>
        <w:rPr>
          <w:rFonts w:hint="eastAsia"/>
          <w:color w:val="auto"/>
          <w:szCs w:val="28"/>
        </w:rPr>
        <w:t>接口</w:t>
      </w:r>
      <w:r>
        <w:rPr>
          <w:color w:val="auto"/>
        </w:rPr>
        <w:t>。</w:t>
      </w:r>
    </w:p>
    <w:p>
      <w:pPr>
        <w:pStyle w:val="3"/>
        <w:spacing w:before="0" w:after="0" w:line="360" w:lineRule="auto"/>
        <w:jc w:val="center"/>
        <w:rPr>
          <w:rFonts w:asciiTheme="minorEastAsia" w:hAnsiTheme="minorEastAsia" w:eastAsiaTheme="minorEastAsia"/>
          <w:color w:val="auto"/>
          <w:sz w:val="21"/>
          <w:szCs w:val="21"/>
        </w:rPr>
      </w:pPr>
      <w:bookmarkStart w:id="48" w:name="_Toc92877444"/>
      <w:r>
        <w:rPr>
          <w:rFonts w:hint="eastAsia" w:asciiTheme="minorEastAsia" w:hAnsiTheme="minorEastAsia" w:eastAsiaTheme="minorEastAsia"/>
          <w:color w:val="auto"/>
          <w:sz w:val="21"/>
          <w:szCs w:val="21"/>
        </w:rPr>
        <w:t>6.5</w:t>
      </w:r>
      <w:r>
        <w:rPr>
          <w:rFonts w:asciiTheme="minorEastAsia" w:hAnsiTheme="minorEastAsia" w:eastAsiaTheme="minorEastAsia"/>
          <w:color w:val="auto"/>
          <w:sz w:val="21"/>
          <w:szCs w:val="21"/>
        </w:rPr>
        <w:t xml:space="preserve"> </w:t>
      </w:r>
      <w:r>
        <w:rPr>
          <w:rFonts w:hint="eastAsia" w:asciiTheme="minorEastAsia" w:hAnsiTheme="minorEastAsia" w:eastAsiaTheme="minorEastAsia"/>
          <w:color w:val="auto"/>
          <w:sz w:val="21"/>
          <w:szCs w:val="21"/>
        </w:rPr>
        <w:t>烟气</w:t>
      </w:r>
      <w:r>
        <w:rPr>
          <w:rFonts w:asciiTheme="minorEastAsia" w:hAnsiTheme="minorEastAsia" w:eastAsiaTheme="minorEastAsia"/>
          <w:color w:val="auto"/>
          <w:sz w:val="21"/>
          <w:szCs w:val="21"/>
        </w:rPr>
        <w:t>净化系统</w:t>
      </w:r>
      <w:bookmarkEnd w:id="48"/>
    </w:p>
    <w:p>
      <w:pPr>
        <w:widowControl/>
        <w:spacing w:line="360" w:lineRule="auto"/>
        <w:rPr>
          <w:color w:val="auto"/>
          <w:szCs w:val="28"/>
        </w:rPr>
      </w:pPr>
      <w:r>
        <w:rPr>
          <w:color w:val="auto"/>
          <w:szCs w:val="28"/>
        </w:rPr>
        <w:t>6.</w:t>
      </w:r>
      <w:r>
        <w:rPr>
          <w:rFonts w:hint="eastAsia"/>
          <w:color w:val="auto"/>
          <w:szCs w:val="28"/>
        </w:rPr>
        <w:t>5.</w:t>
      </w:r>
      <w:r>
        <w:rPr>
          <w:color w:val="auto"/>
          <w:szCs w:val="28"/>
        </w:rPr>
        <w:t>1</w:t>
      </w:r>
      <w:r>
        <w:rPr>
          <w:rFonts w:hint="eastAsia"/>
          <w:color w:val="auto"/>
          <w:szCs w:val="28"/>
        </w:rPr>
        <w:t>烟气</w:t>
      </w:r>
      <w:r>
        <w:rPr>
          <w:color w:val="auto"/>
          <w:szCs w:val="28"/>
        </w:rPr>
        <w:t>净化系统</w:t>
      </w:r>
      <w:r>
        <w:rPr>
          <w:rFonts w:hint="eastAsia"/>
          <w:color w:val="auto"/>
          <w:szCs w:val="28"/>
        </w:rPr>
        <w:t>宜</w:t>
      </w:r>
      <w:r>
        <w:rPr>
          <w:color w:val="auto"/>
          <w:szCs w:val="28"/>
        </w:rPr>
        <w:t>单独</w:t>
      </w:r>
      <w:r>
        <w:rPr>
          <w:rFonts w:hint="eastAsia"/>
          <w:color w:val="auto"/>
          <w:szCs w:val="28"/>
        </w:rPr>
        <w:t>设置，现有烧结或球团烟气净化系统有富余处理能力时可并入协同净化</w:t>
      </w:r>
      <w:r>
        <w:rPr>
          <w:color w:val="auto"/>
          <w:szCs w:val="28"/>
        </w:rPr>
        <w:t>。</w:t>
      </w:r>
    </w:p>
    <w:p>
      <w:pPr>
        <w:widowControl/>
        <w:spacing w:line="360" w:lineRule="auto"/>
        <w:rPr>
          <w:color w:val="auto"/>
          <w:szCs w:val="28"/>
        </w:rPr>
      </w:pPr>
      <w:r>
        <w:rPr>
          <w:color w:val="auto"/>
          <w:szCs w:val="28"/>
        </w:rPr>
        <w:t xml:space="preserve">6.5.2 </w:t>
      </w:r>
      <w:r>
        <w:rPr>
          <w:rFonts w:hint="eastAsia"/>
          <w:color w:val="auto"/>
          <w:szCs w:val="28"/>
        </w:rPr>
        <w:t>烟气净化</w:t>
      </w:r>
      <w:r>
        <w:rPr>
          <w:rFonts w:hint="eastAsia"/>
          <w:color w:val="auto"/>
          <w:szCs w:val="28"/>
        </w:rPr>
        <w:t>工艺及设备</w:t>
      </w:r>
      <w:r>
        <w:rPr>
          <w:rFonts w:hint="eastAsia"/>
          <w:color w:val="auto"/>
          <w:szCs w:val="28"/>
        </w:rPr>
        <w:t>应</w:t>
      </w:r>
      <w:r>
        <w:rPr>
          <w:rFonts w:hint="eastAsia"/>
          <w:color w:val="auto"/>
          <w:szCs w:val="28"/>
        </w:rPr>
        <w:t>根据</w:t>
      </w:r>
      <w:r>
        <w:rPr>
          <w:rFonts w:hint="eastAsia"/>
          <w:color w:val="auto"/>
          <w:szCs w:val="28"/>
        </w:rPr>
        <w:t>危险废物特性、组分和焚烧物产生量的变化及其物理、化学性质</w:t>
      </w:r>
      <w:r>
        <w:rPr>
          <w:rFonts w:hint="eastAsia"/>
          <w:color w:val="auto"/>
          <w:szCs w:val="28"/>
        </w:rPr>
        <w:t>确定</w:t>
      </w:r>
      <w:r>
        <w:rPr>
          <w:rFonts w:hint="eastAsia"/>
          <w:color w:val="auto"/>
          <w:szCs w:val="28"/>
        </w:rPr>
        <w:t>。</w:t>
      </w:r>
    </w:p>
    <w:p>
      <w:pPr>
        <w:widowControl/>
        <w:spacing w:line="360" w:lineRule="auto"/>
        <w:rPr>
          <w:color w:val="auto"/>
          <w:szCs w:val="28"/>
        </w:rPr>
      </w:pPr>
      <w:r>
        <w:rPr>
          <w:color w:val="auto"/>
          <w:szCs w:val="28"/>
        </w:rPr>
        <w:t>6.5.</w:t>
      </w:r>
      <w:r>
        <w:rPr>
          <w:rFonts w:hint="eastAsia"/>
          <w:color w:val="auto"/>
          <w:szCs w:val="28"/>
        </w:rPr>
        <w:t>3</w:t>
      </w:r>
      <w:r>
        <w:rPr>
          <w:color w:val="auto"/>
          <w:szCs w:val="28"/>
        </w:rPr>
        <w:t>烟气净化系统</w:t>
      </w:r>
      <w:r>
        <w:rPr>
          <w:color w:val="auto"/>
          <w:szCs w:val="28"/>
        </w:rPr>
        <w:t>反应器内的烟气停留时间应</w:t>
      </w:r>
      <w:r>
        <w:rPr>
          <w:rFonts w:hint="eastAsia"/>
          <w:color w:val="auto"/>
          <w:szCs w:val="28"/>
        </w:rPr>
        <w:t>确保</w:t>
      </w:r>
      <w:r>
        <w:rPr>
          <w:color w:val="auto"/>
          <w:szCs w:val="28"/>
        </w:rPr>
        <w:t>烟气与药剂充分反应</w:t>
      </w:r>
      <w:r>
        <w:rPr>
          <w:rFonts w:hint="eastAsia"/>
          <w:color w:val="auto"/>
          <w:szCs w:val="28"/>
        </w:rPr>
        <w:t>，并应符合下列规定：</w:t>
      </w:r>
      <w:r>
        <w:rPr>
          <w:color w:val="auto"/>
          <w:szCs w:val="28"/>
        </w:rPr>
        <w:t xml:space="preserve"> </w:t>
      </w:r>
    </w:p>
    <w:p>
      <w:pPr>
        <w:widowControl/>
        <w:spacing w:line="360" w:lineRule="auto"/>
        <w:ind w:firstLine="420" w:firstLineChars="200"/>
        <w:rPr>
          <w:color w:val="auto"/>
          <w:szCs w:val="28"/>
        </w:rPr>
      </w:pPr>
      <w:r>
        <w:rPr>
          <w:rFonts w:hint="eastAsia"/>
          <w:color w:val="auto"/>
          <w:szCs w:val="28"/>
        </w:rPr>
        <w:t>1</w:t>
      </w:r>
      <w:r>
        <w:rPr>
          <w:color w:val="auto"/>
          <w:szCs w:val="28"/>
        </w:rPr>
        <w:t xml:space="preserve"> 湿法净化工艺</w:t>
      </w:r>
      <w:r>
        <w:rPr>
          <w:rFonts w:hint="eastAsia"/>
          <w:color w:val="auto"/>
          <w:szCs w:val="28"/>
        </w:rPr>
        <w:t>应</w:t>
      </w:r>
      <w:r>
        <w:rPr>
          <w:color w:val="auto"/>
          <w:szCs w:val="28"/>
        </w:rPr>
        <w:t>包括骤冷洗涤器和吸收塔（填料塔、筛板塔）等处理单元，</w:t>
      </w:r>
      <w:r>
        <w:rPr>
          <w:rFonts w:hint="eastAsia"/>
          <w:color w:val="auto"/>
          <w:szCs w:val="28"/>
        </w:rPr>
        <w:t>并</w:t>
      </w:r>
      <w:r>
        <w:rPr>
          <w:color w:val="auto"/>
          <w:szCs w:val="28"/>
        </w:rPr>
        <w:t>应符合下列要求：</w:t>
      </w:r>
    </w:p>
    <w:p>
      <w:pPr>
        <w:widowControl/>
        <w:spacing w:line="360" w:lineRule="auto"/>
        <w:ind w:firstLine="420" w:firstLineChars="200"/>
        <w:rPr>
          <w:color w:val="auto"/>
          <w:szCs w:val="28"/>
        </w:rPr>
      </w:pPr>
      <w:r>
        <w:rPr>
          <w:rFonts w:asciiTheme="minorEastAsia" w:hAnsiTheme="minorEastAsia" w:eastAsiaTheme="minorEastAsia"/>
          <w:color w:val="auto"/>
          <w:szCs w:val="28"/>
        </w:rPr>
        <w:t>1</w:t>
      </w:r>
      <w:r>
        <w:rPr>
          <w:rFonts w:hint="eastAsia" w:asciiTheme="minorEastAsia" w:hAnsiTheme="minorEastAsia" w:eastAsiaTheme="minorEastAsia"/>
          <w:color w:val="auto"/>
          <w:szCs w:val="28"/>
        </w:rPr>
        <w:t>）</w:t>
      </w:r>
      <w:r>
        <w:rPr>
          <w:rFonts w:hint="eastAsia"/>
          <w:color w:val="auto"/>
          <w:szCs w:val="28"/>
        </w:rPr>
        <w:t>应</w:t>
      </w:r>
      <w:r>
        <w:rPr>
          <w:color w:val="auto"/>
          <w:szCs w:val="28"/>
        </w:rPr>
        <w:t>配备废水处理设施</w:t>
      </w:r>
      <w:r>
        <w:rPr>
          <w:rFonts w:hint="eastAsia"/>
          <w:color w:val="auto"/>
          <w:szCs w:val="28"/>
        </w:rPr>
        <w:t>；</w:t>
      </w:r>
      <w:r>
        <w:rPr>
          <w:color w:val="auto"/>
          <w:szCs w:val="28"/>
        </w:rPr>
        <w:t xml:space="preserve"> </w:t>
      </w:r>
    </w:p>
    <w:p>
      <w:pPr>
        <w:widowControl/>
        <w:spacing w:line="360" w:lineRule="auto"/>
        <w:ind w:firstLine="420" w:firstLineChars="200"/>
        <w:rPr>
          <w:color w:val="auto"/>
          <w:szCs w:val="28"/>
        </w:rPr>
      </w:pPr>
      <w:r>
        <w:rPr>
          <w:rFonts w:asciiTheme="minorEastAsia" w:hAnsiTheme="minorEastAsia" w:eastAsiaTheme="minorEastAsia"/>
          <w:color w:val="auto"/>
          <w:szCs w:val="28"/>
        </w:rPr>
        <w:t>2</w:t>
      </w:r>
      <w:r>
        <w:rPr>
          <w:rFonts w:hint="eastAsia" w:asciiTheme="minorEastAsia" w:hAnsiTheme="minorEastAsia" w:eastAsiaTheme="minorEastAsia"/>
          <w:color w:val="auto"/>
          <w:szCs w:val="28"/>
        </w:rPr>
        <w:t>）</w:t>
      </w:r>
      <w:r>
        <w:rPr>
          <w:color w:val="auto"/>
          <w:szCs w:val="28"/>
        </w:rPr>
        <w:t>应</w:t>
      </w:r>
      <w:r>
        <w:rPr>
          <w:rFonts w:hint="eastAsia"/>
          <w:color w:val="auto"/>
          <w:szCs w:val="28"/>
        </w:rPr>
        <w:t>在脱酸塔出口增设除雾器</w:t>
      </w:r>
      <w:r>
        <w:rPr>
          <w:color w:val="auto"/>
          <w:szCs w:val="28"/>
        </w:rPr>
        <w:t>。</w:t>
      </w:r>
    </w:p>
    <w:p>
      <w:pPr>
        <w:widowControl/>
        <w:spacing w:line="360" w:lineRule="auto"/>
        <w:ind w:firstLine="420" w:firstLineChars="200"/>
        <w:rPr>
          <w:color w:val="auto"/>
          <w:szCs w:val="28"/>
        </w:rPr>
      </w:pPr>
      <w:r>
        <w:rPr>
          <w:rFonts w:hint="eastAsia"/>
          <w:color w:val="auto"/>
          <w:szCs w:val="28"/>
        </w:rPr>
        <w:t>2</w:t>
      </w:r>
      <w:r>
        <w:rPr>
          <w:color w:val="auto"/>
          <w:szCs w:val="28"/>
        </w:rPr>
        <w:t xml:space="preserve"> 半干法净化工艺</w:t>
      </w:r>
      <w:r>
        <w:rPr>
          <w:rFonts w:hint="eastAsia"/>
          <w:color w:val="auto"/>
          <w:szCs w:val="28"/>
        </w:rPr>
        <w:t>应</w:t>
      </w:r>
      <w:r>
        <w:rPr>
          <w:color w:val="auto"/>
          <w:szCs w:val="28"/>
        </w:rPr>
        <w:t>包括半干式洗气塔、</w:t>
      </w:r>
      <w:r>
        <w:rPr>
          <w:rFonts w:hint="eastAsia"/>
          <w:color w:val="auto"/>
          <w:szCs w:val="28"/>
        </w:rPr>
        <w:t>喷枪系统</w:t>
      </w:r>
      <w:r>
        <w:rPr>
          <w:color w:val="auto"/>
          <w:szCs w:val="28"/>
        </w:rPr>
        <w:t>等处理单元</w:t>
      </w:r>
      <w:r>
        <w:rPr>
          <w:rFonts w:hint="eastAsia"/>
          <w:color w:val="auto"/>
          <w:szCs w:val="28"/>
        </w:rPr>
        <w:t>，</w:t>
      </w:r>
      <w:r>
        <w:rPr>
          <w:rFonts w:hint="eastAsia"/>
          <w:color w:val="auto"/>
          <w:szCs w:val="28"/>
        </w:rPr>
        <w:t>且</w:t>
      </w:r>
      <w:r>
        <w:rPr>
          <w:color w:val="auto"/>
          <w:szCs w:val="28"/>
        </w:rPr>
        <w:t>反应器出口的烟气温度应</w:t>
      </w:r>
      <w:r>
        <w:rPr>
          <w:rFonts w:hint="eastAsia"/>
          <w:color w:val="auto"/>
          <w:szCs w:val="28"/>
        </w:rPr>
        <w:t>为160</w:t>
      </w:r>
      <w:r>
        <w:rPr>
          <w:rFonts w:hint="eastAsia" w:ascii="宋体" w:hAnsi="宋体" w:cs="宋体"/>
          <w:color w:val="auto"/>
          <w:szCs w:val="28"/>
          <w:lang w:eastAsia="ja-JP"/>
        </w:rPr>
        <w:t>℃</w:t>
      </w:r>
      <w:r>
        <w:rPr>
          <w:color w:val="auto"/>
          <w:szCs w:val="28"/>
        </w:rPr>
        <w:t>~200</w:t>
      </w:r>
      <w:r>
        <w:rPr>
          <w:rFonts w:hint="eastAsia" w:ascii="宋体" w:hAnsi="宋体" w:cs="宋体"/>
          <w:color w:val="auto"/>
          <w:szCs w:val="28"/>
          <w:lang w:eastAsia="ja-JP"/>
        </w:rPr>
        <w:t>℃</w:t>
      </w:r>
      <w:r>
        <w:rPr>
          <w:rFonts w:hint="eastAsia" w:ascii="宋体" w:hAnsi="宋体" w:cs="宋体"/>
          <w:color w:val="auto"/>
          <w:szCs w:val="28"/>
        </w:rPr>
        <w:t>。</w:t>
      </w:r>
    </w:p>
    <w:p>
      <w:pPr>
        <w:widowControl/>
        <w:spacing w:line="360" w:lineRule="auto"/>
        <w:ind w:firstLine="420" w:firstLineChars="200"/>
        <w:rPr>
          <w:color w:val="auto"/>
          <w:szCs w:val="28"/>
        </w:rPr>
      </w:pPr>
      <w:r>
        <w:rPr>
          <w:rFonts w:hint="eastAsia"/>
          <w:color w:val="auto"/>
          <w:szCs w:val="28"/>
        </w:rPr>
        <w:t xml:space="preserve">3 </w:t>
      </w:r>
      <w:r>
        <w:rPr>
          <w:color w:val="auto"/>
          <w:szCs w:val="28"/>
        </w:rPr>
        <w:t>干法净化工艺</w:t>
      </w:r>
      <w:r>
        <w:rPr>
          <w:rFonts w:hint="eastAsia"/>
          <w:color w:val="auto"/>
          <w:szCs w:val="28"/>
        </w:rPr>
        <w:t>应</w:t>
      </w:r>
      <w:r>
        <w:rPr>
          <w:color w:val="auto"/>
          <w:szCs w:val="28"/>
        </w:rPr>
        <w:t>包括干式洗气塔或干粉投加装置、布袋除尘器等处理单元</w:t>
      </w:r>
      <w:r>
        <w:rPr>
          <w:rFonts w:hint="eastAsia"/>
          <w:color w:val="auto"/>
          <w:szCs w:val="28"/>
        </w:rPr>
        <w:t>，并</w:t>
      </w:r>
      <w:r>
        <w:rPr>
          <w:color w:val="auto"/>
          <w:szCs w:val="28"/>
        </w:rPr>
        <w:t>应符合下列要求</w:t>
      </w:r>
      <w:r>
        <w:rPr>
          <w:rFonts w:hint="eastAsia"/>
          <w:color w:val="auto"/>
          <w:szCs w:val="28"/>
        </w:rPr>
        <w:t>：</w:t>
      </w:r>
    </w:p>
    <w:p>
      <w:pPr>
        <w:widowControl/>
        <w:spacing w:line="360" w:lineRule="auto"/>
        <w:ind w:firstLine="420" w:firstLineChars="200"/>
        <w:rPr>
          <w:color w:val="auto"/>
          <w:szCs w:val="28"/>
        </w:rPr>
      </w:pPr>
      <w:r>
        <w:rPr>
          <w:rFonts w:asciiTheme="minorEastAsia" w:hAnsiTheme="minorEastAsia" w:eastAsiaTheme="minorEastAsia"/>
          <w:color w:val="auto"/>
          <w:szCs w:val="28"/>
        </w:rPr>
        <w:t>1</w:t>
      </w:r>
      <w:r>
        <w:rPr>
          <w:rFonts w:hint="eastAsia" w:asciiTheme="minorEastAsia" w:hAnsiTheme="minorEastAsia" w:eastAsiaTheme="minorEastAsia"/>
          <w:color w:val="auto"/>
          <w:szCs w:val="28"/>
        </w:rPr>
        <w:t xml:space="preserve">） </w:t>
      </w:r>
      <w:r>
        <w:rPr>
          <w:color w:val="auto"/>
          <w:szCs w:val="28"/>
        </w:rPr>
        <w:t>收集的</w:t>
      </w:r>
      <w:r>
        <w:rPr>
          <w:color w:val="auto"/>
          <w:szCs w:val="28"/>
        </w:rPr>
        <w:t>飞灰、反应物以及未反应物</w:t>
      </w:r>
      <w:r>
        <w:rPr>
          <w:rFonts w:hint="eastAsia"/>
          <w:color w:val="auto"/>
          <w:szCs w:val="28"/>
        </w:rPr>
        <w:t>应进行</w:t>
      </w:r>
      <w:r>
        <w:rPr>
          <w:color w:val="auto"/>
          <w:szCs w:val="28"/>
        </w:rPr>
        <w:t xml:space="preserve">循环处理； </w:t>
      </w:r>
    </w:p>
    <w:p>
      <w:pPr>
        <w:widowControl/>
        <w:spacing w:line="360" w:lineRule="auto"/>
        <w:ind w:firstLine="420" w:firstLineChars="200"/>
        <w:rPr>
          <w:color w:val="auto"/>
          <w:szCs w:val="28"/>
        </w:rPr>
      </w:pPr>
      <w:r>
        <w:rPr>
          <w:rFonts w:asciiTheme="minorEastAsia" w:hAnsiTheme="minorEastAsia" w:eastAsiaTheme="minorEastAsia"/>
          <w:color w:val="auto"/>
          <w:szCs w:val="28"/>
        </w:rPr>
        <w:t>2</w:t>
      </w:r>
      <w:r>
        <w:rPr>
          <w:rFonts w:hint="eastAsia" w:asciiTheme="minorEastAsia" w:hAnsiTheme="minorEastAsia" w:eastAsiaTheme="minorEastAsia"/>
          <w:color w:val="auto"/>
          <w:szCs w:val="28"/>
        </w:rPr>
        <w:t>）</w:t>
      </w:r>
      <w:r>
        <w:rPr>
          <w:rFonts w:asciiTheme="minorEastAsia" w:hAnsiTheme="minorEastAsia" w:eastAsiaTheme="minorEastAsia"/>
          <w:color w:val="auto"/>
          <w:szCs w:val="28"/>
        </w:rPr>
        <w:t xml:space="preserve"> </w:t>
      </w:r>
      <w:r>
        <w:rPr>
          <w:color w:val="auto"/>
          <w:szCs w:val="28"/>
        </w:rPr>
        <w:t>反应器出口的烟气温度</w:t>
      </w:r>
      <w:r>
        <w:rPr>
          <w:rFonts w:hint="eastAsia"/>
          <w:color w:val="auto"/>
          <w:szCs w:val="28"/>
        </w:rPr>
        <w:t>不</w:t>
      </w:r>
      <w:r>
        <w:rPr>
          <w:color w:val="auto"/>
          <w:szCs w:val="28"/>
        </w:rPr>
        <w:t>应</w:t>
      </w:r>
      <w:r>
        <w:rPr>
          <w:rFonts w:hint="eastAsia"/>
          <w:color w:val="auto"/>
          <w:szCs w:val="28"/>
        </w:rPr>
        <w:t>低</w:t>
      </w:r>
      <w:r>
        <w:rPr>
          <w:rFonts w:hint="eastAsia"/>
          <w:color w:val="auto"/>
          <w:szCs w:val="28"/>
        </w:rPr>
        <w:t>于</w:t>
      </w:r>
      <w:r>
        <w:rPr>
          <w:color w:val="auto"/>
          <w:szCs w:val="28"/>
        </w:rPr>
        <w:t>150</w:t>
      </w:r>
      <w:r>
        <w:rPr>
          <w:rFonts w:hint="eastAsia" w:ascii="宋体" w:hAnsi="宋体" w:cs="宋体"/>
          <w:color w:val="auto"/>
          <w:szCs w:val="28"/>
        </w:rPr>
        <w:t>℃</w:t>
      </w:r>
      <w:r>
        <w:rPr>
          <w:color w:val="auto"/>
          <w:szCs w:val="28"/>
        </w:rPr>
        <w:t>。</w:t>
      </w:r>
    </w:p>
    <w:p>
      <w:pPr>
        <w:widowControl/>
        <w:spacing w:line="360" w:lineRule="auto"/>
        <w:ind w:firstLine="420" w:firstLineChars="200"/>
        <w:rPr>
          <w:color w:val="auto"/>
          <w:szCs w:val="28"/>
        </w:rPr>
      </w:pPr>
      <w:r>
        <w:rPr>
          <w:rFonts w:hint="eastAsia"/>
          <w:color w:val="auto"/>
          <w:szCs w:val="28"/>
        </w:rPr>
        <w:t>4</w:t>
      </w:r>
      <w:r>
        <w:rPr>
          <w:color w:val="auto"/>
          <w:szCs w:val="28"/>
        </w:rPr>
        <w:t xml:space="preserve"> </w:t>
      </w:r>
      <w:r>
        <w:rPr>
          <w:rFonts w:hint="eastAsia"/>
          <w:color w:val="auto"/>
          <w:szCs w:val="28"/>
        </w:rPr>
        <w:t>半干法净化工艺/干法净化工艺与活性炭法烟气净化耦合工艺应符合下列要求：</w:t>
      </w:r>
    </w:p>
    <w:p>
      <w:pPr>
        <w:widowControl/>
        <w:spacing w:line="360" w:lineRule="auto"/>
        <w:ind w:firstLine="420" w:firstLineChars="200"/>
        <w:rPr>
          <w:color w:val="auto"/>
          <w:szCs w:val="28"/>
        </w:rPr>
      </w:pPr>
      <w:r>
        <w:rPr>
          <w:rFonts w:asciiTheme="minorEastAsia" w:hAnsiTheme="minorEastAsia" w:eastAsiaTheme="minorEastAsia"/>
          <w:color w:val="auto"/>
          <w:szCs w:val="28"/>
        </w:rPr>
        <w:t>1</w:t>
      </w:r>
      <w:r>
        <w:rPr>
          <w:rFonts w:hint="eastAsia" w:asciiTheme="minorEastAsia" w:hAnsiTheme="minorEastAsia" w:eastAsiaTheme="minorEastAsia"/>
          <w:color w:val="auto"/>
          <w:szCs w:val="28"/>
        </w:rPr>
        <w:t>）</w:t>
      </w:r>
      <w:r>
        <w:rPr>
          <w:rFonts w:hint="eastAsia"/>
          <w:color w:val="auto"/>
          <w:szCs w:val="28"/>
        </w:rPr>
        <w:t>活性炭法烟气净化工艺的</w:t>
      </w:r>
      <w:r>
        <w:rPr>
          <w:color w:val="auto"/>
          <w:szCs w:val="28"/>
        </w:rPr>
        <w:t>烟气</w:t>
      </w:r>
      <w:r>
        <w:rPr>
          <w:rFonts w:hint="eastAsia"/>
          <w:color w:val="auto"/>
          <w:szCs w:val="28"/>
        </w:rPr>
        <w:t>设计空速不宜大</w:t>
      </w:r>
      <w:r>
        <w:rPr>
          <w:color w:val="auto"/>
          <w:szCs w:val="28"/>
        </w:rPr>
        <w:t>于</w:t>
      </w:r>
      <w:r>
        <w:rPr>
          <w:rFonts w:hint="eastAsia"/>
          <w:color w:val="auto"/>
          <w:szCs w:val="28"/>
        </w:rPr>
        <w:t>5</w:t>
      </w:r>
      <w:r>
        <w:rPr>
          <w:color w:val="auto"/>
          <w:szCs w:val="28"/>
        </w:rPr>
        <w:t>00 h</w:t>
      </w:r>
      <w:r>
        <w:rPr>
          <w:color w:val="auto"/>
          <w:szCs w:val="28"/>
          <w:vertAlign w:val="superscript"/>
        </w:rPr>
        <w:t>-1</w:t>
      </w:r>
      <w:r>
        <w:rPr>
          <w:rFonts w:hint="eastAsia"/>
          <w:color w:val="auto"/>
          <w:szCs w:val="28"/>
        </w:rPr>
        <w:t>；</w:t>
      </w:r>
      <w:r>
        <w:rPr>
          <w:color w:val="auto"/>
          <w:szCs w:val="28"/>
        </w:rPr>
        <w:t xml:space="preserve"> </w:t>
      </w:r>
    </w:p>
    <w:p>
      <w:pPr>
        <w:widowControl/>
        <w:spacing w:line="360" w:lineRule="auto"/>
        <w:ind w:firstLine="420" w:firstLineChars="200"/>
        <w:rPr>
          <w:color w:val="auto"/>
          <w:szCs w:val="28"/>
        </w:rPr>
      </w:pPr>
      <w:r>
        <w:rPr>
          <w:rFonts w:asciiTheme="minorEastAsia" w:hAnsiTheme="minorEastAsia" w:eastAsiaTheme="minorEastAsia"/>
          <w:color w:val="auto"/>
          <w:szCs w:val="28"/>
        </w:rPr>
        <w:t>2</w:t>
      </w:r>
      <w:r>
        <w:rPr>
          <w:rFonts w:hint="eastAsia" w:asciiTheme="minorEastAsia" w:hAnsiTheme="minorEastAsia" w:eastAsiaTheme="minorEastAsia"/>
          <w:color w:val="auto"/>
          <w:szCs w:val="28"/>
        </w:rPr>
        <w:t>）</w:t>
      </w:r>
      <w:r>
        <w:rPr>
          <w:rFonts w:asciiTheme="minorEastAsia" w:hAnsiTheme="minorEastAsia" w:eastAsiaTheme="minorEastAsia"/>
          <w:color w:val="auto"/>
          <w:szCs w:val="28"/>
        </w:rPr>
        <w:t xml:space="preserve"> </w:t>
      </w:r>
      <w:r>
        <w:rPr>
          <w:color w:val="auto"/>
          <w:szCs w:val="28"/>
        </w:rPr>
        <w:t>收集的</w:t>
      </w:r>
      <w:r>
        <w:rPr>
          <w:color w:val="auto"/>
          <w:szCs w:val="28"/>
        </w:rPr>
        <w:t>飞灰、反应物以及未反应物</w:t>
      </w:r>
      <w:r>
        <w:rPr>
          <w:rFonts w:hint="eastAsia"/>
          <w:color w:val="auto"/>
          <w:szCs w:val="28"/>
        </w:rPr>
        <w:t>应进行</w:t>
      </w:r>
      <w:r>
        <w:rPr>
          <w:color w:val="auto"/>
          <w:szCs w:val="28"/>
        </w:rPr>
        <w:t xml:space="preserve">循环处理； </w:t>
      </w:r>
    </w:p>
    <w:p>
      <w:pPr>
        <w:widowControl/>
        <w:spacing w:line="360" w:lineRule="auto"/>
        <w:ind w:firstLine="420" w:firstLineChars="200"/>
        <w:rPr>
          <w:color w:val="auto"/>
          <w:szCs w:val="28"/>
        </w:rPr>
      </w:pPr>
      <w:r>
        <w:rPr>
          <w:rFonts w:asciiTheme="minorEastAsia" w:hAnsiTheme="minorEastAsia" w:eastAsiaTheme="minorEastAsia"/>
          <w:color w:val="auto"/>
          <w:szCs w:val="28"/>
        </w:rPr>
        <w:t>3</w:t>
      </w:r>
      <w:r>
        <w:rPr>
          <w:rFonts w:hint="eastAsia" w:asciiTheme="minorEastAsia" w:hAnsiTheme="minorEastAsia" w:eastAsiaTheme="minorEastAsia"/>
          <w:color w:val="auto"/>
          <w:szCs w:val="28"/>
        </w:rPr>
        <w:t>）</w:t>
      </w:r>
      <w:r>
        <w:rPr>
          <w:rFonts w:asciiTheme="minorEastAsia" w:hAnsiTheme="minorEastAsia" w:eastAsiaTheme="minorEastAsia"/>
          <w:color w:val="auto"/>
          <w:szCs w:val="28"/>
        </w:rPr>
        <w:t xml:space="preserve"> 活性炭法烟气净化入</w:t>
      </w:r>
      <w:r>
        <w:rPr>
          <w:color w:val="auto"/>
          <w:szCs w:val="28"/>
        </w:rPr>
        <w:t>口的烟气温度应在 130</w:t>
      </w:r>
      <w:r>
        <w:rPr>
          <w:rFonts w:hint="eastAsia" w:ascii="宋体" w:hAnsi="宋体" w:cs="宋体"/>
          <w:color w:val="auto"/>
          <w:szCs w:val="28"/>
        </w:rPr>
        <w:t>℃</w:t>
      </w:r>
      <w:r>
        <w:rPr>
          <w:rFonts w:hint="eastAsia"/>
          <w:color w:val="auto"/>
          <w:szCs w:val="28"/>
        </w:rPr>
        <w:t>-150℃之间，并应在入口</w:t>
      </w:r>
      <w:r>
        <w:rPr>
          <w:rFonts w:hint="eastAsia"/>
          <w:color w:val="auto"/>
          <w:szCs w:val="28"/>
        </w:rPr>
        <w:t>设置喷加氨气装置</w:t>
      </w:r>
      <w:r>
        <w:rPr>
          <w:rFonts w:hint="eastAsia"/>
          <w:color w:val="auto"/>
          <w:szCs w:val="28"/>
        </w:rPr>
        <w:t>。</w:t>
      </w:r>
    </w:p>
    <w:p>
      <w:pPr>
        <w:widowControl/>
        <w:spacing w:line="360" w:lineRule="auto"/>
        <w:rPr>
          <w:color w:val="auto"/>
          <w:szCs w:val="28"/>
        </w:rPr>
      </w:pPr>
      <w:r>
        <w:rPr>
          <w:color w:val="auto"/>
          <w:szCs w:val="28"/>
        </w:rPr>
        <w:t>6.5.4 烟气净化装置应</w:t>
      </w:r>
      <w:r>
        <w:rPr>
          <w:rFonts w:hint="eastAsia"/>
          <w:color w:val="auto"/>
          <w:szCs w:val="28"/>
        </w:rPr>
        <w:t>采取</w:t>
      </w:r>
      <w:r>
        <w:rPr>
          <w:color w:val="auto"/>
          <w:szCs w:val="28"/>
        </w:rPr>
        <w:t>防腐蚀、防磨损和防止飞灰阻塞的措施。</w:t>
      </w:r>
    </w:p>
    <w:p>
      <w:pPr>
        <w:widowControl/>
        <w:spacing w:line="360" w:lineRule="auto"/>
        <w:rPr>
          <w:color w:val="auto"/>
          <w:szCs w:val="28"/>
        </w:rPr>
      </w:pPr>
      <w:r>
        <w:rPr>
          <w:color w:val="auto"/>
          <w:szCs w:val="28"/>
        </w:rPr>
        <w:t>6.5.5 氯化氢、氟化氢和</w:t>
      </w:r>
      <w:r>
        <w:rPr>
          <w:rFonts w:hint="eastAsia"/>
          <w:color w:val="auto"/>
          <w:szCs w:val="28"/>
        </w:rPr>
        <w:t>二氧化硫</w:t>
      </w:r>
      <w:r>
        <w:rPr>
          <w:color w:val="auto"/>
          <w:szCs w:val="28"/>
        </w:rPr>
        <w:t>等</w:t>
      </w:r>
      <w:r>
        <w:rPr>
          <w:rFonts w:hint="eastAsia"/>
          <w:color w:val="auto"/>
          <w:szCs w:val="28"/>
        </w:rPr>
        <w:t>酸性污染物应根据净化工艺选用中和剂在反应器内进行中和反应，中和剂选择应符合下列要求：</w:t>
      </w:r>
    </w:p>
    <w:p>
      <w:pPr>
        <w:widowControl/>
        <w:spacing w:line="360" w:lineRule="auto"/>
        <w:ind w:firstLine="420"/>
        <w:rPr>
          <w:color w:val="auto"/>
          <w:szCs w:val="28"/>
        </w:rPr>
      </w:pPr>
      <w:r>
        <w:rPr>
          <w:rFonts w:hint="eastAsia"/>
          <w:color w:val="auto"/>
          <w:szCs w:val="28"/>
        </w:rPr>
        <w:t xml:space="preserve">1 </w:t>
      </w:r>
      <w:r>
        <w:rPr>
          <w:color w:val="auto"/>
          <w:szCs w:val="28"/>
        </w:rPr>
        <w:t>湿法净化工艺</w:t>
      </w:r>
      <w:r>
        <w:rPr>
          <w:rFonts w:hint="eastAsia"/>
          <w:color w:val="auto"/>
          <w:szCs w:val="28"/>
        </w:rPr>
        <w:t>宜</w:t>
      </w:r>
      <w:r>
        <w:rPr>
          <w:color w:val="auto"/>
          <w:szCs w:val="28"/>
        </w:rPr>
        <w:t>选择氢氧化钠溶液</w:t>
      </w:r>
      <w:r>
        <w:rPr>
          <w:rFonts w:hint="eastAsia"/>
          <w:color w:val="auto"/>
          <w:szCs w:val="28"/>
        </w:rPr>
        <w:t>；</w:t>
      </w:r>
    </w:p>
    <w:p>
      <w:pPr>
        <w:widowControl/>
        <w:spacing w:line="360" w:lineRule="auto"/>
        <w:ind w:firstLine="420"/>
        <w:rPr>
          <w:color w:val="auto"/>
          <w:szCs w:val="28"/>
        </w:rPr>
      </w:pPr>
      <w:r>
        <w:rPr>
          <w:rFonts w:hint="eastAsia"/>
          <w:color w:val="auto"/>
          <w:szCs w:val="28"/>
        </w:rPr>
        <w:t>2 半干法净化工艺宜选择含水率低于5%的氢氧化钙溶液；</w:t>
      </w:r>
    </w:p>
    <w:p>
      <w:pPr>
        <w:widowControl/>
        <w:spacing w:line="360" w:lineRule="auto"/>
        <w:ind w:firstLine="420"/>
        <w:rPr>
          <w:color w:val="auto"/>
          <w:szCs w:val="28"/>
        </w:rPr>
      </w:pPr>
      <w:r>
        <w:rPr>
          <w:rFonts w:hint="eastAsia"/>
          <w:color w:val="auto"/>
          <w:szCs w:val="28"/>
        </w:rPr>
        <w:t>3 干法净化工艺应选择干燥的粉状氢氧化钙或者碳酸氢钠。</w:t>
      </w:r>
    </w:p>
    <w:p>
      <w:pPr>
        <w:widowControl/>
        <w:spacing w:line="360" w:lineRule="auto"/>
        <w:rPr>
          <w:color w:val="auto"/>
          <w:szCs w:val="28"/>
        </w:rPr>
      </w:pPr>
      <w:r>
        <w:rPr>
          <w:color w:val="auto"/>
          <w:szCs w:val="28"/>
        </w:rPr>
        <w:t xml:space="preserve">6.5.6 </w:t>
      </w:r>
      <w:r>
        <w:rPr>
          <w:rFonts w:hint="eastAsia"/>
          <w:color w:val="auto"/>
          <w:szCs w:val="28"/>
        </w:rPr>
        <w:t>除尘设备的选择应根据下列因素确定：</w:t>
      </w:r>
    </w:p>
    <w:p>
      <w:pPr>
        <w:widowControl/>
        <w:spacing w:line="360" w:lineRule="auto"/>
        <w:ind w:firstLine="420"/>
        <w:rPr>
          <w:color w:val="auto"/>
          <w:szCs w:val="28"/>
        </w:rPr>
      </w:pPr>
      <w:r>
        <w:rPr>
          <w:color w:val="auto"/>
          <w:szCs w:val="28"/>
        </w:rPr>
        <w:t xml:space="preserve">1 </w:t>
      </w:r>
      <w:r>
        <w:rPr>
          <w:rFonts w:hint="eastAsia"/>
          <w:color w:val="auto"/>
          <w:szCs w:val="28"/>
        </w:rPr>
        <w:t>烟气特性：温度、流量和飞灰粒度分布；</w:t>
      </w:r>
    </w:p>
    <w:p>
      <w:pPr>
        <w:widowControl/>
        <w:spacing w:line="360" w:lineRule="auto"/>
        <w:ind w:firstLine="420"/>
        <w:rPr>
          <w:color w:val="auto"/>
          <w:szCs w:val="28"/>
        </w:rPr>
      </w:pPr>
      <w:r>
        <w:rPr>
          <w:color w:val="auto"/>
          <w:szCs w:val="28"/>
        </w:rPr>
        <w:t xml:space="preserve">2 </w:t>
      </w:r>
      <w:r>
        <w:rPr>
          <w:rFonts w:hint="eastAsia"/>
          <w:color w:val="auto"/>
          <w:szCs w:val="28"/>
        </w:rPr>
        <w:t>除尘器的适用范围和分级效率；</w:t>
      </w:r>
    </w:p>
    <w:p>
      <w:pPr>
        <w:widowControl/>
        <w:spacing w:line="360" w:lineRule="auto"/>
        <w:ind w:firstLine="420"/>
        <w:rPr>
          <w:color w:val="auto"/>
          <w:szCs w:val="28"/>
        </w:rPr>
      </w:pPr>
      <w:r>
        <w:rPr>
          <w:color w:val="auto"/>
          <w:szCs w:val="28"/>
        </w:rPr>
        <w:t xml:space="preserve">3 </w:t>
      </w:r>
      <w:r>
        <w:rPr>
          <w:rFonts w:hint="eastAsia"/>
          <w:color w:val="auto"/>
          <w:szCs w:val="28"/>
        </w:rPr>
        <w:t>除尘器同</w:t>
      </w:r>
      <w:r>
        <w:rPr>
          <w:rFonts w:hint="eastAsia"/>
          <w:color w:val="auto"/>
        </w:rPr>
        <w:t>其他</w:t>
      </w:r>
      <w:r>
        <w:rPr>
          <w:rFonts w:hint="eastAsia"/>
          <w:color w:val="auto"/>
          <w:szCs w:val="28"/>
        </w:rPr>
        <w:t>净化设备的协同作用或反向作用的影响。</w:t>
      </w:r>
    </w:p>
    <w:p>
      <w:pPr>
        <w:widowControl/>
        <w:spacing w:line="360" w:lineRule="auto"/>
        <w:rPr>
          <w:color w:val="auto"/>
          <w:szCs w:val="28"/>
        </w:rPr>
      </w:pPr>
      <w:r>
        <w:rPr>
          <w:color w:val="auto"/>
          <w:szCs w:val="28"/>
        </w:rPr>
        <w:t xml:space="preserve">6.5.7 </w:t>
      </w:r>
      <w:r>
        <w:rPr>
          <w:rFonts w:hint="eastAsia"/>
          <w:color w:val="auto"/>
          <w:szCs w:val="28"/>
        </w:rPr>
        <w:t>烟气净化系统的除尘设备设计应符合下列规定：</w:t>
      </w:r>
    </w:p>
    <w:p>
      <w:pPr>
        <w:widowControl/>
        <w:spacing w:line="360" w:lineRule="auto"/>
        <w:ind w:firstLine="420"/>
        <w:rPr>
          <w:color w:val="auto"/>
          <w:szCs w:val="28"/>
        </w:rPr>
      </w:pPr>
      <w:r>
        <w:rPr>
          <w:color w:val="auto"/>
          <w:szCs w:val="28"/>
        </w:rPr>
        <w:t xml:space="preserve">1  </w:t>
      </w:r>
      <w:r>
        <w:rPr>
          <w:rFonts w:hint="eastAsia"/>
          <w:color w:val="auto"/>
          <w:szCs w:val="28"/>
        </w:rPr>
        <w:t>宜</w:t>
      </w:r>
      <w:r>
        <w:rPr>
          <w:rFonts w:hint="eastAsia"/>
          <w:color w:val="auto"/>
          <w:szCs w:val="28"/>
        </w:rPr>
        <w:t>选用袋式除尘器，袋式除尘器滤袋材质应</w:t>
      </w:r>
      <w:r>
        <w:rPr>
          <w:rFonts w:hint="eastAsia"/>
          <w:color w:val="auto"/>
          <w:szCs w:val="28"/>
        </w:rPr>
        <w:t>选择</w:t>
      </w:r>
      <w:r>
        <w:rPr>
          <w:color w:val="auto"/>
          <w:szCs w:val="28"/>
        </w:rPr>
        <w:t>PTFE+PTFE</w:t>
      </w:r>
      <w:r>
        <w:rPr>
          <w:rFonts w:hint="eastAsia"/>
          <w:color w:val="auto"/>
          <w:szCs w:val="28"/>
        </w:rPr>
        <w:t>覆膜形式，袋笼应选择不锈钢、碳钢涂硅材质；</w:t>
      </w:r>
    </w:p>
    <w:p>
      <w:pPr>
        <w:widowControl/>
        <w:spacing w:line="360" w:lineRule="auto"/>
        <w:ind w:firstLine="420"/>
        <w:rPr>
          <w:color w:val="auto"/>
          <w:szCs w:val="28"/>
        </w:rPr>
      </w:pPr>
      <w:r>
        <w:rPr>
          <w:color w:val="auto"/>
          <w:szCs w:val="28"/>
        </w:rPr>
        <w:t xml:space="preserve">2  </w:t>
      </w:r>
      <w:r>
        <w:rPr>
          <w:rFonts w:hint="eastAsia"/>
          <w:color w:val="auto"/>
          <w:szCs w:val="28"/>
        </w:rPr>
        <w:t>湿式除尘装置应配备完整的废水处理设施。</w:t>
      </w:r>
    </w:p>
    <w:p>
      <w:pPr>
        <w:widowControl/>
        <w:spacing w:line="360" w:lineRule="auto"/>
        <w:rPr>
          <w:color w:val="auto"/>
          <w:szCs w:val="28"/>
        </w:rPr>
      </w:pPr>
      <w:r>
        <w:rPr>
          <w:color w:val="auto"/>
          <w:szCs w:val="28"/>
        </w:rPr>
        <w:t xml:space="preserve">6.5.8 </w:t>
      </w:r>
      <w:r>
        <w:rPr>
          <w:rFonts w:hint="eastAsia"/>
          <w:color w:val="auto"/>
          <w:szCs w:val="28"/>
        </w:rPr>
        <w:t>当烟气净化系统无活性炭法耦合工艺时，应设置急冷装置，</w:t>
      </w:r>
      <w:r>
        <w:rPr>
          <w:rFonts w:hint="eastAsia"/>
          <w:color w:val="auto"/>
          <w:szCs w:val="28"/>
        </w:rPr>
        <w:t>并应符合下列规定</w:t>
      </w:r>
      <w:r>
        <w:rPr>
          <w:rFonts w:hint="eastAsia"/>
          <w:color w:val="auto"/>
          <w:szCs w:val="28"/>
        </w:rPr>
        <w:t>：</w:t>
      </w:r>
    </w:p>
    <w:p>
      <w:pPr>
        <w:widowControl/>
        <w:spacing w:line="360" w:lineRule="auto"/>
        <w:ind w:firstLine="420"/>
        <w:rPr>
          <w:color w:val="auto"/>
          <w:szCs w:val="28"/>
        </w:rPr>
      </w:pPr>
      <w:r>
        <w:rPr>
          <w:color w:val="auto"/>
          <w:szCs w:val="28"/>
        </w:rPr>
        <w:t>1</w:t>
      </w:r>
      <w:r>
        <w:rPr>
          <w:rFonts w:hint="eastAsia"/>
          <w:color w:val="auto"/>
          <w:szCs w:val="28"/>
          <w:lang w:val="en-US" w:eastAsia="zh-CN"/>
        </w:rPr>
        <w:t xml:space="preserve"> </w:t>
      </w:r>
      <w:r>
        <w:rPr>
          <w:rFonts w:hint="eastAsia"/>
          <w:color w:val="auto"/>
          <w:szCs w:val="28"/>
        </w:rPr>
        <w:t>烟气温度</w:t>
      </w:r>
      <w:r>
        <w:rPr>
          <w:rFonts w:hint="eastAsia"/>
          <w:color w:val="auto"/>
          <w:szCs w:val="28"/>
        </w:rPr>
        <w:t>应</w:t>
      </w:r>
      <w:r>
        <w:rPr>
          <w:rFonts w:hint="eastAsia"/>
          <w:color w:val="auto"/>
          <w:szCs w:val="28"/>
        </w:rPr>
        <w:t>在1s内降</w:t>
      </w:r>
      <w:r>
        <w:rPr>
          <w:rFonts w:hint="eastAsia"/>
          <w:color w:val="auto"/>
          <w:szCs w:val="28"/>
        </w:rPr>
        <w:t>至</w:t>
      </w:r>
      <w:r>
        <w:rPr>
          <w:rFonts w:hint="eastAsia"/>
          <w:color w:val="auto"/>
          <w:szCs w:val="28"/>
        </w:rPr>
        <w:t>200℃以下；</w:t>
      </w:r>
    </w:p>
    <w:p>
      <w:pPr>
        <w:widowControl/>
        <w:spacing w:line="360" w:lineRule="auto"/>
        <w:ind w:firstLine="420"/>
        <w:rPr>
          <w:color w:val="auto"/>
          <w:szCs w:val="28"/>
        </w:rPr>
      </w:pPr>
      <w:r>
        <w:rPr>
          <w:color w:val="auto"/>
          <w:szCs w:val="28"/>
        </w:rPr>
        <w:t xml:space="preserve">2 </w:t>
      </w:r>
      <w:r>
        <w:rPr>
          <w:rFonts w:hint="eastAsia"/>
          <w:color w:val="auto"/>
          <w:szCs w:val="28"/>
        </w:rPr>
        <w:t>干式反应器和袋式除尘器之间应</w:t>
      </w:r>
      <w:r>
        <w:rPr>
          <w:color w:val="auto"/>
          <w:szCs w:val="28"/>
        </w:rPr>
        <w:t>设置</w:t>
      </w:r>
      <w:r>
        <w:rPr>
          <w:rFonts w:hint="eastAsia"/>
          <w:color w:val="auto"/>
          <w:szCs w:val="28"/>
        </w:rPr>
        <w:t>活性炭粉末或多孔性吸附剂喷入</w:t>
      </w:r>
      <w:r>
        <w:rPr>
          <w:color w:val="auto"/>
          <w:szCs w:val="28"/>
        </w:rPr>
        <w:t>孔</w:t>
      </w:r>
      <w:r>
        <w:rPr>
          <w:rFonts w:hint="eastAsia"/>
          <w:color w:val="auto"/>
          <w:szCs w:val="28"/>
        </w:rPr>
        <w:t>；</w:t>
      </w:r>
    </w:p>
    <w:p>
      <w:pPr>
        <w:widowControl/>
        <w:spacing w:line="360" w:lineRule="auto"/>
        <w:ind w:firstLine="420"/>
        <w:rPr>
          <w:color w:val="auto"/>
          <w:szCs w:val="28"/>
        </w:rPr>
      </w:pPr>
      <w:r>
        <w:rPr>
          <w:color w:val="auto"/>
          <w:szCs w:val="28"/>
        </w:rPr>
        <w:t>3</w:t>
      </w:r>
      <w:r>
        <w:rPr>
          <w:rFonts w:hint="eastAsia"/>
          <w:color w:val="auto"/>
          <w:szCs w:val="28"/>
          <w:lang w:val="en-US" w:eastAsia="zh-CN"/>
        </w:rPr>
        <w:t xml:space="preserve"> </w:t>
      </w:r>
      <w:r>
        <w:rPr>
          <w:rFonts w:hint="eastAsia"/>
          <w:color w:val="auto"/>
          <w:szCs w:val="28"/>
        </w:rPr>
        <w:t xml:space="preserve">宜在布袋除尘器后设置活性炭或多孔性吸附剂吸收塔（床）。 </w:t>
      </w:r>
    </w:p>
    <w:p>
      <w:pPr>
        <w:widowControl/>
        <w:spacing w:line="360" w:lineRule="auto"/>
        <w:rPr>
          <w:color w:val="auto"/>
          <w:szCs w:val="28"/>
        </w:rPr>
      </w:pPr>
      <w:r>
        <w:rPr>
          <w:color w:val="auto"/>
          <w:szCs w:val="28"/>
        </w:rPr>
        <w:t>6.5.9</w:t>
      </w:r>
      <w:r>
        <w:rPr>
          <w:rFonts w:hint="eastAsia"/>
          <w:color w:val="auto"/>
          <w:szCs w:val="28"/>
        </w:rPr>
        <w:t>对</w:t>
      </w:r>
      <w:r>
        <w:rPr>
          <w:color w:val="auto"/>
          <w:szCs w:val="28"/>
        </w:rPr>
        <w:t>含氮量较高的危险废物焚烧烟气</w:t>
      </w:r>
      <w:r>
        <w:rPr>
          <w:rFonts w:hint="eastAsia"/>
          <w:color w:val="auto"/>
          <w:szCs w:val="28"/>
        </w:rPr>
        <w:t>，</w:t>
      </w:r>
      <w:r>
        <w:rPr>
          <w:color w:val="auto"/>
          <w:szCs w:val="28"/>
        </w:rPr>
        <w:t>宜</w:t>
      </w:r>
      <w:r>
        <w:rPr>
          <w:color w:val="auto"/>
          <w:szCs w:val="28"/>
        </w:rPr>
        <w:t>采用选择性非催化还原法</w:t>
      </w:r>
      <w:r>
        <w:rPr>
          <w:rFonts w:hint="eastAsia"/>
          <w:color w:val="auto"/>
          <w:szCs w:val="28"/>
        </w:rPr>
        <w:t>或选择性催化还原法进行</w:t>
      </w:r>
      <w:r>
        <w:rPr>
          <w:color w:val="auto"/>
          <w:szCs w:val="28"/>
        </w:rPr>
        <w:t>净化。</w:t>
      </w:r>
    </w:p>
    <w:p>
      <w:pPr>
        <w:widowControl/>
        <w:spacing w:line="360" w:lineRule="auto"/>
        <w:rPr>
          <w:color w:val="auto"/>
          <w:szCs w:val="28"/>
        </w:rPr>
      </w:pPr>
      <w:r>
        <w:rPr>
          <w:color w:val="auto"/>
          <w:szCs w:val="28"/>
        </w:rPr>
        <w:t>6.5.10 引风机应采用变频调速装置。</w:t>
      </w:r>
    </w:p>
    <w:p>
      <w:pPr>
        <w:widowControl/>
        <w:spacing w:line="360" w:lineRule="auto"/>
        <w:rPr>
          <w:color w:val="auto"/>
          <w:szCs w:val="28"/>
        </w:rPr>
      </w:pPr>
      <w:r>
        <w:rPr>
          <w:color w:val="auto"/>
          <w:szCs w:val="28"/>
        </w:rPr>
        <w:t>6.5.11</w:t>
      </w:r>
      <w:r>
        <w:rPr>
          <w:rFonts w:hint="eastAsia"/>
          <w:color w:val="auto"/>
          <w:szCs w:val="28"/>
        </w:rPr>
        <w:t>钢厂</w:t>
      </w:r>
      <w:r>
        <w:rPr>
          <w:color w:val="auto"/>
          <w:szCs w:val="28"/>
        </w:rPr>
        <w:t>危险废物焚烧</w:t>
      </w:r>
      <w:r>
        <w:rPr>
          <w:rFonts w:hint="eastAsia"/>
          <w:color w:val="auto"/>
          <w:szCs w:val="28"/>
        </w:rPr>
        <w:t>设施</w:t>
      </w:r>
      <w:r>
        <w:rPr>
          <w:color w:val="auto"/>
          <w:szCs w:val="28"/>
        </w:rPr>
        <w:t>烟气污染物排放浓度限值应符合</w:t>
      </w:r>
      <w:r>
        <w:rPr>
          <w:rFonts w:hint="eastAsia"/>
          <w:color w:val="auto"/>
          <w:szCs w:val="28"/>
        </w:rPr>
        <w:t>表</w:t>
      </w:r>
      <w:r>
        <w:rPr>
          <w:color w:val="auto"/>
          <w:szCs w:val="28"/>
        </w:rPr>
        <w:t>6.5.11</w:t>
      </w:r>
      <w:r>
        <w:rPr>
          <w:rFonts w:hint="eastAsia"/>
          <w:color w:val="auto"/>
          <w:szCs w:val="28"/>
        </w:rPr>
        <w:t xml:space="preserve"> 的</w:t>
      </w:r>
      <w:r>
        <w:rPr>
          <w:color w:val="auto"/>
          <w:szCs w:val="28"/>
        </w:rPr>
        <w:t>要求</w:t>
      </w:r>
      <w:r>
        <w:rPr>
          <w:rFonts w:hint="eastAsia"/>
          <w:color w:val="auto"/>
          <w:szCs w:val="28"/>
        </w:rPr>
        <w:t>。</w:t>
      </w:r>
    </w:p>
    <w:p>
      <w:pPr>
        <w:widowControl/>
        <w:spacing w:line="360" w:lineRule="auto"/>
        <w:jc w:val="center"/>
        <w:rPr>
          <w:color w:val="auto"/>
          <w:szCs w:val="28"/>
        </w:rPr>
      </w:pPr>
      <w:r>
        <w:rPr>
          <w:rFonts w:hint="eastAsia"/>
          <w:color w:val="auto"/>
          <w:szCs w:val="28"/>
        </w:rPr>
        <w:t>表</w:t>
      </w:r>
      <w:r>
        <w:rPr>
          <w:color w:val="auto"/>
          <w:szCs w:val="28"/>
        </w:rPr>
        <w:t xml:space="preserve">6.5.11 </w:t>
      </w:r>
      <w:r>
        <w:rPr>
          <w:rFonts w:hint="eastAsia"/>
          <w:color w:val="auto"/>
          <w:szCs w:val="28"/>
        </w:rPr>
        <w:t>钢厂</w:t>
      </w:r>
      <w:r>
        <w:rPr>
          <w:color w:val="auto"/>
          <w:szCs w:val="28"/>
        </w:rPr>
        <w:t>危险废物焚烧</w:t>
      </w:r>
      <w:r>
        <w:rPr>
          <w:rFonts w:hint="eastAsia"/>
          <w:color w:val="auto"/>
          <w:szCs w:val="28"/>
        </w:rPr>
        <w:t>设施</w:t>
      </w:r>
      <w:r>
        <w:rPr>
          <w:color w:val="auto"/>
          <w:szCs w:val="28"/>
        </w:rPr>
        <w:t>烟气污染物排放浓度限值</w:t>
      </w:r>
      <w:r>
        <w:rPr>
          <w:rFonts w:hint="eastAsia"/>
          <w:color w:val="auto"/>
          <w:szCs w:val="28"/>
        </w:rPr>
        <w:t>（mg/m</w:t>
      </w:r>
      <w:r>
        <w:rPr>
          <w:rFonts w:hint="eastAsia"/>
          <w:color w:val="auto"/>
          <w:szCs w:val="28"/>
          <w:vertAlign w:val="superscript"/>
        </w:rPr>
        <w:t>3</w:t>
      </w:r>
      <w:r>
        <w:rPr>
          <w:rFonts w:hint="eastAsia"/>
          <w:color w:val="auto"/>
          <w:szCs w:val="28"/>
        </w:rPr>
        <w:t>）</w:t>
      </w:r>
    </w:p>
    <w:tbl>
      <w:tblPr>
        <w:tblStyle w:val="22"/>
        <w:tblW w:w="845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4057"/>
        <w:gridCol w:w="1134"/>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序号</w:t>
            </w:r>
          </w:p>
        </w:tc>
        <w:tc>
          <w:tcPr>
            <w:tcW w:w="4057" w:type="dxa"/>
            <w:vAlign w:val="center"/>
          </w:tcPr>
          <w:p>
            <w:pPr>
              <w:widowControl/>
              <w:spacing w:line="360" w:lineRule="auto"/>
              <w:jc w:val="center"/>
              <w:rPr>
                <w:color w:val="auto"/>
                <w:szCs w:val="28"/>
              </w:rPr>
            </w:pPr>
            <w:r>
              <w:rPr>
                <w:rFonts w:hint="eastAsia"/>
                <w:color w:val="auto"/>
                <w:szCs w:val="28"/>
              </w:rPr>
              <w:t>污染物</w:t>
            </w:r>
            <w:r>
              <w:rPr>
                <w:color w:val="auto"/>
                <w:szCs w:val="28"/>
              </w:rPr>
              <w:t>项目</w:t>
            </w:r>
          </w:p>
        </w:tc>
        <w:tc>
          <w:tcPr>
            <w:tcW w:w="1134" w:type="dxa"/>
            <w:vAlign w:val="center"/>
          </w:tcPr>
          <w:p>
            <w:pPr>
              <w:widowControl/>
              <w:spacing w:line="360" w:lineRule="auto"/>
              <w:jc w:val="center"/>
              <w:rPr>
                <w:color w:val="auto"/>
                <w:szCs w:val="28"/>
              </w:rPr>
            </w:pPr>
            <w:r>
              <w:rPr>
                <w:rFonts w:hint="eastAsia"/>
                <w:color w:val="auto"/>
                <w:szCs w:val="28"/>
              </w:rPr>
              <w:t>限值</w:t>
            </w:r>
          </w:p>
        </w:tc>
        <w:tc>
          <w:tcPr>
            <w:tcW w:w="2410" w:type="dxa"/>
            <w:vAlign w:val="center"/>
          </w:tcPr>
          <w:p>
            <w:pPr>
              <w:widowControl/>
              <w:spacing w:line="360" w:lineRule="auto"/>
              <w:jc w:val="center"/>
              <w:rPr>
                <w:color w:val="auto"/>
                <w:szCs w:val="28"/>
              </w:rPr>
            </w:pPr>
            <w:r>
              <w:rPr>
                <w:rFonts w:hint="eastAsia"/>
                <w:color w:val="auto"/>
                <w:szCs w:val="28"/>
              </w:rPr>
              <w:t>取值</w:t>
            </w:r>
            <w:r>
              <w:rPr>
                <w:color w:val="auto"/>
                <w:szCs w:val="28"/>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1</w:t>
            </w:r>
          </w:p>
        </w:tc>
        <w:tc>
          <w:tcPr>
            <w:tcW w:w="4057" w:type="dxa"/>
            <w:vMerge w:val="restart"/>
            <w:vAlign w:val="center"/>
          </w:tcPr>
          <w:p>
            <w:pPr>
              <w:widowControl/>
              <w:spacing w:line="360" w:lineRule="auto"/>
              <w:rPr>
                <w:color w:val="auto"/>
                <w:szCs w:val="28"/>
              </w:rPr>
            </w:pPr>
            <w:r>
              <w:rPr>
                <w:rFonts w:hint="eastAsia"/>
                <w:color w:val="auto"/>
                <w:szCs w:val="28"/>
              </w:rPr>
              <w:t>颗粒物</w:t>
            </w:r>
          </w:p>
        </w:tc>
        <w:tc>
          <w:tcPr>
            <w:tcW w:w="1134" w:type="dxa"/>
            <w:vAlign w:val="center"/>
          </w:tcPr>
          <w:p>
            <w:pPr>
              <w:widowControl/>
              <w:spacing w:line="360" w:lineRule="auto"/>
              <w:jc w:val="center"/>
              <w:rPr>
                <w:color w:val="auto"/>
                <w:szCs w:val="28"/>
              </w:rPr>
            </w:pPr>
            <w:r>
              <w:rPr>
                <w:rFonts w:hint="eastAsia"/>
                <w:color w:val="auto"/>
                <w:szCs w:val="28"/>
              </w:rPr>
              <w:t>30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20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2</w:t>
            </w:r>
          </w:p>
        </w:tc>
        <w:tc>
          <w:tcPr>
            <w:tcW w:w="4057" w:type="dxa"/>
            <w:vMerge w:val="restart"/>
            <w:vAlign w:val="center"/>
          </w:tcPr>
          <w:p>
            <w:pPr>
              <w:widowControl/>
              <w:spacing w:line="360" w:lineRule="auto"/>
              <w:rPr>
                <w:color w:val="auto"/>
                <w:szCs w:val="28"/>
              </w:rPr>
            </w:pPr>
            <w:r>
              <w:rPr>
                <w:rFonts w:hint="eastAsia"/>
                <w:color w:val="auto"/>
                <w:szCs w:val="28"/>
              </w:rPr>
              <w:t>一氧化碳</w:t>
            </w:r>
            <w:r>
              <w:rPr>
                <w:color w:val="auto"/>
                <w:szCs w:val="28"/>
              </w:rPr>
              <w:t>（</w:t>
            </w:r>
            <w:r>
              <w:rPr>
                <w:rFonts w:hint="eastAsia"/>
                <w:color w:val="auto"/>
                <w:szCs w:val="28"/>
              </w:rPr>
              <w:t>CO</w:t>
            </w:r>
            <w:r>
              <w:rPr>
                <w:color w:val="auto"/>
                <w:szCs w:val="28"/>
              </w:rPr>
              <w:t>）</w:t>
            </w:r>
          </w:p>
        </w:tc>
        <w:tc>
          <w:tcPr>
            <w:tcW w:w="1134" w:type="dxa"/>
            <w:vAlign w:val="center"/>
          </w:tcPr>
          <w:p>
            <w:pPr>
              <w:widowControl/>
              <w:spacing w:line="360" w:lineRule="auto"/>
              <w:jc w:val="center"/>
              <w:rPr>
                <w:color w:val="auto"/>
                <w:szCs w:val="28"/>
              </w:rPr>
            </w:pPr>
            <w:r>
              <w:rPr>
                <w:rFonts w:hint="eastAsia"/>
                <w:color w:val="auto"/>
                <w:szCs w:val="28"/>
              </w:rPr>
              <w:t>100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80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3</w:t>
            </w:r>
          </w:p>
        </w:tc>
        <w:tc>
          <w:tcPr>
            <w:tcW w:w="4057" w:type="dxa"/>
            <w:vMerge w:val="restart"/>
            <w:vAlign w:val="center"/>
          </w:tcPr>
          <w:p>
            <w:pPr>
              <w:widowControl/>
              <w:spacing w:line="360" w:lineRule="auto"/>
              <w:rPr>
                <w:color w:val="auto"/>
                <w:szCs w:val="28"/>
              </w:rPr>
            </w:pPr>
            <w:r>
              <w:rPr>
                <w:rFonts w:hint="eastAsia"/>
                <w:color w:val="auto"/>
                <w:szCs w:val="28"/>
              </w:rPr>
              <w:t>氮氧化物</w:t>
            </w:r>
            <w:r>
              <w:rPr>
                <w:color w:val="auto"/>
                <w:szCs w:val="28"/>
              </w:rPr>
              <w:t>（</w:t>
            </w:r>
            <w:r>
              <w:rPr>
                <w:rFonts w:hint="eastAsia"/>
                <w:color w:val="auto"/>
                <w:szCs w:val="28"/>
              </w:rPr>
              <w:t>NO</w:t>
            </w:r>
            <w:r>
              <w:rPr>
                <w:color w:val="auto"/>
                <w:szCs w:val="28"/>
              </w:rPr>
              <w:t>x）</w:t>
            </w:r>
          </w:p>
        </w:tc>
        <w:tc>
          <w:tcPr>
            <w:tcW w:w="1134" w:type="dxa"/>
            <w:vAlign w:val="center"/>
          </w:tcPr>
          <w:p>
            <w:pPr>
              <w:widowControl/>
              <w:spacing w:line="360" w:lineRule="auto"/>
              <w:jc w:val="center"/>
              <w:rPr>
                <w:color w:val="auto"/>
                <w:szCs w:val="28"/>
              </w:rPr>
            </w:pPr>
            <w:r>
              <w:rPr>
                <w:rFonts w:hint="eastAsia"/>
                <w:color w:val="auto"/>
                <w:szCs w:val="28"/>
              </w:rPr>
              <w:t>300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250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4</w:t>
            </w:r>
          </w:p>
        </w:tc>
        <w:tc>
          <w:tcPr>
            <w:tcW w:w="4057" w:type="dxa"/>
            <w:vMerge w:val="restart"/>
            <w:vAlign w:val="center"/>
          </w:tcPr>
          <w:p>
            <w:pPr>
              <w:widowControl/>
              <w:spacing w:line="360" w:lineRule="auto"/>
              <w:rPr>
                <w:color w:val="auto"/>
                <w:szCs w:val="28"/>
              </w:rPr>
            </w:pPr>
            <w:r>
              <w:rPr>
                <w:rFonts w:hint="eastAsia"/>
                <w:color w:val="auto"/>
                <w:szCs w:val="28"/>
              </w:rPr>
              <w:t>二氧化硫（SO</w:t>
            </w:r>
            <w:r>
              <w:rPr>
                <w:rFonts w:hint="eastAsia"/>
                <w:color w:val="auto"/>
                <w:szCs w:val="28"/>
                <w:vertAlign w:val="subscript"/>
              </w:rPr>
              <w:t>2</w:t>
            </w:r>
            <w:r>
              <w:rPr>
                <w:rFonts w:hint="eastAsia"/>
                <w:color w:val="auto"/>
                <w:szCs w:val="28"/>
              </w:rPr>
              <w:t>）</w:t>
            </w:r>
          </w:p>
        </w:tc>
        <w:tc>
          <w:tcPr>
            <w:tcW w:w="1134" w:type="dxa"/>
            <w:vAlign w:val="center"/>
          </w:tcPr>
          <w:p>
            <w:pPr>
              <w:widowControl/>
              <w:spacing w:line="360" w:lineRule="auto"/>
              <w:jc w:val="center"/>
              <w:rPr>
                <w:color w:val="auto"/>
                <w:szCs w:val="28"/>
              </w:rPr>
            </w:pPr>
            <w:r>
              <w:rPr>
                <w:rFonts w:hint="eastAsia"/>
                <w:color w:val="auto"/>
                <w:szCs w:val="28"/>
              </w:rPr>
              <w:t>100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80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5</w:t>
            </w:r>
          </w:p>
        </w:tc>
        <w:tc>
          <w:tcPr>
            <w:tcW w:w="4057" w:type="dxa"/>
            <w:vMerge w:val="restart"/>
            <w:vAlign w:val="center"/>
          </w:tcPr>
          <w:p>
            <w:pPr>
              <w:widowControl/>
              <w:spacing w:line="360" w:lineRule="auto"/>
              <w:rPr>
                <w:color w:val="auto"/>
                <w:szCs w:val="28"/>
              </w:rPr>
            </w:pPr>
            <w:r>
              <w:rPr>
                <w:rFonts w:hint="eastAsia"/>
                <w:color w:val="auto"/>
                <w:szCs w:val="28"/>
              </w:rPr>
              <w:t>氟化氢（HF）</w:t>
            </w:r>
          </w:p>
        </w:tc>
        <w:tc>
          <w:tcPr>
            <w:tcW w:w="1134" w:type="dxa"/>
            <w:vAlign w:val="center"/>
          </w:tcPr>
          <w:p>
            <w:pPr>
              <w:widowControl/>
              <w:spacing w:line="360" w:lineRule="auto"/>
              <w:jc w:val="center"/>
              <w:rPr>
                <w:color w:val="auto"/>
                <w:szCs w:val="28"/>
              </w:rPr>
            </w:pPr>
            <w:r>
              <w:rPr>
                <w:rFonts w:hint="eastAsia"/>
                <w:color w:val="auto"/>
                <w:szCs w:val="28"/>
              </w:rPr>
              <w:t>4.0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2.0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restart"/>
            <w:vAlign w:val="center"/>
          </w:tcPr>
          <w:p>
            <w:pPr>
              <w:widowControl/>
              <w:spacing w:line="360" w:lineRule="auto"/>
              <w:jc w:val="center"/>
              <w:rPr>
                <w:color w:val="auto"/>
                <w:szCs w:val="28"/>
              </w:rPr>
            </w:pPr>
            <w:r>
              <w:rPr>
                <w:rFonts w:hint="eastAsia"/>
                <w:color w:val="auto"/>
                <w:szCs w:val="28"/>
              </w:rPr>
              <w:t>6</w:t>
            </w:r>
          </w:p>
        </w:tc>
        <w:tc>
          <w:tcPr>
            <w:tcW w:w="4057" w:type="dxa"/>
            <w:vMerge w:val="restart"/>
            <w:vAlign w:val="center"/>
          </w:tcPr>
          <w:p>
            <w:pPr>
              <w:widowControl/>
              <w:spacing w:line="360" w:lineRule="auto"/>
              <w:rPr>
                <w:color w:val="auto"/>
                <w:szCs w:val="28"/>
              </w:rPr>
            </w:pPr>
            <w:r>
              <w:rPr>
                <w:rFonts w:hint="eastAsia"/>
                <w:color w:val="auto"/>
                <w:szCs w:val="28"/>
              </w:rPr>
              <w:t>氯化氢</w:t>
            </w:r>
            <w:r>
              <w:rPr>
                <w:color w:val="auto"/>
                <w:szCs w:val="28"/>
              </w:rPr>
              <w:t>（</w:t>
            </w:r>
            <w:r>
              <w:rPr>
                <w:rFonts w:hint="eastAsia"/>
                <w:color w:val="auto"/>
                <w:szCs w:val="28"/>
              </w:rPr>
              <w:t>HC</w:t>
            </w:r>
            <w:r>
              <w:rPr>
                <w:color w:val="auto"/>
                <w:szCs w:val="28"/>
              </w:rPr>
              <w:t>l）</w:t>
            </w:r>
          </w:p>
        </w:tc>
        <w:tc>
          <w:tcPr>
            <w:tcW w:w="1134" w:type="dxa"/>
            <w:vAlign w:val="center"/>
          </w:tcPr>
          <w:p>
            <w:pPr>
              <w:widowControl/>
              <w:spacing w:line="360" w:lineRule="auto"/>
              <w:jc w:val="center"/>
              <w:rPr>
                <w:color w:val="auto"/>
                <w:szCs w:val="28"/>
              </w:rPr>
            </w:pPr>
            <w:r>
              <w:rPr>
                <w:rFonts w:hint="eastAsia"/>
                <w:color w:val="auto"/>
                <w:szCs w:val="28"/>
              </w:rPr>
              <w:t>60</w:t>
            </w:r>
          </w:p>
        </w:tc>
        <w:tc>
          <w:tcPr>
            <w:tcW w:w="2410" w:type="dxa"/>
            <w:vAlign w:val="center"/>
          </w:tcPr>
          <w:p>
            <w:pPr>
              <w:widowControl/>
              <w:spacing w:line="360" w:lineRule="auto"/>
              <w:jc w:val="center"/>
              <w:rPr>
                <w:color w:val="auto"/>
                <w:szCs w:val="28"/>
              </w:rPr>
            </w:pPr>
            <w:r>
              <w:rPr>
                <w:rFonts w:hint="eastAsia"/>
                <w:color w:val="auto"/>
                <w:szCs w:val="28"/>
              </w:rPr>
              <w:t>1</w:t>
            </w:r>
            <w:r>
              <w:rPr>
                <w:color w:val="auto"/>
                <w:szCs w:val="28"/>
              </w:rPr>
              <w:t xml:space="preserve"> </w:t>
            </w:r>
            <w:r>
              <w:rPr>
                <w:rFonts w:hint="eastAsia"/>
                <w:color w:val="auto"/>
                <w:szCs w:val="28"/>
              </w:rPr>
              <w:t>h</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Merge w:val="continue"/>
            <w:vAlign w:val="center"/>
          </w:tcPr>
          <w:p>
            <w:pPr>
              <w:widowControl/>
              <w:spacing w:line="360" w:lineRule="auto"/>
              <w:jc w:val="center"/>
              <w:rPr>
                <w:color w:val="auto"/>
                <w:szCs w:val="28"/>
              </w:rPr>
            </w:pPr>
          </w:p>
        </w:tc>
        <w:tc>
          <w:tcPr>
            <w:tcW w:w="4057" w:type="dxa"/>
            <w:vMerge w:val="continue"/>
            <w:vAlign w:val="center"/>
          </w:tcPr>
          <w:p>
            <w:pPr>
              <w:widowControl/>
              <w:spacing w:line="360" w:lineRule="auto"/>
              <w:rPr>
                <w:color w:val="auto"/>
                <w:szCs w:val="28"/>
              </w:rPr>
            </w:pPr>
          </w:p>
        </w:tc>
        <w:tc>
          <w:tcPr>
            <w:tcW w:w="1134" w:type="dxa"/>
            <w:vAlign w:val="center"/>
          </w:tcPr>
          <w:p>
            <w:pPr>
              <w:widowControl/>
              <w:spacing w:line="360" w:lineRule="auto"/>
              <w:jc w:val="center"/>
              <w:rPr>
                <w:color w:val="auto"/>
                <w:szCs w:val="28"/>
              </w:rPr>
            </w:pPr>
            <w:r>
              <w:rPr>
                <w:rFonts w:hint="eastAsia"/>
                <w:color w:val="auto"/>
                <w:szCs w:val="28"/>
              </w:rPr>
              <w:t>50</w:t>
            </w:r>
          </w:p>
        </w:tc>
        <w:tc>
          <w:tcPr>
            <w:tcW w:w="2410" w:type="dxa"/>
            <w:vAlign w:val="center"/>
          </w:tcPr>
          <w:p>
            <w:pPr>
              <w:widowControl/>
              <w:spacing w:line="360" w:lineRule="auto"/>
              <w:jc w:val="center"/>
              <w:rPr>
                <w:color w:val="auto"/>
                <w:szCs w:val="28"/>
              </w:rPr>
            </w:pPr>
            <w:r>
              <w:rPr>
                <w:color w:val="auto"/>
                <w:szCs w:val="28"/>
              </w:rPr>
              <w:t xml:space="preserve">24 </w:t>
            </w:r>
            <w:r>
              <w:rPr>
                <w:rFonts w:hint="eastAsia"/>
                <w:color w:val="auto"/>
                <w:szCs w:val="28"/>
              </w:rPr>
              <w:t>h均值或日均值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7</w:t>
            </w:r>
          </w:p>
        </w:tc>
        <w:tc>
          <w:tcPr>
            <w:tcW w:w="4057" w:type="dxa"/>
            <w:vAlign w:val="center"/>
          </w:tcPr>
          <w:p>
            <w:pPr>
              <w:widowControl/>
              <w:spacing w:line="360" w:lineRule="auto"/>
              <w:rPr>
                <w:color w:val="auto"/>
                <w:szCs w:val="28"/>
              </w:rPr>
            </w:pPr>
            <w:r>
              <w:rPr>
                <w:rFonts w:hint="eastAsia"/>
                <w:color w:val="auto"/>
                <w:szCs w:val="28"/>
              </w:rPr>
              <w:t>汞</w:t>
            </w:r>
            <w:r>
              <w:rPr>
                <w:color w:val="auto"/>
                <w:szCs w:val="28"/>
              </w:rPr>
              <w:t>及其化合物（</w:t>
            </w:r>
            <w:r>
              <w:rPr>
                <w:rFonts w:hint="eastAsia"/>
                <w:color w:val="auto"/>
                <w:szCs w:val="28"/>
              </w:rPr>
              <w:t>以H</w:t>
            </w:r>
            <w:r>
              <w:rPr>
                <w:color w:val="auto"/>
                <w:szCs w:val="28"/>
              </w:rPr>
              <w:t>g计）</w:t>
            </w:r>
          </w:p>
        </w:tc>
        <w:tc>
          <w:tcPr>
            <w:tcW w:w="1134" w:type="dxa"/>
            <w:vAlign w:val="center"/>
          </w:tcPr>
          <w:p>
            <w:pPr>
              <w:widowControl/>
              <w:spacing w:line="360" w:lineRule="auto"/>
              <w:jc w:val="center"/>
              <w:rPr>
                <w:color w:val="auto"/>
                <w:szCs w:val="28"/>
              </w:rPr>
            </w:pPr>
            <w:r>
              <w:rPr>
                <w:rFonts w:hint="eastAsia"/>
                <w:color w:val="auto"/>
                <w:szCs w:val="28"/>
              </w:rPr>
              <w:t>0.05</w:t>
            </w:r>
          </w:p>
        </w:tc>
        <w:tc>
          <w:tcPr>
            <w:tcW w:w="2410" w:type="dxa"/>
            <w:vAlign w:val="center"/>
          </w:tcPr>
          <w:p>
            <w:pPr>
              <w:widowControl/>
              <w:spacing w:line="360" w:lineRule="auto"/>
              <w:jc w:val="center"/>
              <w:rPr>
                <w:color w:val="auto"/>
                <w:szCs w:val="28"/>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8</w:t>
            </w:r>
          </w:p>
        </w:tc>
        <w:tc>
          <w:tcPr>
            <w:tcW w:w="4057" w:type="dxa"/>
            <w:vAlign w:val="center"/>
          </w:tcPr>
          <w:p>
            <w:pPr>
              <w:rPr>
                <w:color w:val="auto"/>
              </w:rPr>
            </w:pPr>
            <w:r>
              <w:rPr>
                <w:rFonts w:hint="eastAsia"/>
                <w:color w:val="auto"/>
                <w:szCs w:val="28"/>
              </w:rPr>
              <w:t>铊</w:t>
            </w:r>
            <w:r>
              <w:rPr>
                <w:color w:val="auto"/>
                <w:szCs w:val="28"/>
              </w:rPr>
              <w:t>及其化合物（</w:t>
            </w:r>
            <w:r>
              <w:rPr>
                <w:rFonts w:hint="eastAsia"/>
                <w:color w:val="auto"/>
                <w:szCs w:val="28"/>
              </w:rPr>
              <w:t>以</w:t>
            </w:r>
            <w:r>
              <w:rPr>
                <w:color w:val="auto"/>
                <w:szCs w:val="28"/>
              </w:rPr>
              <w:t>Tl计）</w:t>
            </w:r>
          </w:p>
        </w:tc>
        <w:tc>
          <w:tcPr>
            <w:tcW w:w="1134" w:type="dxa"/>
            <w:vAlign w:val="center"/>
          </w:tcPr>
          <w:p>
            <w:pPr>
              <w:widowControl/>
              <w:spacing w:line="360" w:lineRule="auto"/>
              <w:jc w:val="center"/>
              <w:rPr>
                <w:color w:val="auto"/>
                <w:szCs w:val="28"/>
              </w:rPr>
            </w:pPr>
            <w:r>
              <w:rPr>
                <w:rFonts w:hint="eastAsia"/>
                <w:color w:val="auto"/>
                <w:szCs w:val="28"/>
              </w:rPr>
              <w:t>0.05</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9</w:t>
            </w:r>
          </w:p>
        </w:tc>
        <w:tc>
          <w:tcPr>
            <w:tcW w:w="4057" w:type="dxa"/>
            <w:vAlign w:val="center"/>
          </w:tcPr>
          <w:p>
            <w:pPr>
              <w:rPr>
                <w:color w:val="auto"/>
              </w:rPr>
            </w:pPr>
            <w:r>
              <w:rPr>
                <w:rFonts w:hint="eastAsia"/>
                <w:color w:val="auto"/>
                <w:szCs w:val="28"/>
              </w:rPr>
              <w:t>镉</w:t>
            </w:r>
            <w:r>
              <w:rPr>
                <w:color w:val="auto"/>
                <w:szCs w:val="28"/>
              </w:rPr>
              <w:t>及其化合物（</w:t>
            </w:r>
            <w:r>
              <w:rPr>
                <w:rFonts w:hint="eastAsia"/>
                <w:color w:val="auto"/>
                <w:szCs w:val="28"/>
              </w:rPr>
              <w:t>以Cd</w:t>
            </w:r>
            <w:r>
              <w:rPr>
                <w:color w:val="auto"/>
                <w:szCs w:val="28"/>
              </w:rPr>
              <w:t>计）</w:t>
            </w:r>
          </w:p>
        </w:tc>
        <w:tc>
          <w:tcPr>
            <w:tcW w:w="1134" w:type="dxa"/>
            <w:vAlign w:val="center"/>
          </w:tcPr>
          <w:p>
            <w:pPr>
              <w:widowControl/>
              <w:spacing w:line="360" w:lineRule="auto"/>
              <w:jc w:val="center"/>
              <w:rPr>
                <w:color w:val="auto"/>
                <w:szCs w:val="28"/>
              </w:rPr>
            </w:pPr>
            <w:r>
              <w:rPr>
                <w:rFonts w:hint="eastAsia"/>
                <w:color w:val="auto"/>
                <w:szCs w:val="28"/>
              </w:rPr>
              <w:t>0.05</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10</w:t>
            </w:r>
          </w:p>
        </w:tc>
        <w:tc>
          <w:tcPr>
            <w:tcW w:w="4057" w:type="dxa"/>
            <w:vAlign w:val="center"/>
          </w:tcPr>
          <w:p>
            <w:pPr>
              <w:rPr>
                <w:color w:val="auto"/>
              </w:rPr>
            </w:pPr>
            <w:r>
              <w:rPr>
                <w:rFonts w:hint="eastAsia"/>
                <w:color w:val="auto"/>
                <w:szCs w:val="28"/>
              </w:rPr>
              <w:t>铅</w:t>
            </w:r>
            <w:r>
              <w:rPr>
                <w:color w:val="auto"/>
                <w:szCs w:val="28"/>
              </w:rPr>
              <w:t>及其化合物（</w:t>
            </w:r>
            <w:r>
              <w:rPr>
                <w:rFonts w:hint="eastAsia"/>
                <w:color w:val="auto"/>
                <w:szCs w:val="28"/>
              </w:rPr>
              <w:t>以P</w:t>
            </w:r>
            <w:r>
              <w:rPr>
                <w:color w:val="auto"/>
                <w:szCs w:val="28"/>
              </w:rPr>
              <w:t>b计）</w:t>
            </w:r>
          </w:p>
        </w:tc>
        <w:tc>
          <w:tcPr>
            <w:tcW w:w="1134" w:type="dxa"/>
            <w:vAlign w:val="center"/>
          </w:tcPr>
          <w:p>
            <w:pPr>
              <w:widowControl/>
              <w:spacing w:line="360" w:lineRule="auto"/>
              <w:jc w:val="center"/>
              <w:rPr>
                <w:color w:val="auto"/>
                <w:szCs w:val="28"/>
              </w:rPr>
            </w:pPr>
            <w:r>
              <w:rPr>
                <w:rFonts w:hint="eastAsia"/>
                <w:color w:val="auto"/>
                <w:szCs w:val="28"/>
              </w:rPr>
              <w:t>0.5</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11</w:t>
            </w:r>
          </w:p>
        </w:tc>
        <w:tc>
          <w:tcPr>
            <w:tcW w:w="4057" w:type="dxa"/>
            <w:vAlign w:val="center"/>
          </w:tcPr>
          <w:p>
            <w:pPr>
              <w:rPr>
                <w:color w:val="auto"/>
              </w:rPr>
            </w:pPr>
            <w:r>
              <w:rPr>
                <w:rFonts w:hint="eastAsia"/>
                <w:color w:val="auto"/>
                <w:szCs w:val="28"/>
              </w:rPr>
              <w:t>砷</w:t>
            </w:r>
            <w:r>
              <w:rPr>
                <w:color w:val="auto"/>
                <w:szCs w:val="28"/>
              </w:rPr>
              <w:t>及其化合物（</w:t>
            </w:r>
            <w:r>
              <w:rPr>
                <w:rFonts w:hint="eastAsia"/>
                <w:color w:val="auto"/>
                <w:szCs w:val="28"/>
              </w:rPr>
              <w:t>以As</w:t>
            </w:r>
            <w:r>
              <w:rPr>
                <w:color w:val="auto"/>
                <w:szCs w:val="28"/>
              </w:rPr>
              <w:t>计）</w:t>
            </w:r>
          </w:p>
        </w:tc>
        <w:tc>
          <w:tcPr>
            <w:tcW w:w="1134" w:type="dxa"/>
            <w:vAlign w:val="center"/>
          </w:tcPr>
          <w:p>
            <w:pPr>
              <w:widowControl/>
              <w:spacing w:line="360" w:lineRule="auto"/>
              <w:jc w:val="center"/>
              <w:rPr>
                <w:color w:val="auto"/>
                <w:szCs w:val="28"/>
              </w:rPr>
            </w:pPr>
            <w:r>
              <w:rPr>
                <w:rFonts w:hint="eastAsia"/>
                <w:color w:val="auto"/>
                <w:szCs w:val="28"/>
              </w:rPr>
              <w:t>0.5</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12</w:t>
            </w:r>
          </w:p>
        </w:tc>
        <w:tc>
          <w:tcPr>
            <w:tcW w:w="4057" w:type="dxa"/>
            <w:vAlign w:val="center"/>
          </w:tcPr>
          <w:p>
            <w:pPr>
              <w:rPr>
                <w:color w:val="auto"/>
              </w:rPr>
            </w:pPr>
            <w:r>
              <w:rPr>
                <w:rFonts w:hint="eastAsia"/>
                <w:color w:val="auto"/>
                <w:szCs w:val="28"/>
              </w:rPr>
              <w:t>铬</w:t>
            </w:r>
            <w:r>
              <w:rPr>
                <w:color w:val="auto"/>
                <w:szCs w:val="28"/>
              </w:rPr>
              <w:t>及其化合物（</w:t>
            </w:r>
            <w:r>
              <w:rPr>
                <w:rFonts w:hint="eastAsia"/>
                <w:color w:val="auto"/>
                <w:szCs w:val="28"/>
              </w:rPr>
              <w:t>以C</w:t>
            </w:r>
            <w:r>
              <w:rPr>
                <w:color w:val="auto"/>
                <w:szCs w:val="28"/>
              </w:rPr>
              <w:t>r计）</w:t>
            </w:r>
          </w:p>
        </w:tc>
        <w:tc>
          <w:tcPr>
            <w:tcW w:w="1134" w:type="dxa"/>
            <w:vAlign w:val="center"/>
          </w:tcPr>
          <w:p>
            <w:pPr>
              <w:widowControl/>
              <w:spacing w:line="360" w:lineRule="auto"/>
              <w:jc w:val="center"/>
              <w:rPr>
                <w:color w:val="auto"/>
                <w:szCs w:val="28"/>
              </w:rPr>
            </w:pPr>
            <w:r>
              <w:rPr>
                <w:rFonts w:hint="eastAsia"/>
                <w:color w:val="auto"/>
                <w:szCs w:val="28"/>
              </w:rPr>
              <w:t>0.5</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13</w:t>
            </w:r>
          </w:p>
        </w:tc>
        <w:tc>
          <w:tcPr>
            <w:tcW w:w="4057" w:type="dxa"/>
            <w:vAlign w:val="center"/>
          </w:tcPr>
          <w:p>
            <w:pPr>
              <w:widowControl/>
              <w:spacing w:line="360" w:lineRule="auto"/>
              <w:rPr>
                <w:color w:val="auto"/>
                <w:szCs w:val="28"/>
              </w:rPr>
            </w:pPr>
            <w:r>
              <w:rPr>
                <w:rFonts w:hint="eastAsia"/>
                <w:color w:val="auto"/>
                <w:szCs w:val="28"/>
              </w:rPr>
              <w:t>锡</w:t>
            </w:r>
            <w:r>
              <w:rPr>
                <w:color w:val="auto"/>
                <w:szCs w:val="28"/>
              </w:rPr>
              <w:t>、锑、铜</w:t>
            </w:r>
            <w:r>
              <w:rPr>
                <w:rFonts w:hint="eastAsia"/>
                <w:color w:val="auto"/>
                <w:szCs w:val="28"/>
              </w:rPr>
              <w:t>、锰</w:t>
            </w:r>
            <w:r>
              <w:rPr>
                <w:color w:val="auto"/>
                <w:szCs w:val="28"/>
              </w:rPr>
              <w:t>、镍、钴及其化合物（</w:t>
            </w:r>
            <w:r>
              <w:rPr>
                <w:rFonts w:hint="eastAsia"/>
                <w:color w:val="auto"/>
                <w:szCs w:val="28"/>
              </w:rPr>
              <w:t>以S</w:t>
            </w:r>
            <w:r>
              <w:rPr>
                <w:color w:val="auto"/>
                <w:szCs w:val="28"/>
              </w:rPr>
              <w:t>n+Sb+Cu+Mn+Ni+Co</w:t>
            </w:r>
            <w:r>
              <w:rPr>
                <w:rFonts w:hint="eastAsia"/>
                <w:color w:val="auto"/>
                <w:szCs w:val="28"/>
              </w:rPr>
              <w:t>计</w:t>
            </w:r>
            <w:r>
              <w:rPr>
                <w:color w:val="auto"/>
                <w:szCs w:val="28"/>
              </w:rPr>
              <w:t>）</w:t>
            </w:r>
          </w:p>
        </w:tc>
        <w:tc>
          <w:tcPr>
            <w:tcW w:w="1134" w:type="dxa"/>
            <w:vAlign w:val="center"/>
          </w:tcPr>
          <w:p>
            <w:pPr>
              <w:widowControl/>
              <w:spacing w:line="360" w:lineRule="auto"/>
              <w:jc w:val="center"/>
              <w:rPr>
                <w:color w:val="auto"/>
                <w:szCs w:val="28"/>
              </w:rPr>
            </w:pPr>
            <w:r>
              <w:rPr>
                <w:rFonts w:hint="eastAsia"/>
                <w:color w:val="auto"/>
                <w:szCs w:val="28"/>
              </w:rPr>
              <w:t>2.0</w:t>
            </w:r>
          </w:p>
        </w:tc>
        <w:tc>
          <w:tcPr>
            <w:tcW w:w="2410" w:type="dxa"/>
            <w:vAlign w:val="center"/>
          </w:tcPr>
          <w:p>
            <w:pPr>
              <w:jc w:val="center"/>
              <w:rPr>
                <w:color w:val="auto"/>
              </w:rPr>
            </w:pPr>
            <w:r>
              <w:rPr>
                <w:rFonts w:hint="eastAsia"/>
                <w:color w:val="auto"/>
                <w:szCs w:val="28"/>
              </w:rPr>
              <w:t>测定</w:t>
            </w:r>
            <w:r>
              <w:rPr>
                <w:color w:val="auto"/>
                <w:szCs w:val="28"/>
              </w:rPr>
              <w:t>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51" w:type="dxa"/>
            <w:vAlign w:val="center"/>
          </w:tcPr>
          <w:p>
            <w:pPr>
              <w:widowControl/>
              <w:spacing w:line="360" w:lineRule="auto"/>
              <w:jc w:val="center"/>
              <w:rPr>
                <w:color w:val="auto"/>
                <w:szCs w:val="28"/>
              </w:rPr>
            </w:pPr>
            <w:r>
              <w:rPr>
                <w:rFonts w:hint="eastAsia"/>
                <w:color w:val="auto"/>
                <w:szCs w:val="28"/>
              </w:rPr>
              <w:t>14</w:t>
            </w:r>
          </w:p>
        </w:tc>
        <w:tc>
          <w:tcPr>
            <w:tcW w:w="4057" w:type="dxa"/>
            <w:vAlign w:val="center"/>
          </w:tcPr>
          <w:p>
            <w:pPr>
              <w:widowControl/>
              <w:spacing w:line="360" w:lineRule="auto"/>
              <w:rPr>
                <w:color w:val="auto"/>
                <w:szCs w:val="28"/>
              </w:rPr>
            </w:pPr>
            <w:r>
              <w:rPr>
                <w:rFonts w:hint="eastAsia"/>
                <w:color w:val="auto"/>
                <w:szCs w:val="28"/>
              </w:rPr>
              <w:t>二噁英</w:t>
            </w:r>
            <w:r>
              <w:rPr>
                <w:color w:val="auto"/>
                <w:szCs w:val="28"/>
              </w:rPr>
              <w:t>类（</w:t>
            </w:r>
            <w:r>
              <w:rPr>
                <w:rFonts w:hint="eastAsia"/>
                <w:color w:val="auto"/>
                <w:szCs w:val="28"/>
              </w:rPr>
              <w:t>ngTEQ/Nm</w:t>
            </w:r>
            <w:r>
              <w:rPr>
                <w:rFonts w:hint="eastAsia"/>
                <w:color w:val="auto"/>
                <w:szCs w:val="28"/>
                <w:vertAlign w:val="superscript"/>
              </w:rPr>
              <w:t>3</w:t>
            </w:r>
            <w:r>
              <w:rPr>
                <w:color w:val="auto"/>
                <w:szCs w:val="28"/>
              </w:rPr>
              <w:t>）</w:t>
            </w:r>
          </w:p>
        </w:tc>
        <w:tc>
          <w:tcPr>
            <w:tcW w:w="1134" w:type="dxa"/>
            <w:vAlign w:val="center"/>
          </w:tcPr>
          <w:p>
            <w:pPr>
              <w:widowControl/>
              <w:spacing w:line="360" w:lineRule="auto"/>
              <w:jc w:val="center"/>
              <w:rPr>
                <w:color w:val="auto"/>
                <w:szCs w:val="28"/>
              </w:rPr>
            </w:pPr>
            <w:r>
              <w:rPr>
                <w:rFonts w:hint="eastAsia"/>
                <w:color w:val="auto"/>
                <w:szCs w:val="28"/>
              </w:rPr>
              <w:t>0.5</w:t>
            </w:r>
          </w:p>
        </w:tc>
        <w:tc>
          <w:tcPr>
            <w:tcW w:w="2410" w:type="dxa"/>
            <w:vAlign w:val="center"/>
          </w:tcPr>
          <w:p>
            <w:pPr>
              <w:jc w:val="center"/>
              <w:rPr>
                <w:color w:val="auto"/>
              </w:rPr>
            </w:pPr>
            <w:r>
              <w:rPr>
                <w:rFonts w:hint="eastAsia"/>
                <w:color w:val="auto"/>
                <w:szCs w:val="28"/>
              </w:rPr>
              <w:t>测定</w:t>
            </w:r>
            <w:r>
              <w:rPr>
                <w:color w:val="auto"/>
                <w:szCs w:val="28"/>
              </w:rPr>
              <w:t>均值</w:t>
            </w:r>
          </w:p>
        </w:tc>
      </w:tr>
    </w:tbl>
    <w:p>
      <w:pPr>
        <w:widowControl/>
        <w:spacing w:line="360" w:lineRule="auto"/>
        <w:rPr>
          <w:color w:val="auto"/>
          <w:sz w:val="18"/>
          <w:szCs w:val="18"/>
        </w:rPr>
      </w:pPr>
      <w:r>
        <w:rPr>
          <w:rFonts w:hint="eastAsia"/>
          <w:color w:val="auto"/>
          <w:sz w:val="18"/>
          <w:szCs w:val="18"/>
        </w:rPr>
        <w:t>注</w:t>
      </w:r>
      <w:r>
        <w:rPr>
          <w:color w:val="auto"/>
          <w:sz w:val="18"/>
          <w:szCs w:val="18"/>
        </w:rPr>
        <w:t>：表中污染物限值为</w:t>
      </w:r>
      <w:r>
        <w:rPr>
          <w:rFonts w:hint="eastAsia"/>
          <w:color w:val="auto"/>
          <w:sz w:val="18"/>
          <w:szCs w:val="18"/>
        </w:rPr>
        <w:t>基准氧</w:t>
      </w:r>
      <w:r>
        <w:rPr>
          <w:color w:val="auto"/>
          <w:sz w:val="18"/>
          <w:szCs w:val="18"/>
        </w:rPr>
        <w:t>含量排放浓度</w:t>
      </w:r>
      <w:r>
        <w:rPr>
          <w:rFonts w:hint="eastAsia"/>
          <w:color w:val="auto"/>
          <w:sz w:val="18"/>
          <w:szCs w:val="18"/>
        </w:rPr>
        <w:t>。</w:t>
      </w:r>
    </w:p>
    <w:p>
      <w:pPr>
        <w:widowControl/>
        <w:spacing w:line="360" w:lineRule="auto"/>
        <w:rPr>
          <w:color w:val="auto"/>
          <w:szCs w:val="28"/>
        </w:rPr>
      </w:pPr>
      <w:r>
        <w:rPr>
          <w:rFonts w:hint="eastAsia"/>
          <w:color w:val="auto"/>
          <w:szCs w:val="28"/>
        </w:rPr>
        <w:t>6.5.1</w:t>
      </w:r>
      <w:r>
        <w:rPr>
          <w:color w:val="auto"/>
          <w:szCs w:val="28"/>
        </w:rPr>
        <w:t>2</w:t>
      </w:r>
      <w:r>
        <w:rPr>
          <w:rFonts w:hint="eastAsia"/>
          <w:color w:val="auto"/>
          <w:szCs w:val="28"/>
        </w:rPr>
        <w:t>焚烧炉</w:t>
      </w:r>
      <w:r>
        <w:rPr>
          <w:color w:val="auto"/>
          <w:szCs w:val="28"/>
        </w:rPr>
        <w:t>烟囱高度</w:t>
      </w:r>
      <w:r>
        <w:rPr>
          <w:color w:val="auto"/>
          <w:szCs w:val="28"/>
        </w:rPr>
        <w:t>应</w:t>
      </w:r>
      <w:r>
        <w:rPr>
          <w:rFonts w:hint="eastAsia"/>
          <w:color w:val="auto"/>
          <w:szCs w:val="28"/>
        </w:rPr>
        <w:t>符合</w:t>
      </w:r>
      <w:r>
        <w:rPr>
          <w:color w:val="auto"/>
          <w:szCs w:val="28"/>
        </w:rPr>
        <w:t>表6.5.12</w:t>
      </w:r>
      <w:r>
        <w:rPr>
          <w:rFonts w:hint="eastAsia"/>
          <w:color w:val="auto"/>
          <w:szCs w:val="28"/>
        </w:rPr>
        <w:t>的规定，且不应小于</w:t>
      </w:r>
      <w:r>
        <w:rPr>
          <w:color w:val="auto"/>
          <w:szCs w:val="28"/>
        </w:rPr>
        <w:t>烟囱</w:t>
      </w:r>
      <w:r>
        <w:rPr>
          <w:rFonts w:hint="eastAsia"/>
          <w:color w:val="auto"/>
          <w:szCs w:val="28"/>
        </w:rPr>
        <w:t>周围200m</w:t>
      </w:r>
      <w:r>
        <w:rPr>
          <w:color w:val="auto"/>
          <w:szCs w:val="28"/>
        </w:rPr>
        <w:t>半径</w:t>
      </w:r>
      <w:r>
        <w:rPr>
          <w:rFonts w:hint="eastAsia"/>
          <w:color w:val="auto"/>
          <w:szCs w:val="28"/>
        </w:rPr>
        <w:t>范围</w:t>
      </w:r>
      <w:r>
        <w:rPr>
          <w:color w:val="auto"/>
          <w:szCs w:val="28"/>
        </w:rPr>
        <w:t>内</w:t>
      </w:r>
      <w:r>
        <w:rPr>
          <w:rFonts w:hint="eastAsia"/>
          <w:color w:val="auto"/>
          <w:szCs w:val="28"/>
        </w:rPr>
        <w:t>最高建筑物高度以上5</w:t>
      </w:r>
      <w:r>
        <w:rPr>
          <w:color w:val="auto"/>
          <w:szCs w:val="28"/>
        </w:rPr>
        <w:t>m</w:t>
      </w:r>
      <w:r>
        <w:rPr>
          <w:rFonts w:hint="eastAsia"/>
          <w:color w:val="auto"/>
          <w:szCs w:val="28"/>
        </w:rPr>
        <w:t>。</w:t>
      </w:r>
    </w:p>
    <w:p>
      <w:pPr>
        <w:widowControl/>
        <w:spacing w:line="360" w:lineRule="auto"/>
        <w:ind w:firstLine="2940" w:firstLineChars="1400"/>
        <w:rPr>
          <w:color w:val="auto"/>
          <w:szCs w:val="28"/>
        </w:rPr>
      </w:pPr>
      <w:r>
        <w:rPr>
          <w:rFonts w:hint="eastAsia"/>
          <w:color w:val="auto"/>
          <w:szCs w:val="28"/>
        </w:rPr>
        <w:t>表</w:t>
      </w:r>
      <w:r>
        <w:rPr>
          <w:color w:val="auto"/>
          <w:szCs w:val="28"/>
        </w:rPr>
        <w:t>6.5.12</w:t>
      </w:r>
      <w:r>
        <w:rPr>
          <w:rFonts w:hint="eastAsia"/>
          <w:color w:val="auto"/>
          <w:szCs w:val="28"/>
        </w:rPr>
        <w:t xml:space="preserve"> 焚烧</w:t>
      </w:r>
      <w:r>
        <w:rPr>
          <w:color w:val="auto"/>
          <w:szCs w:val="28"/>
        </w:rPr>
        <w:t>炉</w:t>
      </w:r>
      <w:r>
        <w:rPr>
          <w:rFonts w:hint="eastAsia"/>
          <w:color w:val="auto"/>
          <w:szCs w:val="28"/>
        </w:rPr>
        <w:t>烟囱</w:t>
      </w:r>
      <w:r>
        <w:rPr>
          <w:color w:val="auto"/>
          <w:szCs w:val="28"/>
        </w:rPr>
        <w:t>高度</w:t>
      </w:r>
    </w:p>
    <w:tbl>
      <w:tblPr>
        <w:tblStyle w:val="22"/>
        <w:tblW w:w="67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69"/>
        <w:gridCol w:w="3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369" w:type="dxa"/>
            <w:vAlign w:val="center"/>
          </w:tcPr>
          <w:p>
            <w:pPr>
              <w:widowControl/>
              <w:spacing w:line="360" w:lineRule="auto"/>
              <w:jc w:val="center"/>
              <w:rPr>
                <w:color w:val="auto"/>
                <w:szCs w:val="28"/>
              </w:rPr>
            </w:pPr>
            <w:r>
              <w:rPr>
                <w:rFonts w:hint="eastAsia"/>
                <w:color w:val="auto"/>
                <w:szCs w:val="28"/>
              </w:rPr>
              <w:t>焚烧</w:t>
            </w:r>
            <w:r>
              <w:rPr>
                <w:color w:val="auto"/>
                <w:szCs w:val="28"/>
              </w:rPr>
              <w:t>处理能力（</w:t>
            </w:r>
            <w:r>
              <w:rPr>
                <w:rFonts w:hint="eastAsia"/>
                <w:color w:val="auto"/>
                <w:szCs w:val="28"/>
              </w:rPr>
              <w:t>kg/h</w:t>
            </w:r>
            <w:r>
              <w:rPr>
                <w:color w:val="auto"/>
                <w:szCs w:val="28"/>
              </w:rPr>
              <w:t>）</w:t>
            </w:r>
          </w:p>
        </w:tc>
        <w:tc>
          <w:tcPr>
            <w:tcW w:w="3402" w:type="dxa"/>
            <w:vAlign w:val="center"/>
          </w:tcPr>
          <w:p>
            <w:pPr>
              <w:widowControl/>
              <w:spacing w:line="360" w:lineRule="auto"/>
              <w:jc w:val="center"/>
              <w:rPr>
                <w:color w:val="auto"/>
                <w:szCs w:val="28"/>
              </w:rPr>
            </w:pPr>
            <w:r>
              <w:rPr>
                <w:rFonts w:hint="eastAsia"/>
                <w:color w:val="auto"/>
                <w:szCs w:val="28"/>
              </w:rPr>
              <w:t>烟囱</w:t>
            </w:r>
            <w:r>
              <w:rPr>
                <w:color w:val="auto"/>
                <w:szCs w:val="28"/>
              </w:rPr>
              <w:t>最低允许高度（</w:t>
            </w:r>
            <w:r>
              <w:rPr>
                <w:rFonts w:hint="eastAsia"/>
                <w:color w:val="auto"/>
                <w:szCs w:val="28"/>
              </w:rPr>
              <w:t>m</w:t>
            </w:r>
            <w:r>
              <w:rPr>
                <w:color w:val="auto"/>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369" w:type="dxa"/>
            <w:vAlign w:val="center"/>
          </w:tcPr>
          <w:p>
            <w:pPr>
              <w:widowControl/>
              <w:spacing w:line="360" w:lineRule="auto"/>
              <w:jc w:val="center"/>
              <w:rPr>
                <w:color w:val="auto"/>
                <w:szCs w:val="28"/>
              </w:rPr>
            </w:pPr>
            <w:r>
              <w:rPr>
                <w:color w:val="auto"/>
                <w:szCs w:val="28"/>
              </w:rPr>
              <w:t>≤300</w:t>
            </w:r>
          </w:p>
        </w:tc>
        <w:tc>
          <w:tcPr>
            <w:tcW w:w="3402" w:type="dxa"/>
            <w:vAlign w:val="center"/>
          </w:tcPr>
          <w:p>
            <w:pPr>
              <w:widowControl/>
              <w:spacing w:line="360" w:lineRule="auto"/>
              <w:jc w:val="center"/>
              <w:rPr>
                <w:color w:val="auto"/>
                <w:szCs w:val="28"/>
              </w:rPr>
            </w:pPr>
            <w:r>
              <w:rPr>
                <w:color w:val="auto"/>
                <w:szCs w:val="28"/>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369" w:type="dxa"/>
            <w:vAlign w:val="center"/>
          </w:tcPr>
          <w:p>
            <w:pPr>
              <w:widowControl/>
              <w:spacing w:line="360" w:lineRule="auto"/>
              <w:jc w:val="center"/>
              <w:rPr>
                <w:color w:val="auto"/>
                <w:szCs w:val="28"/>
              </w:rPr>
            </w:pPr>
            <w:r>
              <w:rPr>
                <w:color w:val="auto"/>
                <w:szCs w:val="28"/>
              </w:rPr>
              <w:t>300~2000</w:t>
            </w:r>
          </w:p>
        </w:tc>
        <w:tc>
          <w:tcPr>
            <w:tcW w:w="3402" w:type="dxa"/>
            <w:vAlign w:val="center"/>
          </w:tcPr>
          <w:p>
            <w:pPr>
              <w:widowControl/>
              <w:spacing w:line="360" w:lineRule="auto"/>
              <w:jc w:val="center"/>
              <w:rPr>
                <w:color w:val="auto"/>
                <w:szCs w:val="28"/>
              </w:rPr>
            </w:pPr>
            <w:r>
              <w:rPr>
                <w:color w:val="auto"/>
                <w:szCs w:val="28"/>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369" w:type="dxa"/>
            <w:vAlign w:val="center"/>
          </w:tcPr>
          <w:p>
            <w:pPr>
              <w:widowControl/>
              <w:spacing w:line="360" w:lineRule="auto"/>
              <w:jc w:val="center"/>
              <w:rPr>
                <w:color w:val="auto"/>
                <w:szCs w:val="28"/>
              </w:rPr>
            </w:pPr>
            <w:r>
              <w:rPr>
                <w:color w:val="auto"/>
                <w:szCs w:val="28"/>
              </w:rPr>
              <w:t>2000~2500</w:t>
            </w:r>
          </w:p>
        </w:tc>
        <w:tc>
          <w:tcPr>
            <w:tcW w:w="3402" w:type="dxa"/>
            <w:vAlign w:val="center"/>
          </w:tcPr>
          <w:p>
            <w:pPr>
              <w:widowControl/>
              <w:spacing w:line="360" w:lineRule="auto"/>
              <w:jc w:val="center"/>
              <w:rPr>
                <w:color w:val="auto"/>
                <w:szCs w:val="28"/>
              </w:rPr>
            </w:pPr>
            <w:r>
              <w:rPr>
                <w:color w:val="auto"/>
                <w:szCs w:val="28"/>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369" w:type="dxa"/>
            <w:vAlign w:val="center"/>
          </w:tcPr>
          <w:p>
            <w:pPr>
              <w:widowControl/>
              <w:spacing w:line="360" w:lineRule="auto"/>
              <w:jc w:val="center"/>
              <w:rPr>
                <w:color w:val="auto"/>
                <w:szCs w:val="28"/>
              </w:rPr>
            </w:pPr>
            <w:r>
              <w:rPr>
                <w:color w:val="auto"/>
                <w:szCs w:val="28"/>
              </w:rPr>
              <w:t>≥2500</w:t>
            </w:r>
          </w:p>
        </w:tc>
        <w:tc>
          <w:tcPr>
            <w:tcW w:w="3402" w:type="dxa"/>
            <w:vAlign w:val="center"/>
          </w:tcPr>
          <w:p>
            <w:pPr>
              <w:widowControl/>
              <w:spacing w:line="360" w:lineRule="auto"/>
              <w:jc w:val="center"/>
              <w:rPr>
                <w:color w:val="auto"/>
                <w:szCs w:val="28"/>
              </w:rPr>
            </w:pPr>
            <w:r>
              <w:rPr>
                <w:color w:val="auto"/>
                <w:szCs w:val="28"/>
              </w:rPr>
              <w:t>50</w:t>
            </w:r>
          </w:p>
        </w:tc>
      </w:tr>
    </w:tbl>
    <w:p>
      <w:pPr>
        <w:widowControl/>
        <w:spacing w:line="360" w:lineRule="auto"/>
        <w:rPr>
          <w:color w:val="auto"/>
          <w:szCs w:val="28"/>
        </w:rPr>
      </w:pPr>
      <w:r>
        <w:rPr>
          <w:rFonts w:hint="eastAsia"/>
          <w:color w:val="auto"/>
          <w:szCs w:val="28"/>
        </w:rPr>
        <w:t>6.5.13烟囱</w:t>
      </w:r>
      <w:r>
        <w:rPr>
          <w:color w:val="auto"/>
          <w:szCs w:val="28"/>
        </w:rPr>
        <w:t>应设置永久性</w:t>
      </w:r>
      <w:r>
        <w:rPr>
          <w:rFonts w:hint="eastAsia"/>
          <w:color w:val="auto"/>
          <w:szCs w:val="28"/>
        </w:rPr>
        <w:t>采样孔</w:t>
      </w:r>
      <w:r>
        <w:rPr>
          <w:color w:val="auto"/>
          <w:szCs w:val="28"/>
        </w:rPr>
        <w:t>，</w:t>
      </w:r>
      <w:r>
        <w:rPr>
          <w:rFonts w:hint="eastAsia"/>
          <w:color w:val="auto"/>
          <w:szCs w:val="28"/>
        </w:rPr>
        <w:t>采样</w:t>
      </w:r>
      <w:r>
        <w:rPr>
          <w:color w:val="auto"/>
          <w:szCs w:val="28"/>
        </w:rPr>
        <w:t>孔</w:t>
      </w:r>
      <w:r>
        <w:rPr>
          <w:rFonts w:hint="eastAsia"/>
          <w:color w:val="auto"/>
          <w:szCs w:val="28"/>
        </w:rPr>
        <w:t>内</w:t>
      </w:r>
      <w:r>
        <w:rPr>
          <w:color w:val="auto"/>
          <w:szCs w:val="28"/>
        </w:rPr>
        <w:t>径不应小于</w:t>
      </w:r>
      <w:r>
        <w:rPr>
          <w:rFonts w:hint="eastAsia"/>
          <w:color w:val="auto"/>
          <w:szCs w:val="28"/>
        </w:rPr>
        <w:t>80</w:t>
      </w:r>
      <w:r>
        <w:rPr>
          <w:color w:val="auto"/>
          <w:szCs w:val="28"/>
        </w:rPr>
        <w:t>mm</w:t>
      </w:r>
      <w:r>
        <w:rPr>
          <w:rFonts w:hint="eastAsia"/>
          <w:color w:val="auto"/>
          <w:szCs w:val="28"/>
        </w:rPr>
        <w:t>，并应采用</w:t>
      </w:r>
      <w:r>
        <w:rPr>
          <w:color w:val="auto"/>
          <w:szCs w:val="28"/>
        </w:rPr>
        <w:t>盖板、</w:t>
      </w:r>
      <w:r>
        <w:rPr>
          <w:rFonts w:hint="eastAsia"/>
          <w:color w:val="auto"/>
          <w:szCs w:val="28"/>
        </w:rPr>
        <w:t>管堵</w:t>
      </w:r>
      <w:r>
        <w:rPr>
          <w:color w:val="auto"/>
          <w:szCs w:val="28"/>
        </w:rPr>
        <w:t>或管帽封闭。</w:t>
      </w:r>
    </w:p>
    <w:p>
      <w:pPr>
        <w:pStyle w:val="3"/>
        <w:spacing w:before="0" w:after="0" w:line="360" w:lineRule="auto"/>
        <w:jc w:val="center"/>
        <w:rPr>
          <w:rFonts w:ascii="Times New Roman" w:hAnsi="Times New Roman" w:eastAsiaTheme="minorEastAsia"/>
          <w:color w:val="auto"/>
          <w:sz w:val="21"/>
          <w:szCs w:val="21"/>
        </w:rPr>
      </w:pPr>
      <w:bookmarkStart w:id="49" w:name="_Toc92877445"/>
      <w:r>
        <w:rPr>
          <w:rFonts w:ascii="Times New Roman" w:hAnsi="Times New Roman" w:eastAsiaTheme="minorEastAsia"/>
          <w:color w:val="auto"/>
          <w:sz w:val="21"/>
          <w:szCs w:val="21"/>
        </w:rPr>
        <w:t>6.6 残渣</w:t>
      </w:r>
      <w:r>
        <w:rPr>
          <w:rFonts w:hint="eastAsia" w:ascii="Times New Roman" w:hAnsi="Times New Roman" w:eastAsiaTheme="minorEastAsia"/>
          <w:color w:val="auto"/>
          <w:sz w:val="21"/>
          <w:szCs w:val="21"/>
        </w:rPr>
        <w:t>飞灰</w:t>
      </w:r>
      <w:r>
        <w:rPr>
          <w:rFonts w:ascii="Times New Roman" w:hAnsi="Times New Roman" w:eastAsiaTheme="minorEastAsia"/>
          <w:color w:val="auto"/>
          <w:sz w:val="21"/>
          <w:szCs w:val="21"/>
        </w:rPr>
        <w:t>处理系统</w:t>
      </w:r>
      <w:bookmarkEnd w:id="49"/>
    </w:p>
    <w:p>
      <w:pPr>
        <w:widowControl/>
        <w:spacing w:line="360" w:lineRule="auto"/>
        <w:rPr>
          <w:color w:val="auto"/>
          <w:szCs w:val="28"/>
        </w:rPr>
      </w:pPr>
      <w:r>
        <w:rPr>
          <w:color w:val="auto"/>
          <w:szCs w:val="28"/>
        </w:rPr>
        <w:t>6.6.1</w:t>
      </w:r>
      <w:r>
        <w:rPr>
          <w:rFonts w:hint="eastAsia"/>
          <w:color w:val="auto"/>
          <w:szCs w:val="28"/>
        </w:rPr>
        <w:t>回转窑应配备连续式出渣系统，转运的炉渣温度</w:t>
      </w:r>
      <w:r>
        <w:rPr>
          <w:color w:val="auto"/>
          <w:szCs w:val="28"/>
        </w:rPr>
        <w:t>不</w:t>
      </w:r>
      <w:r>
        <w:rPr>
          <w:rFonts w:hint="eastAsia"/>
          <w:color w:val="auto"/>
          <w:szCs w:val="28"/>
        </w:rPr>
        <w:t>应</w:t>
      </w:r>
      <w:r>
        <w:rPr>
          <w:rFonts w:hint="eastAsia"/>
          <w:color w:val="auto"/>
          <w:szCs w:val="28"/>
        </w:rPr>
        <w:t>高</w:t>
      </w:r>
      <w:r>
        <w:rPr>
          <w:color w:val="auto"/>
          <w:szCs w:val="28"/>
        </w:rPr>
        <w:t>于80</w:t>
      </w:r>
      <w:r>
        <w:rPr>
          <w:rFonts w:hint="eastAsia" w:ascii="宋体" w:hAnsi="宋体" w:cs="宋体"/>
          <w:color w:val="auto"/>
          <w:szCs w:val="28"/>
        </w:rPr>
        <w:t>℃</w:t>
      </w:r>
      <w:r>
        <w:rPr>
          <w:rFonts w:hint="eastAsia"/>
          <w:color w:val="auto"/>
          <w:szCs w:val="28"/>
        </w:rPr>
        <w:t>。</w:t>
      </w:r>
    </w:p>
    <w:p>
      <w:pPr>
        <w:widowControl/>
        <w:spacing w:line="360" w:lineRule="auto"/>
        <w:rPr>
          <w:color w:val="auto"/>
          <w:szCs w:val="28"/>
        </w:rPr>
      </w:pPr>
      <w:r>
        <w:rPr>
          <w:color w:val="auto"/>
          <w:szCs w:val="28"/>
        </w:rPr>
        <w:t xml:space="preserve">6.6.2 </w:t>
      </w:r>
      <w:r>
        <w:rPr>
          <w:rFonts w:hint="eastAsia"/>
          <w:color w:val="auto"/>
          <w:szCs w:val="28"/>
        </w:rPr>
        <w:t>钢铁厂危险废物焚烧残渣的出渣方式应采用干式出渣。</w:t>
      </w:r>
    </w:p>
    <w:p>
      <w:pPr>
        <w:widowControl/>
        <w:spacing w:line="360" w:lineRule="auto"/>
        <w:rPr>
          <w:color w:val="auto"/>
          <w:szCs w:val="28"/>
        </w:rPr>
      </w:pPr>
      <w:r>
        <w:rPr>
          <w:color w:val="auto"/>
          <w:szCs w:val="28"/>
        </w:rPr>
        <w:t>6.6.3进入烧结或球团协同处置的</w:t>
      </w:r>
      <w:r>
        <w:rPr>
          <w:rFonts w:hint="eastAsia"/>
          <w:color w:val="auto"/>
          <w:szCs w:val="28"/>
        </w:rPr>
        <w:t>焚烧残渣宜符合下列要求：</w:t>
      </w:r>
    </w:p>
    <w:p>
      <w:pPr>
        <w:widowControl/>
        <w:spacing w:line="360" w:lineRule="auto"/>
        <w:ind w:firstLine="420"/>
        <w:rPr>
          <w:color w:val="auto"/>
          <w:szCs w:val="28"/>
        </w:rPr>
      </w:pPr>
      <w:r>
        <w:rPr>
          <w:color w:val="auto"/>
          <w:szCs w:val="28"/>
        </w:rPr>
        <w:t xml:space="preserve">1 </w:t>
      </w:r>
      <w:r>
        <w:rPr>
          <w:rFonts w:hint="eastAsia"/>
          <w:color w:val="auto"/>
          <w:szCs w:val="28"/>
        </w:rPr>
        <w:t>水分宜小于</w:t>
      </w:r>
      <w:r>
        <w:rPr>
          <w:color w:val="auto"/>
          <w:szCs w:val="28"/>
        </w:rPr>
        <w:t>8.0%</w:t>
      </w:r>
      <w:r>
        <w:rPr>
          <w:rFonts w:hint="eastAsia"/>
          <w:color w:val="auto"/>
          <w:szCs w:val="28"/>
        </w:rPr>
        <w:t>；</w:t>
      </w:r>
    </w:p>
    <w:p>
      <w:pPr>
        <w:widowControl/>
        <w:spacing w:line="360" w:lineRule="auto"/>
        <w:ind w:firstLine="420"/>
        <w:rPr>
          <w:color w:val="auto"/>
          <w:szCs w:val="28"/>
        </w:rPr>
      </w:pPr>
      <w:r>
        <w:rPr>
          <w:color w:val="auto"/>
          <w:szCs w:val="28"/>
        </w:rPr>
        <w:t xml:space="preserve">2 </w:t>
      </w:r>
      <w:r>
        <w:rPr>
          <w:rFonts w:hint="eastAsia"/>
          <w:color w:val="auto"/>
          <w:szCs w:val="28"/>
        </w:rPr>
        <w:t>挥发分宜小于</w:t>
      </w:r>
      <w:r>
        <w:rPr>
          <w:color w:val="auto"/>
          <w:szCs w:val="28"/>
        </w:rPr>
        <w:t>5.0%</w:t>
      </w:r>
      <w:r>
        <w:rPr>
          <w:rFonts w:hint="eastAsia"/>
          <w:color w:val="auto"/>
          <w:szCs w:val="28"/>
        </w:rPr>
        <w:t>；</w:t>
      </w:r>
    </w:p>
    <w:p>
      <w:pPr>
        <w:widowControl/>
        <w:spacing w:line="360" w:lineRule="auto"/>
        <w:ind w:firstLine="420"/>
        <w:rPr>
          <w:color w:val="auto"/>
          <w:szCs w:val="28"/>
        </w:rPr>
      </w:pPr>
      <w:r>
        <w:rPr>
          <w:color w:val="auto"/>
          <w:szCs w:val="28"/>
        </w:rPr>
        <w:t>3</w:t>
      </w:r>
      <w:r>
        <w:rPr>
          <w:rFonts w:hint="eastAsia"/>
          <w:color w:val="auto"/>
          <w:szCs w:val="28"/>
        </w:rPr>
        <w:t>有害重金属元素含量</w:t>
      </w:r>
      <w:r>
        <w:rPr>
          <w:rFonts w:hint="eastAsia"/>
          <w:color w:val="auto"/>
          <w:szCs w:val="28"/>
        </w:rPr>
        <w:t>宜</w:t>
      </w:r>
      <w:r>
        <w:rPr>
          <w:rFonts w:hint="eastAsia"/>
          <w:color w:val="auto"/>
          <w:szCs w:val="28"/>
        </w:rPr>
        <w:t>小于</w:t>
      </w:r>
      <w:r>
        <w:rPr>
          <w:color w:val="auto"/>
          <w:szCs w:val="28"/>
        </w:rPr>
        <w:t>1.0%</w:t>
      </w:r>
      <w:r>
        <w:rPr>
          <w:rFonts w:hint="eastAsia"/>
          <w:color w:val="auto"/>
          <w:szCs w:val="28"/>
        </w:rPr>
        <w:t>；</w:t>
      </w:r>
    </w:p>
    <w:p>
      <w:pPr>
        <w:widowControl/>
        <w:spacing w:line="360" w:lineRule="auto"/>
        <w:ind w:firstLine="420"/>
        <w:rPr>
          <w:color w:val="auto"/>
          <w:szCs w:val="28"/>
        </w:rPr>
      </w:pPr>
      <w:r>
        <w:rPr>
          <w:color w:val="auto"/>
          <w:szCs w:val="28"/>
        </w:rPr>
        <w:t xml:space="preserve">4 </w:t>
      </w:r>
      <w:r>
        <w:rPr>
          <w:rFonts w:hint="eastAsia"/>
          <w:color w:val="auto"/>
          <w:szCs w:val="28"/>
        </w:rPr>
        <w:t>含铁量不</w:t>
      </w:r>
      <w:r>
        <w:rPr>
          <w:rFonts w:hint="eastAsia"/>
          <w:color w:val="auto"/>
          <w:szCs w:val="28"/>
        </w:rPr>
        <w:t>宜</w:t>
      </w:r>
      <w:r>
        <w:rPr>
          <w:rFonts w:hint="eastAsia"/>
          <w:color w:val="auto"/>
          <w:szCs w:val="28"/>
        </w:rPr>
        <w:t>小于</w:t>
      </w:r>
      <w:r>
        <w:rPr>
          <w:color w:val="auto"/>
          <w:szCs w:val="28"/>
        </w:rPr>
        <w:t>40.0%</w:t>
      </w:r>
      <w:r>
        <w:rPr>
          <w:rFonts w:hint="eastAsia"/>
          <w:color w:val="auto"/>
          <w:szCs w:val="28"/>
        </w:rPr>
        <w:t>。</w:t>
      </w:r>
    </w:p>
    <w:p>
      <w:pPr>
        <w:widowControl/>
        <w:spacing w:line="360" w:lineRule="auto"/>
        <w:rPr>
          <w:color w:val="auto"/>
          <w:szCs w:val="28"/>
        </w:rPr>
      </w:pPr>
      <w:r>
        <w:rPr>
          <w:rFonts w:hint="eastAsia"/>
          <w:color w:val="auto"/>
          <w:szCs w:val="28"/>
        </w:rPr>
        <w:t>6.6.</w:t>
      </w:r>
      <w:r>
        <w:rPr>
          <w:color w:val="auto"/>
          <w:szCs w:val="28"/>
        </w:rPr>
        <w:t>4</w:t>
      </w:r>
      <w:r>
        <w:rPr>
          <w:rFonts w:hint="eastAsia"/>
          <w:color w:val="auto"/>
          <w:szCs w:val="28"/>
        </w:rPr>
        <w:t>不满足</w:t>
      </w:r>
      <w:r>
        <w:rPr>
          <w:color w:val="auto"/>
          <w:szCs w:val="28"/>
        </w:rPr>
        <w:t>烧结</w:t>
      </w:r>
      <w:r>
        <w:rPr>
          <w:rFonts w:hint="eastAsia"/>
          <w:color w:val="auto"/>
          <w:szCs w:val="28"/>
        </w:rPr>
        <w:t>或</w:t>
      </w:r>
      <w:r>
        <w:rPr>
          <w:color w:val="auto"/>
          <w:szCs w:val="28"/>
        </w:rPr>
        <w:t>球团进料要求的焚烧残渣</w:t>
      </w:r>
      <w:r>
        <w:rPr>
          <w:rFonts w:hint="eastAsia"/>
          <w:color w:val="auto"/>
          <w:szCs w:val="28"/>
        </w:rPr>
        <w:t>可进行</w:t>
      </w:r>
      <w:r>
        <w:rPr>
          <w:color w:val="auto"/>
          <w:szCs w:val="28"/>
        </w:rPr>
        <w:t>预处理</w:t>
      </w:r>
      <w:r>
        <w:rPr>
          <w:rFonts w:hint="eastAsia"/>
          <w:color w:val="auto"/>
          <w:szCs w:val="28"/>
        </w:rPr>
        <w:t>后</w:t>
      </w:r>
      <w:r>
        <w:rPr>
          <w:color w:val="auto"/>
          <w:szCs w:val="28"/>
        </w:rPr>
        <w:t>再掺入烧结</w:t>
      </w:r>
      <w:r>
        <w:rPr>
          <w:rFonts w:hint="eastAsia"/>
          <w:color w:val="auto"/>
          <w:szCs w:val="28"/>
        </w:rPr>
        <w:t>或</w:t>
      </w:r>
      <w:r>
        <w:rPr>
          <w:color w:val="auto"/>
          <w:szCs w:val="28"/>
        </w:rPr>
        <w:t>球团处置</w:t>
      </w:r>
      <w:r>
        <w:rPr>
          <w:rFonts w:hint="eastAsia"/>
          <w:color w:val="auto"/>
          <w:szCs w:val="28"/>
        </w:rPr>
        <w:t>，</w:t>
      </w:r>
      <w:r>
        <w:rPr>
          <w:rFonts w:hint="eastAsia"/>
          <w:color w:val="auto"/>
          <w:szCs w:val="28"/>
        </w:rPr>
        <w:t>也可经固化处理后进入安全填埋程序。</w:t>
      </w:r>
    </w:p>
    <w:p>
      <w:pPr>
        <w:widowControl/>
        <w:jc w:val="left"/>
        <w:rPr>
          <w:color w:val="auto"/>
          <w:szCs w:val="28"/>
        </w:rPr>
      </w:pPr>
      <w:r>
        <w:rPr>
          <w:color w:val="auto"/>
          <w:szCs w:val="28"/>
        </w:rPr>
        <w:br w:type="page"/>
      </w:r>
    </w:p>
    <w:p>
      <w:pPr>
        <w:pStyle w:val="2"/>
        <w:spacing w:before="120" w:after="120"/>
        <w:jc w:val="center"/>
        <w:rPr>
          <w:color w:val="auto"/>
          <w:sz w:val="28"/>
          <w:szCs w:val="28"/>
        </w:rPr>
      </w:pPr>
      <w:bookmarkStart w:id="50" w:name="_Toc92877447"/>
      <w:r>
        <w:rPr>
          <w:color w:val="auto"/>
          <w:sz w:val="28"/>
          <w:szCs w:val="28"/>
        </w:rPr>
        <w:t>7</w:t>
      </w:r>
      <w:r>
        <w:rPr>
          <w:rFonts w:hint="eastAsia"/>
          <w:color w:val="auto"/>
          <w:sz w:val="28"/>
          <w:szCs w:val="28"/>
        </w:rPr>
        <w:t xml:space="preserve"> 辅助设施</w:t>
      </w:r>
      <w:bookmarkEnd w:id="50"/>
    </w:p>
    <w:p>
      <w:pPr>
        <w:pStyle w:val="3"/>
        <w:spacing w:before="0" w:after="0" w:line="360" w:lineRule="auto"/>
        <w:jc w:val="center"/>
        <w:rPr>
          <w:rFonts w:asciiTheme="minorEastAsia" w:hAnsiTheme="minorEastAsia" w:eastAsiaTheme="minorEastAsia"/>
          <w:color w:val="auto"/>
          <w:sz w:val="21"/>
          <w:szCs w:val="21"/>
        </w:rPr>
      </w:pPr>
      <w:bookmarkStart w:id="51" w:name="_Toc92877448"/>
      <w:r>
        <w:rPr>
          <w:rFonts w:hint="eastAsia" w:asciiTheme="minorEastAsia" w:hAnsiTheme="minorEastAsia" w:eastAsiaTheme="minorEastAsia"/>
          <w:color w:val="auto"/>
          <w:sz w:val="21"/>
          <w:szCs w:val="21"/>
        </w:rPr>
        <w:t>7.1 电气</w:t>
      </w:r>
      <w:r>
        <w:rPr>
          <w:rFonts w:asciiTheme="minorEastAsia" w:hAnsiTheme="minorEastAsia" w:eastAsiaTheme="minorEastAsia"/>
          <w:color w:val="auto"/>
          <w:sz w:val="21"/>
          <w:szCs w:val="21"/>
        </w:rPr>
        <w:t>系统</w:t>
      </w:r>
      <w:bookmarkEnd w:id="51"/>
    </w:p>
    <w:p>
      <w:pPr>
        <w:widowControl/>
        <w:spacing w:line="360" w:lineRule="auto"/>
        <w:rPr>
          <w:color w:val="auto"/>
          <w:szCs w:val="21"/>
        </w:rPr>
      </w:pPr>
      <w:r>
        <w:rPr>
          <w:rFonts w:hint="eastAsia"/>
          <w:color w:val="auto"/>
          <w:szCs w:val="21"/>
        </w:rPr>
        <w:t>7.1.1火灾自动报警系统用电、消防设备用电应为二级负荷。应急照明应为二级负荷，并</w:t>
      </w:r>
      <w:r>
        <w:rPr>
          <w:color w:val="auto"/>
          <w:szCs w:val="21"/>
        </w:rPr>
        <w:t>应</w:t>
      </w:r>
      <w:r>
        <w:rPr>
          <w:rFonts w:hint="eastAsia"/>
          <w:color w:val="auto"/>
          <w:szCs w:val="21"/>
        </w:rPr>
        <w:t>自带应急电池，自放电时间不应小于90</w:t>
      </w:r>
      <w:r>
        <w:rPr>
          <w:color w:val="auto"/>
          <w:szCs w:val="21"/>
        </w:rPr>
        <w:t xml:space="preserve"> </w:t>
      </w:r>
      <w:r>
        <w:rPr>
          <w:rFonts w:hint="eastAsia"/>
          <w:color w:val="auto"/>
          <w:szCs w:val="21"/>
        </w:rPr>
        <w:t>min。</w:t>
      </w:r>
      <w:r>
        <w:rPr>
          <w:rFonts w:hint="eastAsia"/>
          <w:color w:val="auto"/>
        </w:rPr>
        <w:t>其他</w:t>
      </w:r>
      <w:r>
        <w:rPr>
          <w:rFonts w:hint="eastAsia"/>
          <w:color w:val="auto"/>
          <w:szCs w:val="21"/>
        </w:rPr>
        <w:t>负荷应为三级负荷。</w:t>
      </w:r>
      <w:r>
        <w:rPr>
          <w:color w:val="auto"/>
          <w:szCs w:val="21"/>
        </w:rPr>
        <w:t>PLC</w:t>
      </w:r>
      <w:r>
        <w:rPr>
          <w:rFonts w:hint="eastAsia"/>
          <w:color w:val="auto"/>
          <w:szCs w:val="21"/>
        </w:rPr>
        <w:t>柜、扩展站、控制电脑、监控系统应由</w:t>
      </w:r>
      <w:r>
        <w:rPr>
          <w:color w:val="auto"/>
          <w:szCs w:val="21"/>
        </w:rPr>
        <w:t>UPS</w:t>
      </w:r>
      <w:r>
        <w:rPr>
          <w:rFonts w:hint="eastAsia"/>
          <w:color w:val="auto"/>
          <w:szCs w:val="21"/>
        </w:rPr>
        <w:t>电源供电，供电时间不应小于</w:t>
      </w:r>
      <w:r>
        <w:rPr>
          <w:color w:val="auto"/>
          <w:szCs w:val="21"/>
        </w:rPr>
        <w:t>30 min</w:t>
      </w:r>
      <w:r>
        <w:rPr>
          <w:rFonts w:hint="eastAsia"/>
          <w:color w:val="auto"/>
          <w:szCs w:val="21"/>
        </w:rPr>
        <w:t>。</w:t>
      </w:r>
    </w:p>
    <w:p>
      <w:pPr>
        <w:widowControl/>
        <w:spacing w:line="360" w:lineRule="auto"/>
        <w:rPr>
          <w:color w:val="auto"/>
          <w:szCs w:val="21"/>
        </w:rPr>
      </w:pPr>
      <w:r>
        <w:rPr>
          <w:rFonts w:hint="eastAsia"/>
          <w:color w:val="auto"/>
          <w:szCs w:val="21"/>
        </w:rPr>
        <w:t>7.1.2</w:t>
      </w:r>
      <w:r>
        <w:rPr>
          <w:color w:val="auto"/>
          <w:szCs w:val="21"/>
        </w:rPr>
        <w:t xml:space="preserve"> 110kV</w:t>
      </w:r>
      <w:r>
        <w:rPr>
          <w:rFonts w:hint="eastAsia"/>
          <w:color w:val="auto"/>
          <w:szCs w:val="21"/>
        </w:rPr>
        <w:t>及</w:t>
      </w:r>
      <w:r>
        <w:rPr>
          <w:color w:val="auto"/>
          <w:szCs w:val="21"/>
        </w:rPr>
        <w:t>以上电压等级配电装置的电压互感器可采用按母线配置方式</w:t>
      </w:r>
      <w:r>
        <w:rPr>
          <w:rFonts w:hint="eastAsia"/>
          <w:color w:val="auto"/>
          <w:szCs w:val="21"/>
        </w:rPr>
        <w:t>或</w:t>
      </w:r>
      <w:r>
        <w:rPr>
          <w:color w:val="auto"/>
          <w:szCs w:val="21"/>
        </w:rPr>
        <w:t>按回路配置方式</w:t>
      </w:r>
      <w:r>
        <w:rPr>
          <w:rFonts w:hint="eastAsia"/>
          <w:color w:val="auto"/>
          <w:szCs w:val="21"/>
        </w:rPr>
        <w:t>；电气系统</w:t>
      </w:r>
      <w:r>
        <w:rPr>
          <w:color w:val="auto"/>
          <w:szCs w:val="21"/>
        </w:rPr>
        <w:t>应采用</w:t>
      </w:r>
      <w:r>
        <w:rPr>
          <w:rFonts w:hint="eastAsia"/>
          <w:color w:val="auto"/>
          <w:szCs w:val="21"/>
        </w:rPr>
        <w:t>过电压</w:t>
      </w:r>
      <w:r>
        <w:rPr>
          <w:color w:val="auto"/>
          <w:szCs w:val="21"/>
        </w:rPr>
        <w:t>保护和</w:t>
      </w:r>
      <w:r>
        <w:rPr>
          <w:rFonts w:hint="eastAsia"/>
          <w:color w:val="auto"/>
          <w:szCs w:val="21"/>
        </w:rPr>
        <w:t>合格</w:t>
      </w:r>
      <w:r>
        <w:rPr>
          <w:color w:val="auto"/>
          <w:szCs w:val="21"/>
        </w:rPr>
        <w:t>的接地。</w:t>
      </w:r>
    </w:p>
    <w:p>
      <w:pPr>
        <w:widowControl/>
        <w:spacing w:line="360" w:lineRule="auto"/>
        <w:rPr>
          <w:color w:val="auto"/>
          <w:szCs w:val="21"/>
        </w:rPr>
      </w:pPr>
      <w:r>
        <w:rPr>
          <w:rFonts w:hint="eastAsia"/>
          <w:color w:val="auto"/>
          <w:szCs w:val="21"/>
        </w:rPr>
        <w:t>7.1.3危险废物</w:t>
      </w:r>
      <w:r>
        <w:rPr>
          <w:color w:val="auto"/>
          <w:szCs w:val="21"/>
        </w:rPr>
        <w:t>储存车间</w:t>
      </w:r>
      <w:r>
        <w:rPr>
          <w:rFonts w:hint="eastAsia"/>
          <w:color w:val="auto"/>
          <w:szCs w:val="21"/>
        </w:rPr>
        <w:t>、预处理</w:t>
      </w:r>
      <w:r>
        <w:rPr>
          <w:color w:val="auto"/>
          <w:szCs w:val="21"/>
        </w:rPr>
        <w:t>车间、焚烧车间等场所应</w:t>
      </w:r>
      <w:r>
        <w:rPr>
          <w:rFonts w:hint="eastAsia"/>
          <w:color w:val="auto"/>
          <w:szCs w:val="21"/>
        </w:rPr>
        <w:t>设置</w:t>
      </w:r>
      <w:r>
        <w:rPr>
          <w:color w:val="auto"/>
          <w:szCs w:val="21"/>
        </w:rPr>
        <w:t>应急照明</w:t>
      </w:r>
      <w:r>
        <w:rPr>
          <w:rFonts w:hint="eastAsia"/>
          <w:color w:val="auto"/>
          <w:szCs w:val="21"/>
        </w:rPr>
        <w:t>；</w:t>
      </w:r>
      <w:r>
        <w:rPr>
          <w:color w:val="auto"/>
          <w:szCs w:val="21"/>
        </w:rPr>
        <w:t>煤气区域的</w:t>
      </w:r>
      <w:r>
        <w:rPr>
          <w:rFonts w:hint="eastAsia"/>
          <w:color w:val="auto"/>
          <w:szCs w:val="21"/>
        </w:rPr>
        <w:t>照明</w:t>
      </w:r>
      <w:r>
        <w:rPr>
          <w:color w:val="auto"/>
          <w:szCs w:val="21"/>
        </w:rPr>
        <w:t>、仪表等均应</w:t>
      </w:r>
      <w:r>
        <w:rPr>
          <w:rFonts w:hint="eastAsia"/>
          <w:color w:val="auto"/>
          <w:szCs w:val="21"/>
        </w:rPr>
        <w:t>采用</w:t>
      </w:r>
      <w:r>
        <w:rPr>
          <w:color w:val="auto"/>
          <w:szCs w:val="21"/>
        </w:rPr>
        <w:t>防爆设计。</w:t>
      </w:r>
    </w:p>
    <w:p>
      <w:pPr>
        <w:widowControl/>
        <w:spacing w:line="360" w:lineRule="auto"/>
        <w:rPr>
          <w:color w:val="auto"/>
          <w:szCs w:val="21"/>
        </w:rPr>
      </w:pPr>
    </w:p>
    <w:p>
      <w:pPr>
        <w:pStyle w:val="3"/>
        <w:spacing w:before="0" w:after="0" w:line="360" w:lineRule="auto"/>
        <w:jc w:val="center"/>
        <w:rPr>
          <w:rFonts w:asciiTheme="minorEastAsia" w:hAnsiTheme="minorEastAsia" w:eastAsiaTheme="minorEastAsia"/>
          <w:color w:val="auto"/>
          <w:sz w:val="21"/>
          <w:szCs w:val="21"/>
        </w:rPr>
      </w:pPr>
      <w:bookmarkStart w:id="52" w:name="_Toc92877449"/>
      <w:r>
        <w:rPr>
          <w:rFonts w:asciiTheme="minorEastAsia" w:hAnsiTheme="minorEastAsia" w:eastAsiaTheme="minorEastAsia"/>
          <w:color w:val="auto"/>
          <w:sz w:val="21"/>
          <w:szCs w:val="21"/>
        </w:rPr>
        <w:t xml:space="preserve">7.2 </w:t>
      </w:r>
      <w:r>
        <w:rPr>
          <w:rFonts w:hint="eastAsia" w:asciiTheme="minorEastAsia" w:hAnsiTheme="minorEastAsia" w:eastAsiaTheme="minorEastAsia"/>
          <w:color w:val="auto"/>
          <w:sz w:val="21"/>
          <w:szCs w:val="21"/>
        </w:rPr>
        <w:t>自动</w:t>
      </w:r>
      <w:r>
        <w:rPr>
          <w:rFonts w:asciiTheme="minorEastAsia" w:hAnsiTheme="minorEastAsia" w:eastAsiaTheme="minorEastAsia"/>
          <w:color w:val="auto"/>
          <w:sz w:val="21"/>
          <w:szCs w:val="21"/>
        </w:rPr>
        <w:t>控制</w:t>
      </w:r>
      <w:r>
        <w:rPr>
          <w:rFonts w:hint="eastAsia" w:asciiTheme="minorEastAsia" w:hAnsiTheme="minorEastAsia" w:eastAsiaTheme="minorEastAsia"/>
          <w:color w:val="auto"/>
          <w:sz w:val="21"/>
          <w:szCs w:val="21"/>
        </w:rPr>
        <w:t>及</w:t>
      </w:r>
      <w:r>
        <w:rPr>
          <w:rFonts w:asciiTheme="minorEastAsia" w:hAnsiTheme="minorEastAsia" w:eastAsiaTheme="minorEastAsia"/>
          <w:color w:val="auto"/>
          <w:sz w:val="21"/>
          <w:szCs w:val="21"/>
        </w:rPr>
        <w:t>在线</w:t>
      </w:r>
      <w:r>
        <w:rPr>
          <w:rFonts w:hint="eastAsia" w:asciiTheme="minorEastAsia" w:hAnsiTheme="minorEastAsia" w:eastAsiaTheme="minorEastAsia"/>
          <w:color w:val="auto"/>
          <w:sz w:val="21"/>
          <w:szCs w:val="21"/>
        </w:rPr>
        <w:t>监测</w:t>
      </w:r>
      <w:r>
        <w:rPr>
          <w:rFonts w:asciiTheme="minorEastAsia" w:hAnsiTheme="minorEastAsia" w:eastAsiaTheme="minorEastAsia"/>
          <w:color w:val="auto"/>
          <w:sz w:val="21"/>
          <w:szCs w:val="21"/>
        </w:rPr>
        <w:t>系统</w:t>
      </w:r>
      <w:bookmarkEnd w:id="52"/>
    </w:p>
    <w:p>
      <w:pPr>
        <w:widowControl/>
        <w:spacing w:line="360" w:lineRule="auto"/>
        <w:rPr>
          <w:color w:val="auto"/>
          <w:szCs w:val="28"/>
        </w:rPr>
      </w:pPr>
      <w:r>
        <w:rPr>
          <w:color w:val="auto"/>
          <w:szCs w:val="28"/>
        </w:rPr>
        <w:t>7.2.1</w:t>
      </w:r>
      <w:r>
        <w:rPr>
          <w:rFonts w:hint="eastAsia"/>
          <w:color w:val="auto"/>
          <w:szCs w:val="28"/>
        </w:rPr>
        <w:t>在线监测系统应包括烟气、温度、压力、液位</w:t>
      </w:r>
      <w:r>
        <w:rPr>
          <w:color w:val="auto"/>
          <w:szCs w:val="28"/>
        </w:rPr>
        <w:t>、流量</w:t>
      </w:r>
      <w:r>
        <w:rPr>
          <w:rFonts w:hint="eastAsia"/>
          <w:color w:val="auto"/>
          <w:szCs w:val="28"/>
        </w:rPr>
        <w:t>的在线监测。</w:t>
      </w:r>
    </w:p>
    <w:p>
      <w:pPr>
        <w:widowControl/>
        <w:spacing w:line="360" w:lineRule="auto"/>
        <w:rPr>
          <w:color w:val="auto"/>
        </w:rPr>
      </w:pPr>
      <w:r>
        <w:rPr>
          <w:color w:val="auto"/>
          <w:szCs w:val="28"/>
        </w:rPr>
        <w:t>7.2.</w:t>
      </w:r>
      <w:r>
        <w:rPr>
          <w:rFonts w:hint="eastAsia"/>
          <w:color w:val="auto"/>
          <w:szCs w:val="28"/>
        </w:rPr>
        <w:t>2烟气在线监测应包括</w:t>
      </w:r>
      <w:r>
        <w:rPr>
          <w:rFonts w:hint="eastAsia"/>
          <w:color w:val="auto"/>
        </w:rPr>
        <w:t>颗粒物、氧含量、二氧化硫、氮氧化物、氯化氢、一氧化碳</w:t>
      </w:r>
      <w:r>
        <w:rPr>
          <w:color w:val="auto"/>
        </w:rPr>
        <w:t>、二氧化碳、</w:t>
      </w:r>
      <w:r>
        <w:rPr>
          <w:rFonts w:hint="eastAsia"/>
          <w:color w:val="auto"/>
        </w:rPr>
        <w:t>含水率、流量、排烟温度及压力、</w:t>
      </w:r>
      <w:r>
        <w:rPr>
          <w:color w:val="auto"/>
        </w:rPr>
        <w:t>二燃室温度</w:t>
      </w:r>
      <w:r>
        <w:rPr>
          <w:rFonts w:hint="eastAsia"/>
          <w:color w:val="auto"/>
        </w:rPr>
        <w:t>。</w:t>
      </w:r>
    </w:p>
    <w:p>
      <w:pPr>
        <w:widowControl/>
        <w:spacing w:line="360" w:lineRule="auto"/>
        <w:rPr>
          <w:color w:val="auto"/>
        </w:rPr>
      </w:pPr>
      <w:r>
        <w:rPr>
          <w:rFonts w:hint="eastAsia"/>
          <w:color w:val="auto"/>
        </w:rPr>
        <w:t>7.2.3余热锅炉出口</w:t>
      </w:r>
      <w:r>
        <w:rPr>
          <w:color w:val="auto"/>
        </w:rPr>
        <w:t>O</w:t>
      </w:r>
      <w:r>
        <w:rPr>
          <w:color w:val="auto"/>
          <w:vertAlign w:val="subscript"/>
        </w:rPr>
        <w:t>2</w:t>
      </w:r>
      <w:r>
        <w:rPr>
          <w:rFonts w:hint="eastAsia"/>
          <w:color w:val="auto"/>
        </w:rPr>
        <w:t>的含量应控制在</w:t>
      </w:r>
      <w:r>
        <w:rPr>
          <w:color w:val="auto"/>
        </w:rPr>
        <w:t>6%~10</w:t>
      </w:r>
      <w:r>
        <w:rPr>
          <w:rFonts w:hint="eastAsia"/>
          <w:color w:val="auto"/>
        </w:rPr>
        <w:t>%。</w:t>
      </w:r>
    </w:p>
    <w:p>
      <w:pPr>
        <w:widowControl/>
        <w:spacing w:line="360" w:lineRule="auto"/>
        <w:rPr>
          <w:color w:val="auto"/>
        </w:rPr>
      </w:pPr>
      <w:r>
        <w:rPr>
          <w:rFonts w:hint="eastAsia"/>
          <w:color w:val="auto"/>
        </w:rPr>
        <w:t>7.2.4 监测系统并与</w:t>
      </w:r>
      <w:r>
        <w:rPr>
          <w:color w:val="auto"/>
        </w:rPr>
        <w:t>当地环保部门联网，</w:t>
      </w:r>
      <w:r>
        <w:rPr>
          <w:rFonts w:hint="eastAsia"/>
          <w:color w:val="auto"/>
        </w:rPr>
        <w:t>并应设定报警值。</w:t>
      </w:r>
    </w:p>
    <w:p>
      <w:pPr>
        <w:widowControl/>
        <w:spacing w:line="360" w:lineRule="auto"/>
        <w:rPr>
          <w:color w:val="auto"/>
        </w:rPr>
      </w:pPr>
    </w:p>
    <w:p>
      <w:pPr>
        <w:widowControl/>
        <w:spacing w:line="360" w:lineRule="auto"/>
        <w:rPr>
          <w:color w:val="auto"/>
        </w:rPr>
      </w:pPr>
    </w:p>
    <w:p>
      <w:pPr>
        <w:pStyle w:val="3"/>
        <w:spacing w:before="0" w:after="0" w:line="360" w:lineRule="auto"/>
        <w:jc w:val="center"/>
        <w:rPr>
          <w:rFonts w:asciiTheme="minorEastAsia" w:hAnsiTheme="minorEastAsia" w:eastAsiaTheme="minorEastAsia"/>
          <w:color w:val="auto"/>
          <w:sz w:val="21"/>
          <w:szCs w:val="21"/>
        </w:rPr>
      </w:pPr>
      <w:bookmarkStart w:id="53" w:name="_Toc92877450"/>
      <w:r>
        <w:rPr>
          <w:rFonts w:hint="eastAsia" w:asciiTheme="minorEastAsia" w:hAnsiTheme="minorEastAsia" w:eastAsiaTheme="minorEastAsia"/>
          <w:color w:val="auto"/>
          <w:sz w:val="21"/>
          <w:szCs w:val="21"/>
        </w:rPr>
        <w:t>7.</w:t>
      </w:r>
      <w:r>
        <w:rPr>
          <w:rFonts w:asciiTheme="minorEastAsia" w:hAnsiTheme="minorEastAsia" w:eastAsiaTheme="minorEastAsia"/>
          <w:color w:val="auto"/>
          <w:sz w:val="21"/>
          <w:szCs w:val="21"/>
        </w:rPr>
        <w:t>3</w:t>
      </w:r>
      <w:r>
        <w:rPr>
          <w:rFonts w:hint="eastAsia" w:asciiTheme="minorEastAsia" w:hAnsiTheme="minorEastAsia" w:eastAsiaTheme="minorEastAsia"/>
          <w:color w:val="auto"/>
          <w:sz w:val="21"/>
          <w:szCs w:val="21"/>
        </w:rPr>
        <w:t xml:space="preserve"> 给水和</w:t>
      </w:r>
      <w:r>
        <w:rPr>
          <w:rFonts w:asciiTheme="minorEastAsia" w:hAnsiTheme="minorEastAsia" w:eastAsiaTheme="minorEastAsia"/>
          <w:color w:val="auto"/>
          <w:sz w:val="21"/>
          <w:szCs w:val="21"/>
        </w:rPr>
        <w:t>排水</w:t>
      </w:r>
      <w:bookmarkEnd w:id="53"/>
    </w:p>
    <w:p>
      <w:pPr>
        <w:widowControl/>
        <w:spacing w:line="360" w:lineRule="auto"/>
        <w:rPr>
          <w:color w:val="auto"/>
          <w:szCs w:val="21"/>
        </w:rPr>
      </w:pPr>
      <w:r>
        <w:rPr>
          <w:rFonts w:hint="eastAsia"/>
          <w:color w:val="auto"/>
          <w:szCs w:val="21"/>
        </w:rPr>
        <w:t>7</w:t>
      </w:r>
      <w:r>
        <w:rPr>
          <w:color w:val="auto"/>
          <w:szCs w:val="21"/>
        </w:rPr>
        <w:t xml:space="preserve">.3.1 </w:t>
      </w:r>
      <w:r>
        <w:rPr>
          <w:rFonts w:hint="eastAsia"/>
          <w:color w:val="auto"/>
          <w:szCs w:val="21"/>
        </w:rPr>
        <w:t>焚烧处置设施用水宜由由钢铁厂现有设施提供</w:t>
      </w:r>
      <w:r>
        <w:rPr>
          <w:color w:val="auto"/>
          <w:szCs w:val="21"/>
        </w:rPr>
        <w:t>。</w:t>
      </w:r>
    </w:p>
    <w:p>
      <w:pPr>
        <w:widowControl/>
        <w:spacing w:line="360" w:lineRule="auto"/>
        <w:rPr>
          <w:color w:val="auto"/>
          <w:szCs w:val="21"/>
        </w:rPr>
      </w:pPr>
      <w:r>
        <w:rPr>
          <w:rFonts w:hint="eastAsia"/>
          <w:color w:val="auto"/>
          <w:szCs w:val="21"/>
        </w:rPr>
        <w:t>7.3.2消防给水应符合</w:t>
      </w:r>
      <w:r>
        <w:rPr>
          <w:rFonts w:hint="eastAsia"/>
          <w:color w:val="auto"/>
        </w:rPr>
        <w:t>现行</w:t>
      </w:r>
      <w:r>
        <w:rPr>
          <w:rFonts w:hint="eastAsia"/>
          <w:color w:val="auto"/>
          <w:szCs w:val="21"/>
        </w:rPr>
        <w:t>国家标准</w:t>
      </w:r>
      <w:r>
        <w:rPr>
          <w:rFonts w:hint="eastAsia"/>
          <w:color w:val="auto"/>
        </w:rPr>
        <w:t>《</w:t>
      </w:r>
      <w:r>
        <w:rPr>
          <w:color w:val="auto"/>
        </w:rPr>
        <w:t>建筑设计防火规范</w:t>
      </w:r>
      <w:r>
        <w:rPr>
          <w:rFonts w:hint="eastAsia"/>
          <w:color w:val="auto"/>
        </w:rPr>
        <w:t>》</w:t>
      </w:r>
      <w:r>
        <w:rPr>
          <w:color w:val="auto"/>
        </w:rPr>
        <w:t>GB</w:t>
      </w:r>
      <w:r>
        <w:rPr>
          <w:rFonts w:hint="eastAsia"/>
          <w:color w:val="auto"/>
        </w:rPr>
        <w:t xml:space="preserve"> </w:t>
      </w:r>
      <w:r>
        <w:rPr>
          <w:color w:val="auto"/>
        </w:rPr>
        <w:t>50016</w:t>
      </w:r>
      <w:r>
        <w:rPr>
          <w:rFonts w:hint="eastAsia"/>
          <w:color w:val="auto"/>
        </w:rPr>
        <w:t>和</w:t>
      </w:r>
      <w:r>
        <w:rPr>
          <w:color w:val="auto"/>
        </w:rPr>
        <w:t>《</w:t>
      </w:r>
      <w:r>
        <w:rPr>
          <w:rFonts w:hint="eastAsia"/>
          <w:color w:val="auto"/>
        </w:rPr>
        <w:t>钢铁冶金企业设计防火标准》</w:t>
      </w:r>
      <w:r>
        <w:rPr>
          <w:color w:val="auto"/>
        </w:rPr>
        <w:t>GB</w:t>
      </w:r>
      <w:r>
        <w:rPr>
          <w:rFonts w:hint="eastAsia"/>
          <w:color w:val="auto"/>
        </w:rPr>
        <w:t xml:space="preserve"> </w:t>
      </w:r>
      <w:r>
        <w:rPr>
          <w:color w:val="auto"/>
        </w:rPr>
        <w:t>50</w:t>
      </w:r>
      <w:r>
        <w:rPr>
          <w:rFonts w:hint="eastAsia"/>
          <w:color w:val="auto"/>
        </w:rPr>
        <w:t>414的有关规定</w:t>
      </w:r>
      <w:r>
        <w:rPr>
          <w:rFonts w:hint="eastAsia"/>
          <w:color w:val="auto"/>
          <w:szCs w:val="21"/>
        </w:rPr>
        <w:t>。</w:t>
      </w:r>
    </w:p>
    <w:p>
      <w:pPr>
        <w:widowControl/>
        <w:spacing w:line="360" w:lineRule="auto"/>
        <w:rPr>
          <w:color w:val="auto"/>
          <w:szCs w:val="21"/>
        </w:rPr>
      </w:pPr>
      <w:r>
        <w:rPr>
          <w:rFonts w:hint="eastAsia"/>
          <w:color w:val="auto"/>
          <w:szCs w:val="21"/>
        </w:rPr>
        <w:t>7.3.3</w:t>
      </w:r>
      <w:r>
        <w:rPr>
          <w:color w:val="auto"/>
          <w:szCs w:val="21"/>
        </w:rPr>
        <w:t>生产</w:t>
      </w:r>
      <w:r>
        <w:rPr>
          <w:rFonts w:hint="eastAsia"/>
          <w:color w:val="auto"/>
          <w:szCs w:val="21"/>
        </w:rPr>
        <w:t>用</w:t>
      </w:r>
      <w:r>
        <w:rPr>
          <w:color w:val="auto"/>
          <w:szCs w:val="21"/>
        </w:rPr>
        <w:t>水</w:t>
      </w:r>
      <w:r>
        <w:rPr>
          <w:rFonts w:hint="eastAsia"/>
          <w:color w:val="auto"/>
          <w:szCs w:val="21"/>
        </w:rPr>
        <w:t>的水</w:t>
      </w:r>
      <w:r>
        <w:rPr>
          <w:color w:val="auto"/>
          <w:szCs w:val="21"/>
        </w:rPr>
        <w:t>压不</w:t>
      </w:r>
      <w:r>
        <w:rPr>
          <w:rFonts w:hint="eastAsia"/>
          <w:color w:val="auto"/>
          <w:szCs w:val="21"/>
        </w:rPr>
        <w:t>应小</w:t>
      </w:r>
      <w:r>
        <w:rPr>
          <w:color w:val="auto"/>
          <w:szCs w:val="21"/>
        </w:rPr>
        <w:t>于</w:t>
      </w:r>
      <w:r>
        <w:rPr>
          <w:rFonts w:hint="eastAsia"/>
          <w:color w:val="auto"/>
          <w:szCs w:val="21"/>
        </w:rPr>
        <w:t>0.2MP</w:t>
      </w:r>
      <w:r>
        <w:rPr>
          <w:color w:val="auto"/>
          <w:szCs w:val="21"/>
        </w:rPr>
        <w:t>a</w:t>
      </w:r>
      <w:r>
        <w:rPr>
          <w:rFonts w:hint="eastAsia"/>
          <w:color w:val="auto"/>
          <w:szCs w:val="21"/>
        </w:rPr>
        <w:t>。</w:t>
      </w:r>
    </w:p>
    <w:p>
      <w:pPr>
        <w:widowControl/>
        <w:spacing w:line="360" w:lineRule="auto"/>
        <w:rPr>
          <w:color w:val="auto"/>
          <w:szCs w:val="21"/>
        </w:rPr>
      </w:pPr>
      <w:r>
        <w:rPr>
          <w:rFonts w:hint="eastAsia"/>
          <w:color w:val="auto"/>
          <w:szCs w:val="21"/>
        </w:rPr>
        <w:t>7.3.4</w:t>
      </w:r>
      <w:r>
        <w:rPr>
          <w:color w:val="auto"/>
        </w:rPr>
        <w:t>锅炉排污、循环水系统的排</w:t>
      </w:r>
      <w:r>
        <w:rPr>
          <w:rFonts w:hint="eastAsia"/>
          <w:color w:val="auto"/>
        </w:rPr>
        <w:t>污可收集后</w:t>
      </w:r>
      <w:r>
        <w:rPr>
          <w:rFonts w:ascii="宋体" w:hAnsi="宋体"/>
          <w:color w:val="auto"/>
        </w:rPr>
        <w:t>回用</w:t>
      </w:r>
      <w:r>
        <w:rPr>
          <w:rFonts w:hint="eastAsia" w:ascii="宋体" w:hAnsi="宋体"/>
          <w:color w:val="auto"/>
        </w:rPr>
        <w:t>于生产工艺；</w:t>
      </w:r>
      <w:r>
        <w:rPr>
          <w:color w:val="auto"/>
        </w:rPr>
        <w:t>地坪清扫水</w:t>
      </w:r>
      <w:r>
        <w:rPr>
          <w:rFonts w:hint="eastAsia"/>
          <w:color w:val="auto"/>
        </w:rPr>
        <w:t>、</w:t>
      </w:r>
      <w:r>
        <w:rPr>
          <w:color w:val="auto"/>
        </w:rPr>
        <w:t>洗车废水和烟气净化系统排水</w:t>
      </w:r>
      <w:r>
        <w:rPr>
          <w:rFonts w:hint="eastAsia"/>
          <w:color w:val="auto"/>
        </w:rPr>
        <w:t>应收集、</w:t>
      </w:r>
      <w:r>
        <w:rPr>
          <w:color w:val="auto"/>
        </w:rPr>
        <w:t>处理</w:t>
      </w:r>
      <w:r>
        <w:rPr>
          <w:rFonts w:hint="eastAsia"/>
          <w:color w:val="auto"/>
        </w:rPr>
        <w:t>后</w:t>
      </w:r>
      <w:r>
        <w:rPr>
          <w:color w:val="auto"/>
        </w:rPr>
        <w:t>排放</w:t>
      </w:r>
      <w:r>
        <w:rPr>
          <w:rFonts w:hint="eastAsia"/>
          <w:color w:val="auto"/>
        </w:rPr>
        <w:t>或</w:t>
      </w:r>
      <w:r>
        <w:rPr>
          <w:color w:val="auto"/>
        </w:rPr>
        <w:t>回用</w:t>
      </w:r>
      <w:r>
        <w:rPr>
          <w:rFonts w:hint="eastAsia"/>
          <w:color w:val="auto"/>
        </w:rPr>
        <w:t>于生产工艺</w:t>
      </w:r>
      <w:r>
        <w:rPr>
          <w:color w:val="auto"/>
        </w:rPr>
        <w:t>。</w:t>
      </w:r>
    </w:p>
    <w:p>
      <w:pPr>
        <w:widowControl/>
        <w:spacing w:line="360" w:lineRule="auto"/>
        <w:rPr>
          <w:color w:val="auto"/>
          <w:szCs w:val="21"/>
        </w:rPr>
      </w:pPr>
      <w:r>
        <w:rPr>
          <w:rFonts w:hint="eastAsia"/>
          <w:color w:val="auto"/>
          <w:szCs w:val="21"/>
        </w:rPr>
        <w:t>7.3.5生活用水水质应符合现行国家标准《生活饮用水卫生标准》GB5749的有关规定，管道布置应符合现行国家标准</w:t>
      </w:r>
      <w:r>
        <w:rPr>
          <w:color w:val="auto"/>
          <w:szCs w:val="21"/>
        </w:rPr>
        <w:t>《建筑给水排水设计</w:t>
      </w:r>
      <w:r>
        <w:rPr>
          <w:rFonts w:hint="eastAsia"/>
          <w:color w:val="auto"/>
          <w:szCs w:val="21"/>
        </w:rPr>
        <w:t>标准</w:t>
      </w:r>
      <w:r>
        <w:rPr>
          <w:color w:val="auto"/>
          <w:szCs w:val="21"/>
        </w:rPr>
        <w:t>》GB 50015</w:t>
      </w:r>
      <w:r>
        <w:rPr>
          <w:rFonts w:hint="eastAsia"/>
          <w:color w:val="auto"/>
          <w:szCs w:val="21"/>
        </w:rPr>
        <w:t>的有关规定。</w:t>
      </w:r>
    </w:p>
    <w:p>
      <w:pPr>
        <w:pStyle w:val="77"/>
        <w:spacing w:beforeLines="0" w:afterLines="0"/>
        <w:ind w:firstLine="0" w:firstLineChars="0"/>
        <w:rPr>
          <w:color w:val="auto"/>
          <w:sz w:val="21"/>
          <w:szCs w:val="21"/>
        </w:rPr>
      </w:pPr>
      <w:r>
        <w:rPr>
          <w:rFonts w:hint="eastAsia"/>
          <w:color w:val="auto"/>
          <w:szCs w:val="21"/>
        </w:rPr>
        <w:t>7.3.7</w:t>
      </w:r>
      <w:r>
        <w:rPr>
          <w:rFonts w:hint="eastAsia"/>
          <w:color w:val="auto"/>
          <w:sz w:val="21"/>
          <w:szCs w:val="21"/>
        </w:rPr>
        <w:t>设备</w:t>
      </w:r>
      <w:r>
        <w:rPr>
          <w:rFonts w:hint="eastAsia"/>
          <w:color w:val="auto"/>
          <w:kern w:val="2"/>
          <w:sz w:val="21"/>
          <w:szCs w:val="21"/>
        </w:rPr>
        <w:t>冷却水水质应符合现行国家标准《工业循环冷却水处理设计规范》</w:t>
      </w:r>
      <w:r>
        <w:rPr>
          <w:color w:val="auto"/>
          <w:kern w:val="2"/>
          <w:sz w:val="21"/>
        </w:rPr>
        <w:t>GB50050</w:t>
      </w:r>
      <w:r>
        <w:rPr>
          <w:color w:val="auto"/>
          <w:sz w:val="21"/>
          <w:szCs w:val="21"/>
        </w:rPr>
        <w:t>的</w:t>
      </w:r>
      <w:r>
        <w:rPr>
          <w:rFonts w:hint="eastAsia"/>
          <w:color w:val="auto"/>
          <w:sz w:val="21"/>
          <w:szCs w:val="21"/>
        </w:rPr>
        <w:t>相关规定，并应循环利用</w:t>
      </w:r>
      <w:r>
        <w:rPr>
          <w:color w:val="auto"/>
          <w:sz w:val="21"/>
          <w:szCs w:val="21"/>
        </w:rPr>
        <w:t>。</w:t>
      </w:r>
    </w:p>
    <w:p>
      <w:pPr>
        <w:spacing w:line="360" w:lineRule="auto"/>
        <w:rPr>
          <w:color w:val="auto"/>
          <w:szCs w:val="21"/>
        </w:rPr>
      </w:pPr>
      <w:r>
        <w:rPr>
          <w:rFonts w:hint="eastAsia"/>
          <w:color w:val="auto"/>
          <w:szCs w:val="21"/>
        </w:rPr>
        <w:t>7.3.9锅炉用</w:t>
      </w:r>
      <w:r>
        <w:rPr>
          <w:color w:val="auto"/>
          <w:szCs w:val="21"/>
        </w:rPr>
        <w:t>水</w:t>
      </w:r>
      <w:r>
        <w:rPr>
          <w:rFonts w:hint="eastAsia"/>
          <w:color w:val="auto"/>
          <w:szCs w:val="21"/>
        </w:rPr>
        <w:t>应符合现行国家标准《</w:t>
      </w:r>
      <w:r>
        <w:rPr>
          <w:color w:val="auto"/>
          <w:szCs w:val="21"/>
        </w:rPr>
        <w:t>工业锅炉水质</w:t>
      </w:r>
      <w:r>
        <w:rPr>
          <w:rFonts w:hint="eastAsia"/>
          <w:color w:val="auto"/>
          <w:szCs w:val="21"/>
        </w:rPr>
        <w:t>》GB/T 1576的相关规定</w:t>
      </w:r>
      <w:r>
        <w:rPr>
          <w:color w:val="auto"/>
          <w:szCs w:val="21"/>
        </w:rPr>
        <w:t>。</w:t>
      </w:r>
    </w:p>
    <w:p>
      <w:pPr>
        <w:widowControl/>
        <w:spacing w:line="360" w:lineRule="auto"/>
        <w:rPr>
          <w:color w:val="auto"/>
        </w:rPr>
      </w:pPr>
      <w:r>
        <w:rPr>
          <w:rFonts w:hint="eastAsia"/>
          <w:color w:val="auto"/>
        </w:rPr>
        <w:t>7.3.10生产</w:t>
      </w:r>
      <w:r>
        <w:rPr>
          <w:color w:val="auto"/>
        </w:rPr>
        <w:t>区</w:t>
      </w:r>
      <w:r>
        <w:rPr>
          <w:rFonts w:hint="eastAsia"/>
          <w:color w:val="auto"/>
        </w:rPr>
        <w:t>应</w:t>
      </w:r>
      <w:r>
        <w:rPr>
          <w:color w:val="auto"/>
        </w:rPr>
        <w:t>设置事故</w:t>
      </w:r>
      <w:r>
        <w:rPr>
          <w:rFonts w:hint="eastAsia"/>
          <w:color w:val="auto"/>
        </w:rPr>
        <w:t>收集池和初期雨水收集池，</w:t>
      </w:r>
      <w:r>
        <w:rPr>
          <w:color w:val="auto"/>
        </w:rPr>
        <w:t>并应</w:t>
      </w:r>
      <w:r>
        <w:rPr>
          <w:rFonts w:hint="eastAsia"/>
          <w:color w:val="auto"/>
        </w:rPr>
        <w:t>设置处理设施</w:t>
      </w:r>
      <w:r>
        <w:rPr>
          <w:rFonts w:hint="eastAsia"/>
          <w:color w:val="auto"/>
        </w:rPr>
        <w:t>处置</w:t>
      </w:r>
      <w:r>
        <w:rPr>
          <w:rFonts w:hint="eastAsia"/>
          <w:color w:val="auto"/>
          <w:szCs w:val="21"/>
        </w:rPr>
        <w:t>达标</w:t>
      </w:r>
      <w:r>
        <w:rPr>
          <w:color w:val="auto"/>
          <w:szCs w:val="21"/>
        </w:rPr>
        <w:t>排放或回用</w:t>
      </w:r>
      <w:r>
        <w:rPr>
          <w:rFonts w:hint="eastAsia"/>
          <w:color w:val="auto"/>
          <w:szCs w:val="21"/>
        </w:rPr>
        <w:t>。</w:t>
      </w:r>
    </w:p>
    <w:p>
      <w:pPr>
        <w:spacing w:line="360" w:lineRule="auto"/>
        <w:rPr>
          <w:color w:val="auto"/>
          <w:szCs w:val="21"/>
        </w:rPr>
      </w:pPr>
      <w:r>
        <w:rPr>
          <w:rFonts w:hint="eastAsia"/>
          <w:color w:val="auto"/>
        </w:rPr>
        <w:t>7.3.11生产废水及生活污水排放应符合</w:t>
      </w:r>
      <w:r>
        <w:rPr>
          <w:rFonts w:hint="eastAsia"/>
          <w:color w:val="auto"/>
          <w:szCs w:val="21"/>
        </w:rPr>
        <w:t>现行国家标准《</w:t>
      </w:r>
      <w:r>
        <w:rPr>
          <w:rFonts w:hint="eastAsia"/>
          <w:color w:val="auto"/>
        </w:rPr>
        <w:t>钢铁工业水污染排放标准</w:t>
      </w:r>
      <w:r>
        <w:rPr>
          <w:rFonts w:hint="eastAsia"/>
          <w:color w:val="auto"/>
          <w:szCs w:val="21"/>
        </w:rPr>
        <w:t>》GB 13456</w:t>
      </w:r>
      <w:r>
        <w:rPr>
          <w:rFonts w:hint="eastAsia"/>
          <w:color w:val="auto"/>
        </w:rPr>
        <w:t>的有关规定。</w:t>
      </w:r>
    </w:p>
    <w:p>
      <w:pPr>
        <w:widowControl/>
        <w:spacing w:line="360" w:lineRule="auto"/>
        <w:jc w:val="left"/>
        <w:rPr>
          <w:color w:val="auto"/>
        </w:rPr>
      </w:pPr>
    </w:p>
    <w:p>
      <w:pPr>
        <w:widowControl/>
        <w:spacing w:line="360" w:lineRule="auto"/>
        <w:jc w:val="left"/>
        <w:rPr>
          <w:color w:val="auto"/>
          <w:sz w:val="28"/>
          <w:szCs w:val="28"/>
        </w:rPr>
      </w:pPr>
    </w:p>
    <w:p>
      <w:pPr>
        <w:pStyle w:val="3"/>
        <w:spacing w:before="0" w:after="0" w:line="360" w:lineRule="auto"/>
        <w:jc w:val="center"/>
        <w:rPr>
          <w:rFonts w:asciiTheme="minorEastAsia" w:hAnsiTheme="minorEastAsia" w:eastAsiaTheme="minorEastAsia"/>
          <w:color w:val="auto"/>
          <w:sz w:val="21"/>
          <w:szCs w:val="21"/>
        </w:rPr>
      </w:pPr>
      <w:bookmarkStart w:id="54" w:name="_Toc92877451"/>
      <w:r>
        <w:rPr>
          <w:rFonts w:hint="eastAsia" w:asciiTheme="minorEastAsia" w:hAnsiTheme="minorEastAsia" w:eastAsiaTheme="minorEastAsia"/>
          <w:color w:val="auto"/>
          <w:sz w:val="21"/>
          <w:szCs w:val="21"/>
        </w:rPr>
        <w:t>7.</w:t>
      </w:r>
      <w:r>
        <w:rPr>
          <w:rFonts w:asciiTheme="minorEastAsia" w:hAnsiTheme="minorEastAsia" w:eastAsiaTheme="minorEastAsia"/>
          <w:color w:val="auto"/>
          <w:sz w:val="21"/>
          <w:szCs w:val="21"/>
        </w:rPr>
        <w:t>4</w:t>
      </w:r>
      <w:r>
        <w:rPr>
          <w:rFonts w:hint="eastAsia" w:asciiTheme="minorEastAsia" w:hAnsiTheme="minorEastAsia" w:eastAsiaTheme="minorEastAsia"/>
          <w:color w:val="auto"/>
          <w:sz w:val="21"/>
          <w:szCs w:val="21"/>
        </w:rPr>
        <w:t xml:space="preserve"> 采暖</w:t>
      </w:r>
      <w:r>
        <w:rPr>
          <w:rFonts w:asciiTheme="minorEastAsia" w:hAnsiTheme="minorEastAsia" w:eastAsiaTheme="minorEastAsia"/>
          <w:color w:val="auto"/>
          <w:sz w:val="21"/>
          <w:szCs w:val="21"/>
        </w:rPr>
        <w:t>通风与空调</w:t>
      </w:r>
      <w:bookmarkEnd w:id="54"/>
    </w:p>
    <w:p>
      <w:pPr>
        <w:widowControl/>
        <w:spacing w:line="360" w:lineRule="auto"/>
        <w:jc w:val="left"/>
        <w:rPr>
          <w:color w:val="auto"/>
          <w:szCs w:val="21"/>
        </w:rPr>
      </w:pPr>
      <w:r>
        <w:rPr>
          <w:rFonts w:hint="eastAsia"/>
          <w:color w:val="auto"/>
          <w:szCs w:val="21"/>
        </w:rPr>
        <w:t>7.4.1采暖与通风设计除应符合现行国家标准《工业建筑供暖通风与空气调节设计规范》</w:t>
      </w:r>
      <w:r>
        <w:rPr>
          <w:color w:val="auto"/>
          <w:szCs w:val="21"/>
        </w:rPr>
        <w:t xml:space="preserve">GB50019 </w:t>
      </w:r>
      <w:r>
        <w:rPr>
          <w:rFonts w:hint="eastAsia"/>
          <w:color w:val="auto"/>
          <w:szCs w:val="21"/>
        </w:rPr>
        <w:t>的有关规定外，尚应满足下列要求：</w:t>
      </w:r>
    </w:p>
    <w:p>
      <w:pPr>
        <w:widowControl/>
        <w:spacing w:line="360" w:lineRule="auto"/>
        <w:ind w:firstLine="420" w:firstLineChars="200"/>
        <w:rPr>
          <w:color w:val="auto"/>
          <w:szCs w:val="21"/>
        </w:rPr>
      </w:pPr>
      <w:r>
        <w:rPr>
          <w:rFonts w:hint="eastAsia"/>
          <w:color w:val="auto"/>
          <w:szCs w:val="21"/>
        </w:rPr>
        <w:t>1 严寒和寒冷地区的厂房宜按5℃设置值班</w:t>
      </w:r>
      <w:r>
        <w:rPr>
          <w:rFonts w:hint="eastAsia" w:asciiTheme="minorEastAsia" w:hAnsiTheme="minorEastAsia" w:eastAsiaTheme="minorEastAsia"/>
          <w:color w:val="auto"/>
          <w:szCs w:val="21"/>
        </w:rPr>
        <w:t>供</w:t>
      </w:r>
      <w:r>
        <w:rPr>
          <w:rFonts w:hint="eastAsia"/>
          <w:color w:val="auto"/>
          <w:szCs w:val="21"/>
        </w:rPr>
        <w:t>暖，</w:t>
      </w:r>
      <w:r>
        <w:rPr>
          <w:color w:val="auto"/>
          <w:szCs w:val="21"/>
        </w:rPr>
        <w:t>供暖设备</w:t>
      </w:r>
      <w:r>
        <w:rPr>
          <w:rFonts w:hint="eastAsia"/>
          <w:color w:val="auto"/>
          <w:szCs w:val="21"/>
        </w:rPr>
        <w:t>宜</w:t>
      </w:r>
      <w:r>
        <w:rPr>
          <w:color w:val="auto"/>
          <w:szCs w:val="21"/>
        </w:rPr>
        <w:t>采用散热器</w:t>
      </w:r>
      <w:r>
        <w:rPr>
          <w:rFonts w:hint="eastAsia"/>
          <w:color w:val="auto"/>
          <w:szCs w:val="21"/>
        </w:rPr>
        <w:t>；</w:t>
      </w:r>
    </w:p>
    <w:p>
      <w:pPr>
        <w:widowControl/>
        <w:spacing w:line="360" w:lineRule="auto"/>
        <w:ind w:firstLine="420" w:firstLineChars="200"/>
        <w:rPr>
          <w:color w:val="auto"/>
          <w:szCs w:val="21"/>
        </w:rPr>
      </w:pPr>
      <w:r>
        <w:rPr>
          <w:rFonts w:hint="eastAsia"/>
          <w:color w:val="auto"/>
          <w:szCs w:val="21"/>
        </w:rPr>
        <w:t xml:space="preserve">2 </w:t>
      </w:r>
      <w:r>
        <w:rPr>
          <w:rFonts w:hint="eastAsia" w:asciiTheme="minorEastAsia" w:hAnsiTheme="minorEastAsia" w:eastAsiaTheme="minorEastAsia"/>
          <w:color w:val="auto"/>
          <w:szCs w:val="21"/>
        </w:rPr>
        <w:t>散热器宜</w:t>
      </w:r>
      <w:r>
        <w:rPr>
          <w:rFonts w:hint="eastAsia"/>
          <w:color w:val="auto"/>
          <w:szCs w:val="21"/>
        </w:rPr>
        <w:t>易清扫并应具有防腐性能；</w:t>
      </w:r>
    </w:p>
    <w:p>
      <w:pPr>
        <w:widowControl/>
        <w:spacing w:line="360" w:lineRule="auto"/>
        <w:ind w:firstLine="420" w:firstLineChars="200"/>
        <w:rPr>
          <w:color w:val="auto"/>
          <w:szCs w:val="21"/>
        </w:rPr>
      </w:pPr>
      <w:r>
        <w:rPr>
          <w:rFonts w:hint="eastAsia"/>
          <w:color w:val="auto"/>
          <w:szCs w:val="21"/>
        </w:rPr>
        <w:t>3 有余热余湿散发无恶臭的厂房宜采用自然通风方式；</w:t>
      </w:r>
    </w:p>
    <w:p>
      <w:pPr>
        <w:widowControl/>
        <w:spacing w:line="360" w:lineRule="auto"/>
        <w:ind w:firstLine="420" w:firstLineChars="200"/>
        <w:rPr>
          <w:color w:val="auto"/>
          <w:szCs w:val="21"/>
        </w:rPr>
      </w:pPr>
      <w:r>
        <w:rPr>
          <w:rFonts w:hint="eastAsia"/>
          <w:color w:val="auto"/>
          <w:szCs w:val="21"/>
        </w:rPr>
        <w:t>4 有恶臭散发的场所应设置机械排风装置，排风口应均匀布置，排风系统应配置除臭设施；</w:t>
      </w:r>
    </w:p>
    <w:p>
      <w:pPr>
        <w:widowControl/>
        <w:numPr>
          <w:ilvl w:val="255"/>
          <w:numId w:val="0"/>
        </w:numPr>
        <w:spacing w:line="360" w:lineRule="auto"/>
        <w:rPr>
          <w:color w:val="auto"/>
          <w:szCs w:val="21"/>
        </w:rPr>
      </w:pPr>
      <w:r>
        <w:rPr>
          <w:rFonts w:hint="eastAsia"/>
          <w:color w:val="auto"/>
          <w:szCs w:val="21"/>
        </w:rPr>
        <w:t xml:space="preserve">    5 除臭设计应符合现行国家标准《恶臭污染物排放标准》GB14554的有关规定。</w:t>
      </w:r>
    </w:p>
    <w:p>
      <w:pPr>
        <w:widowControl/>
        <w:spacing w:line="360" w:lineRule="auto"/>
        <w:rPr>
          <w:color w:val="auto"/>
          <w:szCs w:val="21"/>
        </w:rPr>
      </w:pPr>
      <w:r>
        <w:rPr>
          <w:rFonts w:hint="eastAsia"/>
          <w:color w:val="auto"/>
          <w:szCs w:val="21"/>
        </w:rPr>
        <w:t>7.4.2 对市内</w:t>
      </w:r>
      <w:r>
        <w:rPr>
          <w:color w:val="auto"/>
          <w:szCs w:val="21"/>
        </w:rPr>
        <w:t>温度有要求的房间应设置空调</w:t>
      </w:r>
      <w:r>
        <w:rPr>
          <w:rFonts w:hint="eastAsia"/>
          <w:color w:val="auto"/>
          <w:szCs w:val="21"/>
        </w:rPr>
        <w:t>，</w:t>
      </w:r>
      <w:r>
        <w:rPr>
          <w:color w:val="auto"/>
          <w:szCs w:val="21"/>
        </w:rPr>
        <w:t>空调系统能力计算应根据</w:t>
      </w:r>
      <w:r>
        <w:rPr>
          <w:rFonts w:hint="eastAsia"/>
          <w:color w:val="auto"/>
          <w:szCs w:val="21"/>
        </w:rPr>
        <w:t>房间容积</w:t>
      </w:r>
      <w:r>
        <w:rPr>
          <w:color w:val="auto"/>
          <w:szCs w:val="21"/>
        </w:rPr>
        <w:t>、气候条件、建筑材料、设备发热量等因素确定</w:t>
      </w:r>
      <w:r>
        <w:rPr>
          <w:rFonts w:hint="eastAsia"/>
          <w:color w:val="auto"/>
          <w:szCs w:val="21"/>
        </w:rPr>
        <w:t>。</w:t>
      </w:r>
    </w:p>
    <w:p>
      <w:pPr>
        <w:widowControl/>
        <w:jc w:val="left"/>
        <w:rPr>
          <w:color w:val="auto"/>
          <w:sz w:val="28"/>
          <w:szCs w:val="28"/>
        </w:rPr>
      </w:pPr>
    </w:p>
    <w:p>
      <w:pPr>
        <w:pStyle w:val="3"/>
        <w:spacing w:before="0" w:after="0" w:line="360" w:lineRule="auto"/>
        <w:jc w:val="center"/>
        <w:rPr>
          <w:rFonts w:asciiTheme="minorEastAsia" w:hAnsiTheme="minorEastAsia" w:eastAsiaTheme="minorEastAsia"/>
          <w:color w:val="auto"/>
          <w:sz w:val="21"/>
          <w:szCs w:val="21"/>
        </w:rPr>
      </w:pPr>
      <w:bookmarkStart w:id="55" w:name="_Toc92877452"/>
      <w:r>
        <w:rPr>
          <w:rFonts w:hint="eastAsia" w:asciiTheme="minorEastAsia" w:hAnsiTheme="minorEastAsia" w:eastAsiaTheme="minorEastAsia"/>
          <w:color w:val="auto"/>
          <w:sz w:val="21"/>
          <w:szCs w:val="21"/>
        </w:rPr>
        <w:t>7.</w:t>
      </w:r>
      <w:r>
        <w:rPr>
          <w:rFonts w:asciiTheme="minorEastAsia" w:hAnsiTheme="minorEastAsia" w:eastAsiaTheme="minorEastAsia"/>
          <w:color w:val="auto"/>
          <w:sz w:val="21"/>
          <w:szCs w:val="21"/>
        </w:rPr>
        <w:t>5</w:t>
      </w:r>
      <w:r>
        <w:rPr>
          <w:rFonts w:hint="eastAsia" w:asciiTheme="minorEastAsia" w:hAnsiTheme="minorEastAsia" w:eastAsiaTheme="minorEastAsia"/>
          <w:color w:val="auto"/>
          <w:sz w:val="21"/>
          <w:szCs w:val="21"/>
        </w:rPr>
        <w:t xml:space="preserve"> 建筑</w:t>
      </w:r>
      <w:r>
        <w:rPr>
          <w:rFonts w:asciiTheme="minorEastAsia" w:hAnsiTheme="minorEastAsia" w:eastAsiaTheme="minorEastAsia"/>
          <w:color w:val="auto"/>
          <w:sz w:val="21"/>
          <w:szCs w:val="21"/>
        </w:rPr>
        <w:t>与结构</w:t>
      </w:r>
      <w:bookmarkEnd w:id="55"/>
    </w:p>
    <w:p>
      <w:pPr>
        <w:widowControl/>
        <w:spacing w:line="360" w:lineRule="auto"/>
        <w:rPr>
          <w:color w:val="auto"/>
        </w:rPr>
      </w:pPr>
      <w:r>
        <w:rPr>
          <w:rFonts w:hint="eastAsia"/>
          <w:color w:val="auto"/>
        </w:rPr>
        <w:t>7.5.1焚烧厂区建筑的造型应简洁、新颖，并与周围环境相协调。</w:t>
      </w:r>
    </w:p>
    <w:p>
      <w:pPr>
        <w:widowControl/>
        <w:spacing w:line="360" w:lineRule="auto"/>
        <w:rPr>
          <w:color w:val="auto"/>
        </w:rPr>
      </w:pPr>
      <w:r>
        <w:rPr>
          <w:rFonts w:hint="eastAsia"/>
          <w:color w:val="auto"/>
        </w:rPr>
        <w:t>7.5.2厂房平面布置和空间布局应满足工艺设备布置要求，应做到采光良好、自然通风，柱距宜统一。</w:t>
      </w:r>
    </w:p>
    <w:p>
      <w:pPr>
        <w:widowControl/>
        <w:spacing w:line="360" w:lineRule="auto"/>
        <w:rPr>
          <w:color w:val="auto"/>
        </w:rPr>
      </w:pPr>
      <w:r>
        <w:rPr>
          <w:rFonts w:hint="eastAsia"/>
          <w:color w:val="auto"/>
        </w:rPr>
        <w:t>7.5.3厂房的围护结构应满足基本热工性能和使用要求。</w:t>
      </w:r>
    </w:p>
    <w:p>
      <w:pPr>
        <w:widowControl/>
        <w:spacing w:line="360" w:lineRule="auto"/>
        <w:rPr>
          <w:color w:val="auto"/>
        </w:rPr>
      </w:pPr>
      <w:r>
        <w:rPr>
          <w:rFonts w:hint="eastAsia"/>
          <w:color w:val="auto"/>
        </w:rPr>
        <w:t>7.5.4厂房的防腐、防渗和消防应符合国家现行相关标准规定。</w:t>
      </w:r>
    </w:p>
    <w:p>
      <w:pPr>
        <w:widowControl/>
        <w:spacing w:line="360" w:lineRule="auto"/>
        <w:rPr>
          <w:color w:val="auto"/>
        </w:rPr>
      </w:pPr>
      <w:r>
        <w:rPr>
          <w:rFonts w:hint="eastAsia"/>
          <w:color w:val="auto"/>
        </w:rPr>
        <w:t>7.5.5危废池应采用钢筋混凝土结构，在地下水位较高的地区应进行抗浮验算；危废池不宜设置变形缝。</w:t>
      </w:r>
    </w:p>
    <w:p>
      <w:pPr>
        <w:widowControl/>
        <w:spacing w:line="360" w:lineRule="auto"/>
        <w:rPr>
          <w:color w:val="auto"/>
        </w:rPr>
      </w:pPr>
      <w:r>
        <w:rPr>
          <w:rFonts w:hint="eastAsia"/>
          <w:color w:val="auto"/>
        </w:rPr>
        <w:t>7.5.6 危废抓斗起重机的吊车梁应按重级工作制设计。</w:t>
      </w:r>
    </w:p>
    <w:p>
      <w:pPr>
        <w:widowControl/>
        <w:spacing w:line="360" w:lineRule="auto"/>
        <w:rPr>
          <w:color w:val="auto"/>
        </w:rPr>
      </w:pPr>
      <w:r>
        <w:rPr>
          <w:rFonts w:hint="eastAsia"/>
          <w:color w:val="auto"/>
        </w:rPr>
        <w:t>7.5.7回转窑基础地基反力不宜出现拉应力。</w:t>
      </w:r>
    </w:p>
    <w:p>
      <w:pPr>
        <w:pStyle w:val="3"/>
        <w:spacing w:before="0" w:after="0" w:line="360" w:lineRule="auto"/>
        <w:jc w:val="center"/>
        <w:rPr>
          <w:rFonts w:asciiTheme="minorEastAsia" w:hAnsiTheme="minorEastAsia" w:eastAsiaTheme="minorEastAsia"/>
          <w:color w:val="auto"/>
          <w:sz w:val="21"/>
          <w:szCs w:val="21"/>
        </w:rPr>
      </w:pPr>
      <w:bookmarkStart w:id="56" w:name="_Toc92877453"/>
      <w:r>
        <w:rPr>
          <w:rFonts w:hint="eastAsia" w:asciiTheme="minorEastAsia" w:hAnsiTheme="minorEastAsia" w:eastAsiaTheme="minorEastAsia"/>
          <w:color w:val="auto"/>
          <w:sz w:val="21"/>
          <w:szCs w:val="21"/>
        </w:rPr>
        <w:t>7.</w:t>
      </w:r>
      <w:r>
        <w:rPr>
          <w:rFonts w:asciiTheme="minorEastAsia" w:hAnsiTheme="minorEastAsia" w:eastAsiaTheme="minorEastAsia"/>
          <w:color w:val="auto"/>
          <w:sz w:val="21"/>
          <w:szCs w:val="21"/>
        </w:rPr>
        <w:t xml:space="preserve">6 </w:t>
      </w:r>
      <w:r>
        <w:rPr>
          <w:rFonts w:hint="eastAsia" w:asciiTheme="minorEastAsia" w:hAnsiTheme="minorEastAsia" w:eastAsiaTheme="minorEastAsia"/>
          <w:color w:val="auto"/>
          <w:sz w:val="21"/>
          <w:szCs w:val="21"/>
        </w:rPr>
        <w:t>电信</w:t>
      </w:r>
      <w:bookmarkEnd w:id="56"/>
    </w:p>
    <w:p>
      <w:pPr>
        <w:widowControl/>
        <w:spacing w:line="360" w:lineRule="auto"/>
        <w:rPr>
          <w:color w:val="auto"/>
        </w:rPr>
      </w:pPr>
      <w:r>
        <w:rPr>
          <w:rFonts w:hint="eastAsia"/>
          <w:color w:val="auto"/>
        </w:rPr>
        <w:t>7.</w:t>
      </w:r>
      <w:r>
        <w:rPr>
          <w:color w:val="auto"/>
        </w:rPr>
        <w:t>6</w:t>
      </w:r>
      <w:r>
        <w:rPr>
          <w:rFonts w:hint="eastAsia"/>
          <w:color w:val="auto"/>
        </w:rPr>
        <w:t>.1电信设施应包括行政调度电话系统、无线对讲系统，工业电视系统，火灾自动报警装置。</w:t>
      </w:r>
    </w:p>
    <w:p>
      <w:pPr>
        <w:widowControl/>
        <w:spacing w:line="360" w:lineRule="auto"/>
        <w:rPr>
          <w:color w:val="auto"/>
        </w:rPr>
      </w:pPr>
      <w:r>
        <w:rPr>
          <w:rFonts w:hint="eastAsia"/>
          <w:color w:val="auto"/>
        </w:rPr>
        <w:t>7.6.2</w:t>
      </w:r>
      <w:r>
        <w:rPr>
          <w:color w:val="auto"/>
        </w:rPr>
        <w:t>烟囱、罐区、废料坑、行车、固体废物进料斗、</w:t>
      </w:r>
      <w:r>
        <w:rPr>
          <w:rFonts w:hint="eastAsia"/>
          <w:color w:val="auto"/>
        </w:rPr>
        <w:t>窑头、出</w:t>
      </w:r>
      <w:r>
        <w:rPr>
          <w:color w:val="auto"/>
        </w:rPr>
        <w:t>渣机、直接喂料泵、余热锅炉汽包、</w:t>
      </w:r>
      <w:r>
        <w:rPr>
          <w:rFonts w:hint="eastAsia"/>
          <w:color w:val="auto"/>
        </w:rPr>
        <w:t>除氧器</w:t>
      </w:r>
      <w:r>
        <w:rPr>
          <w:color w:val="auto"/>
        </w:rPr>
        <w:t>、暂存</w:t>
      </w:r>
      <w:r>
        <w:rPr>
          <w:rFonts w:hint="eastAsia"/>
          <w:color w:val="auto"/>
        </w:rPr>
        <w:t>库</w:t>
      </w:r>
      <w:r>
        <w:rPr>
          <w:color w:val="auto"/>
        </w:rPr>
        <w:t>、风机区域、给水间、人流物流出入口应设置工业电视摄像点。</w:t>
      </w:r>
    </w:p>
    <w:p>
      <w:pPr>
        <w:widowControl/>
        <w:spacing w:line="360" w:lineRule="auto"/>
        <w:rPr>
          <w:color w:val="auto"/>
        </w:rPr>
      </w:pPr>
      <w:r>
        <w:rPr>
          <w:rFonts w:hint="eastAsia"/>
          <w:color w:val="auto"/>
        </w:rPr>
        <w:t>7.6.</w:t>
      </w:r>
      <w:r>
        <w:rPr>
          <w:color w:val="auto"/>
        </w:rPr>
        <w:t>3控制室、配电室、</w:t>
      </w:r>
      <w:r>
        <w:rPr>
          <w:rFonts w:hint="eastAsia"/>
          <w:color w:val="auto"/>
        </w:rPr>
        <w:t>废料坑</w:t>
      </w:r>
      <w:r>
        <w:rPr>
          <w:color w:val="auto"/>
        </w:rPr>
        <w:t>、暂存库、罐区等处</w:t>
      </w:r>
      <w:r>
        <w:rPr>
          <w:rFonts w:hint="eastAsia"/>
          <w:color w:val="auto"/>
        </w:rPr>
        <w:t>应</w:t>
      </w:r>
      <w:r>
        <w:rPr>
          <w:color w:val="auto"/>
        </w:rPr>
        <w:t>设置火灾自动报警系统。</w:t>
      </w:r>
    </w:p>
    <w:p>
      <w:pPr>
        <w:widowControl/>
        <w:spacing w:line="360" w:lineRule="auto"/>
        <w:rPr>
          <w:color w:val="auto"/>
        </w:rPr>
      </w:pPr>
    </w:p>
    <w:p>
      <w:pPr>
        <w:widowControl/>
        <w:jc w:val="left"/>
        <w:rPr>
          <w:color w:val="auto"/>
          <w:sz w:val="28"/>
          <w:szCs w:val="28"/>
        </w:rPr>
      </w:pPr>
    </w:p>
    <w:p>
      <w:pPr>
        <w:widowControl/>
        <w:jc w:val="left"/>
        <w:rPr>
          <w:b/>
          <w:bCs/>
          <w:color w:val="auto"/>
          <w:kern w:val="44"/>
          <w:sz w:val="28"/>
          <w:szCs w:val="28"/>
        </w:rPr>
      </w:pPr>
      <w:r>
        <w:rPr>
          <w:color w:val="auto"/>
          <w:sz w:val="28"/>
          <w:szCs w:val="28"/>
        </w:rPr>
        <w:br w:type="page"/>
      </w:r>
    </w:p>
    <w:p>
      <w:pPr>
        <w:pStyle w:val="2"/>
        <w:spacing w:before="120" w:after="120"/>
        <w:jc w:val="center"/>
        <w:rPr>
          <w:color w:val="auto"/>
          <w:sz w:val="28"/>
          <w:szCs w:val="28"/>
        </w:rPr>
      </w:pPr>
      <w:bookmarkStart w:id="57" w:name="_Toc92877454"/>
      <w:r>
        <w:rPr>
          <w:rFonts w:hint="eastAsia"/>
          <w:color w:val="auto"/>
          <w:sz w:val="28"/>
          <w:szCs w:val="28"/>
        </w:rPr>
        <w:t>8 节能</w:t>
      </w:r>
      <w:r>
        <w:rPr>
          <w:color w:val="auto"/>
          <w:sz w:val="28"/>
          <w:szCs w:val="28"/>
        </w:rPr>
        <w:t>与</w:t>
      </w:r>
      <w:r>
        <w:rPr>
          <w:rFonts w:hint="eastAsia"/>
          <w:color w:val="auto"/>
          <w:sz w:val="28"/>
          <w:szCs w:val="28"/>
        </w:rPr>
        <w:t>环境保护</w:t>
      </w:r>
      <w:bookmarkEnd w:id="57"/>
    </w:p>
    <w:p>
      <w:pPr>
        <w:pStyle w:val="3"/>
        <w:spacing w:before="0" w:after="0" w:line="360" w:lineRule="auto"/>
        <w:jc w:val="center"/>
        <w:rPr>
          <w:rFonts w:asciiTheme="minorEastAsia" w:hAnsiTheme="minorEastAsia" w:eastAsiaTheme="minorEastAsia"/>
          <w:color w:val="auto"/>
          <w:sz w:val="21"/>
          <w:szCs w:val="21"/>
        </w:rPr>
      </w:pPr>
      <w:bookmarkStart w:id="58" w:name="_Toc92877455"/>
      <w:r>
        <w:rPr>
          <w:rFonts w:hint="eastAsia" w:asciiTheme="minorEastAsia" w:hAnsiTheme="minorEastAsia" w:eastAsiaTheme="minorEastAsia"/>
          <w:color w:val="auto"/>
          <w:sz w:val="21"/>
          <w:szCs w:val="21"/>
        </w:rPr>
        <w:t>8.1</w:t>
      </w:r>
      <w:r>
        <w:rPr>
          <w:rFonts w:asciiTheme="minorEastAsia" w:hAnsiTheme="minorEastAsia" w:eastAsiaTheme="minorEastAsia"/>
          <w:color w:val="auto"/>
          <w:sz w:val="21"/>
          <w:szCs w:val="21"/>
        </w:rPr>
        <w:t xml:space="preserve"> </w:t>
      </w:r>
      <w:r>
        <w:rPr>
          <w:rFonts w:hint="eastAsia" w:asciiTheme="minorEastAsia" w:hAnsiTheme="minorEastAsia" w:eastAsiaTheme="minorEastAsia"/>
          <w:color w:val="auto"/>
          <w:sz w:val="21"/>
          <w:szCs w:val="21"/>
        </w:rPr>
        <w:t>节能</w:t>
      </w:r>
      <w:bookmarkEnd w:id="58"/>
    </w:p>
    <w:p>
      <w:pPr>
        <w:spacing w:line="360" w:lineRule="auto"/>
        <w:rPr>
          <w:color w:val="auto"/>
        </w:rPr>
      </w:pPr>
      <w:r>
        <w:rPr>
          <w:rFonts w:hint="eastAsia"/>
          <w:color w:val="auto"/>
        </w:rPr>
        <w:t>8.1.1焚烧</w:t>
      </w:r>
      <w:r>
        <w:rPr>
          <w:color w:val="auto"/>
        </w:rPr>
        <w:t>工程设计应采用</w:t>
      </w:r>
      <w:r>
        <w:rPr>
          <w:rFonts w:hint="eastAsia"/>
          <w:color w:val="auto"/>
        </w:rPr>
        <w:t>先进</w:t>
      </w:r>
      <w:r>
        <w:rPr>
          <w:color w:val="auto"/>
        </w:rPr>
        <w:t>节能的</w:t>
      </w:r>
      <w:r>
        <w:rPr>
          <w:rFonts w:hint="eastAsia"/>
          <w:color w:val="auto"/>
        </w:rPr>
        <w:t>新工艺</w:t>
      </w:r>
      <w:r>
        <w:rPr>
          <w:color w:val="auto"/>
        </w:rPr>
        <w:t>、新技术和新设备，宜建立全厂</w:t>
      </w:r>
      <w:r>
        <w:rPr>
          <w:rFonts w:hint="eastAsia"/>
          <w:color w:val="auto"/>
        </w:rPr>
        <w:t>智</w:t>
      </w:r>
      <w:r>
        <w:rPr>
          <w:color w:val="auto"/>
        </w:rPr>
        <w:t>能协同管控中心，并宜实现从能源数据采集、过程监控-能源介质消耗分析-能源全流程的回收利用、协同平衡、</w:t>
      </w:r>
      <w:r>
        <w:rPr>
          <w:rFonts w:hint="eastAsia"/>
          <w:color w:val="auto"/>
        </w:rPr>
        <w:t>信息化</w:t>
      </w:r>
      <w:r>
        <w:rPr>
          <w:color w:val="auto"/>
        </w:rPr>
        <w:t>综合管理</w:t>
      </w:r>
      <w:r>
        <w:rPr>
          <w:rFonts w:hint="eastAsia"/>
          <w:color w:val="auto"/>
        </w:rPr>
        <w:t>。</w:t>
      </w:r>
    </w:p>
    <w:p>
      <w:pPr>
        <w:spacing w:line="360" w:lineRule="auto"/>
        <w:rPr>
          <w:color w:val="auto"/>
        </w:rPr>
      </w:pPr>
      <w:r>
        <w:rPr>
          <w:rFonts w:hint="eastAsia"/>
          <w:color w:val="auto"/>
        </w:rPr>
        <w:t>8.1.2生产</w:t>
      </w:r>
      <w:r>
        <w:rPr>
          <w:color w:val="auto"/>
        </w:rPr>
        <w:t>工艺、工艺参数、设备选型应节能和高效；大于</w:t>
      </w:r>
      <w:r>
        <w:rPr>
          <w:rFonts w:hint="eastAsia"/>
          <w:color w:val="auto"/>
        </w:rPr>
        <w:t>150℃</w:t>
      </w:r>
      <w:r>
        <w:rPr>
          <w:color w:val="auto"/>
        </w:rPr>
        <w:t>的废气余热宜全部回收利用。</w:t>
      </w:r>
    </w:p>
    <w:p>
      <w:pPr>
        <w:spacing w:line="360" w:lineRule="auto"/>
        <w:rPr>
          <w:color w:val="auto"/>
        </w:rPr>
      </w:pPr>
      <w:r>
        <w:rPr>
          <w:color w:val="auto"/>
        </w:rPr>
        <w:t>8.1.3</w:t>
      </w:r>
      <w:r>
        <w:rPr>
          <w:rFonts w:hint="eastAsia"/>
          <w:color w:val="auto"/>
        </w:rPr>
        <w:t>节能</w:t>
      </w:r>
      <w:r>
        <w:rPr>
          <w:color w:val="auto"/>
        </w:rPr>
        <w:t>设计应采取减少散热损失和漏风</w:t>
      </w:r>
      <w:r>
        <w:rPr>
          <w:rFonts w:hint="eastAsia"/>
          <w:color w:val="auto"/>
        </w:rPr>
        <w:t>措施</w:t>
      </w:r>
      <w:r>
        <w:rPr>
          <w:color w:val="auto"/>
        </w:rPr>
        <w:t>。</w:t>
      </w:r>
    </w:p>
    <w:p>
      <w:pPr>
        <w:spacing w:line="360" w:lineRule="auto"/>
        <w:rPr>
          <w:color w:val="auto"/>
        </w:rPr>
      </w:pPr>
      <w:r>
        <w:rPr>
          <w:color w:val="auto"/>
        </w:rPr>
        <w:t>8.1.4</w:t>
      </w:r>
      <w:r>
        <w:rPr>
          <w:rFonts w:hint="eastAsia"/>
          <w:color w:val="auto"/>
        </w:rPr>
        <w:t>大于250kW的电机</w:t>
      </w:r>
      <w:r>
        <w:rPr>
          <w:color w:val="auto"/>
        </w:rPr>
        <w:t>应采用高压供电和低损耗型变压器。焚烧工程应采用</w:t>
      </w:r>
      <w:r>
        <w:rPr>
          <w:rFonts w:hint="eastAsia"/>
          <w:color w:val="auto"/>
        </w:rPr>
        <w:t>先进</w:t>
      </w:r>
      <w:r>
        <w:rPr>
          <w:color w:val="auto"/>
        </w:rPr>
        <w:t>的自动化生产和管理系统。</w:t>
      </w:r>
    </w:p>
    <w:p>
      <w:pPr>
        <w:spacing w:line="360" w:lineRule="auto"/>
        <w:rPr>
          <w:color w:val="auto"/>
        </w:rPr>
      </w:pPr>
      <w:r>
        <w:rPr>
          <w:color w:val="auto"/>
        </w:rPr>
        <w:t>8.1.5</w:t>
      </w:r>
      <w:r>
        <w:rPr>
          <w:rFonts w:hint="eastAsia"/>
          <w:color w:val="auto"/>
        </w:rPr>
        <w:t>生产</w:t>
      </w:r>
      <w:r>
        <w:rPr>
          <w:color w:val="auto"/>
        </w:rPr>
        <w:t>过程中</w:t>
      </w:r>
      <w:r>
        <w:rPr>
          <w:rFonts w:hint="eastAsia"/>
          <w:color w:val="auto"/>
        </w:rPr>
        <w:t>产生</w:t>
      </w:r>
      <w:r>
        <w:rPr>
          <w:color w:val="auto"/>
        </w:rPr>
        <w:t>的漏料、</w:t>
      </w:r>
      <w:r>
        <w:rPr>
          <w:rFonts w:hint="eastAsia"/>
          <w:color w:val="auto"/>
        </w:rPr>
        <w:t>粉尘</w:t>
      </w:r>
      <w:r>
        <w:rPr>
          <w:color w:val="auto"/>
        </w:rPr>
        <w:t>、残渣</w:t>
      </w:r>
      <w:r>
        <w:rPr>
          <w:rFonts w:hint="eastAsia"/>
          <w:color w:val="auto"/>
        </w:rPr>
        <w:t>、</w:t>
      </w:r>
      <w:r>
        <w:rPr>
          <w:color w:val="auto"/>
        </w:rPr>
        <w:t>余热等应利用。</w:t>
      </w:r>
    </w:p>
    <w:p>
      <w:pPr>
        <w:rPr>
          <w:color w:val="auto"/>
        </w:rPr>
      </w:pPr>
    </w:p>
    <w:p>
      <w:pPr>
        <w:pStyle w:val="3"/>
        <w:spacing w:before="0" w:after="0" w:line="360" w:lineRule="auto"/>
        <w:jc w:val="center"/>
        <w:rPr>
          <w:rFonts w:asciiTheme="minorEastAsia" w:hAnsiTheme="minorEastAsia" w:eastAsiaTheme="minorEastAsia"/>
          <w:color w:val="auto"/>
          <w:sz w:val="21"/>
          <w:szCs w:val="21"/>
        </w:rPr>
      </w:pPr>
      <w:bookmarkStart w:id="59" w:name="_Toc92877456"/>
      <w:r>
        <w:rPr>
          <w:rFonts w:hint="eastAsia" w:asciiTheme="minorEastAsia" w:hAnsiTheme="minorEastAsia" w:eastAsiaTheme="minorEastAsia"/>
          <w:color w:val="auto"/>
          <w:sz w:val="21"/>
          <w:szCs w:val="21"/>
        </w:rPr>
        <w:t>8.2</w:t>
      </w:r>
      <w:r>
        <w:rPr>
          <w:rFonts w:asciiTheme="minorEastAsia" w:hAnsiTheme="minorEastAsia" w:eastAsiaTheme="minorEastAsia"/>
          <w:color w:val="auto"/>
          <w:sz w:val="21"/>
          <w:szCs w:val="21"/>
        </w:rPr>
        <w:t xml:space="preserve"> </w:t>
      </w:r>
      <w:r>
        <w:rPr>
          <w:rFonts w:hint="eastAsia" w:asciiTheme="minorEastAsia" w:hAnsiTheme="minorEastAsia" w:eastAsiaTheme="minorEastAsia"/>
          <w:color w:val="auto"/>
          <w:sz w:val="21"/>
          <w:szCs w:val="21"/>
        </w:rPr>
        <w:t>环境</w:t>
      </w:r>
      <w:r>
        <w:rPr>
          <w:rFonts w:asciiTheme="minorEastAsia" w:hAnsiTheme="minorEastAsia" w:eastAsiaTheme="minorEastAsia"/>
          <w:color w:val="auto"/>
          <w:sz w:val="21"/>
          <w:szCs w:val="21"/>
        </w:rPr>
        <w:t>保护</w:t>
      </w:r>
      <w:bookmarkEnd w:id="59"/>
    </w:p>
    <w:p>
      <w:pPr>
        <w:spacing w:line="360" w:lineRule="auto"/>
        <w:rPr>
          <w:color w:val="auto"/>
        </w:rPr>
      </w:pPr>
      <w:r>
        <w:rPr>
          <w:color w:val="auto"/>
        </w:rPr>
        <w:t xml:space="preserve">8.2.1 </w:t>
      </w:r>
      <w:r>
        <w:rPr>
          <w:rFonts w:hint="eastAsia"/>
          <w:color w:val="auto"/>
        </w:rPr>
        <w:t>环境保护设计应包括废气控制、污水处理、噪声治理及固体废物处置</w:t>
      </w:r>
      <w:r>
        <w:rPr>
          <w:color w:val="auto"/>
        </w:rPr>
        <w:t>，排放控制应满足现行国家标准要求</w:t>
      </w:r>
      <w:r>
        <w:rPr>
          <w:rFonts w:hint="eastAsia"/>
          <w:color w:val="auto"/>
        </w:rPr>
        <w:t>。</w:t>
      </w:r>
    </w:p>
    <w:p>
      <w:pPr>
        <w:spacing w:line="360" w:lineRule="auto"/>
        <w:rPr>
          <w:color w:val="auto"/>
        </w:rPr>
      </w:pPr>
      <w:r>
        <w:rPr>
          <w:rFonts w:hint="eastAsia"/>
          <w:color w:val="auto"/>
        </w:rPr>
        <w:t>8.2.</w:t>
      </w:r>
      <w:r>
        <w:rPr>
          <w:color w:val="auto"/>
        </w:rPr>
        <w:t xml:space="preserve">2 </w:t>
      </w:r>
      <w:r>
        <w:rPr>
          <w:rFonts w:hint="eastAsia"/>
          <w:color w:val="auto"/>
        </w:rPr>
        <w:t>废气</w:t>
      </w:r>
      <w:r>
        <w:rPr>
          <w:color w:val="auto"/>
        </w:rPr>
        <w:t>控制应</w:t>
      </w:r>
      <w:r>
        <w:rPr>
          <w:rFonts w:hint="eastAsia"/>
          <w:color w:val="auto"/>
        </w:rPr>
        <w:t>符合</w:t>
      </w:r>
      <w:r>
        <w:rPr>
          <w:color w:val="auto"/>
        </w:rPr>
        <w:t>下列规定：</w:t>
      </w:r>
    </w:p>
    <w:p>
      <w:pPr>
        <w:spacing w:line="360" w:lineRule="auto"/>
        <w:ind w:firstLine="420" w:firstLineChars="200"/>
        <w:rPr>
          <w:color w:val="auto"/>
        </w:rPr>
      </w:pPr>
      <w:r>
        <w:rPr>
          <w:rFonts w:hint="eastAsia"/>
          <w:color w:val="auto"/>
        </w:rPr>
        <w:t>1</w:t>
      </w:r>
      <w:r>
        <w:rPr>
          <w:color w:val="auto"/>
        </w:rPr>
        <w:t xml:space="preserve"> </w:t>
      </w:r>
      <w:r>
        <w:rPr>
          <w:rFonts w:hint="eastAsia"/>
          <w:color w:val="auto"/>
        </w:rPr>
        <w:t>贮存废气应采取净化设施；</w:t>
      </w:r>
    </w:p>
    <w:p>
      <w:pPr>
        <w:spacing w:line="360" w:lineRule="auto"/>
        <w:ind w:firstLine="420" w:firstLineChars="200"/>
        <w:rPr>
          <w:color w:val="auto"/>
        </w:rPr>
      </w:pPr>
      <w:r>
        <w:rPr>
          <w:rFonts w:hint="eastAsia"/>
          <w:color w:val="auto"/>
        </w:rPr>
        <w:t>2 挥发性有机物的贮存、运输、预处理应符合现行国家标准《挥发性有机物无组织排放控制标准》GB</w:t>
      </w:r>
      <w:r>
        <w:rPr>
          <w:color w:val="auto"/>
        </w:rPr>
        <w:t xml:space="preserve"> </w:t>
      </w:r>
      <w:r>
        <w:rPr>
          <w:rFonts w:hint="eastAsia"/>
          <w:color w:val="auto"/>
        </w:rPr>
        <w:t>37822中的有关规定；</w:t>
      </w:r>
    </w:p>
    <w:p>
      <w:pPr>
        <w:spacing w:line="360" w:lineRule="auto"/>
        <w:ind w:firstLine="420" w:firstLineChars="200"/>
        <w:rPr>
          <w:color w:val="auto"/>
        </w:rPr>
      </w:pPr>
      <w:r>
        <w:rPr>
          <w:rFonts w:hint="eastAsia"/>
          <w:color w:val="auto"/>
        </w:rPr>
        <w:t>3 焚烧烟气</w:t>
      </w:r>
      <w:r>
        <w:rPr>
          <w:color w:val="auto"/>
        </w:rPr>
        <w:t>排放应符合</w:t>
      </w:r>
      <w:r>
        <w:rPr>
          <w:rFonts w:hint="eastAsia"/>
          <w:color w:val="auto"/>
        </w:rPr>
        <w:t>现行国家标准</w:t>
      </w:r>
      <w:r>
        <w:rPr>
          <w:color w:val="auto"/>
        </w:rPr>
        <w:t>《危险废物焚烧污染控制标准》GB18484 中的有关规定。</w:t>
      </w:r>
    </w:p>
    <w:p>
      <w:pPr>
        <w:spacing w:line="360" w:lineRule="auto"/>
        <w:rPr>
          <w:color w:val="auto"/>
        </w:rPr>
      </w:pPr>
      <w:r>
        <w:rPr>
          <w:rFonts w:hint="eastAsia"/>
          <w:color w:val="auto"/>
        </w:rPr>
        <w:t>8.2.</w:t>
      </w:r>
      <w:r>
        <w:rPr>
          <w:color w:val="auto"/>
        </w:rPr>
        <w:t xml:space="preserve">3 </w:t>
      </w:r>
      <w:r>
        <w:rPr>
          <w:rFonts w:hint="eastAsia"/>
          <w:color w:val="auto"/>
        </w:rPr>
        <w:t>污水处理应符合下列规定：</w:t>
      </w:r>
    </w:p>
    <w:p>
      <w:pPr>
        <w:spacing w:line="360" w:lineRule="auto"/>
        <w:ind w:firstLine="420" w:firstLineChars="200"/>
        <w:rPr>
          <w:color w:val="auto"/>
        </w:rPr>
      </w:pPr>
      <w:r>
        <w:rPr>
          <w:rFonts w:hint="eastAsia"/>
          <w:color w:val="auto"/>
        </w:rPr>
        <w:t>1 生活和生产污水、废水应处理后综合回用；</w:t>
      </w:r>
    </w:p>
    <w:p>
      <w:pPr>
        <w:spacing w:line="360" w:lineRule="auto"/>
        <w:ind w:firstLine="420" w:firstLineChars="200"/>
        <w:rPr>
          <w:color w:val="auto"/>
        </w:rPr>
      </w:pPr>
      <w:r>
        <w:rPr>
          <w:rFonts w:hint="eastAsia"/>
          <w:color w:val="auto"/>
        </w:rPr>
        <w:t>2 地坪不应采用水冲洗，应采用洒水清扫方式。</w:t>
      </w:r>
    </w:p>
    <w:p>
      <w:pPr>
        <w:spacing w:line="360" w:lineRule="auto"/>
        <w:rPr>
          <w:color w:val="auto"/>
        </w:rPr>
      </w:pPr>
      <w:r>
        <w:rPr>
          <w:rFonts w:hint="eastAsia"/>
          <w:color w:val="auto"/>
        </w:rPr>
        <w:t>8.2.</w:t>
      </w:r>
      <w:r>
        <w:rPr>
          <w:color w:val="auto"/>
        </w:rPr>
        <w:t xml:space="preserve">4 </w:t>
      </w:r>
      <w:r>
        <w:rPr>
          <w:rFonts w:hint="eastAsia"/>
          <w:color w:val="auto"/>
        </w:rPr>
        <w:t>噪声治理应符合下列规定：</w:t>
      </w:r>
    </w:p>
    <w:p>
      <w:pPr>
        <w:spacing w:line="360" w:lineRule="auto"/>
        <w:ind w:firstLine="420" w:firstLineChars="200"/>
        <w:rPr>
          <w:color w:val="auto"/>
        </w:rPr>
      </w:pPr>
      <w:r>
        <w:rPr>
          <w:rFonts w:hint="eastAsia"/>
          <w:color w:val="auto"/>
        </w:rPr>
        <w:t xml:space="preserve">1 </w:t>
      </w:r>
      <w:r>
        <w:rPr>
          <w:color w:val="auto"/>
        </w:rPr>
        <w:t>应选用</w:t>
      </w:r>
      <w:r>
        <w:rPr>
          <w:rFonts w:hint="eastAsia"/>
          <w:color w:val="auto"/>
        </w:rPr>
        <w:t>低噪声工艺和低噪声设备；</w:t>
      </w:r>
    </w:p>
    <w:p>
      <w:pPr>
        <w:spacing w:line="360" w:lineRule="auto"/>
        <w:ind w:firstLine="420" w:firstLineChars="200"/>
        <w:rPr>
          <w:color w:val="auto"/>
        </w:rPr>
      </w:pPr>
      <w:r>
        <w:rPr>
          <w:rFonts w:hint="eastAsia"/>
          <w:color w:val="auto"/>
        </w:rPr>
        <w:t>2 对高噪声设备应采取消声、隔声、减振等措施，噪声排放应符合现行国家标准《工业企业厂界环境噪声排放标准》GB 12348的有关规定。</w:t>
      </w:r>
    </w:p>
    <w:p>
      <w:pPr>
        <w:spacing w:line="360" w:lineRule="auto"/>
        <w:rPr>
          <w:color w:val="auto"/>
        </w:rPr>
      </w:pPr>
      <w:r>
        <w:rPr>
          <w:color w:val="auto"/>
        </w:rPr>
        <w:t xml:space="preserve">8.2.5 </w:t>
      </w:r>
      <w:r>
        <w:rPr>
          <w:rFonts w:hint="eastAsia"/>
          <w:color w:val="auto"/>
        </w:rPr>
        <w:t>固体废物处置</w:t>
      </w:r>
      <w:r>
        <w:rPr>
          <w:color w:val="auto"/>
        </w:rPr>
        <w:t>应符合下列规定：</w:t>
      </w:r>
    </w:p>
    <w:p>
      <w:pPr>
        <w:spacing w:line="360" w:lineRule="auto"/>
        <w:ind w:firstLine="420" w:firstLineChars="200"/>
        <w:rPr>
          <w:color w:val="auto"/>
        </w:rPr>
      </w:pPr>
      <w:r>
        <w:rPr>
          <w:color w:val="auto"/>
        </w:rPr>
        <w:t xml:space="preserve">1 </w:t>
      </w:r>
      <w:r>
        <w:rPr>
          <w:rFonts w:hint="eastAsia"/>
          <w:color w:val="auto"/>
        </w:rPr>
        <w:t>焚烧残余物及其他固体废物，应根据国家危险废物名录和国家规定的危险废物鉴别标准等进行属性判定，其贮存和利用处置应按照相应处置标准执行；</w:t>
      </w:r>
    </w:p>
    <w:p>
      <w:pPr>
        <w:spacing w:line="360" w:lineRule="auto"/>
        <w:ind w:firstLine="420" w:firstLineChars="200"/>
        <w:rPr>
          <w:color w:val="auto"/>
        </w:rPr>
      </w:pPr>
      <w:r>
        <w:rPr>
          <w:color w:val="auto"/>
        </w:rPr>
        <w:t xml:space="preserve">2 </w:t>
      </w:r>
      <w:r>
        <w:rPr>
          <w:rFonts w:hint="eastAsia"/>
          <w:color w:val="auto"/>
        </w:rPr>
        <w:t>其他固体废物宜采用厂内设施协同资源化处置。</w:t>
      </w:r>
    </w:p>
    <w:p>
      <w:pPr>
        <w:spacing w:line="360" w:lineRule="auto"/>
        <w:rPr>
          <w:b/>
          <w:bCs/>
          <w:color w:val="auto"/>
          <w:kern w:val="44"/>
          <w:sz w:val="28"/>
          <w:szCs w:val="28"/>
        </w:rPr>
      </w:pPr>
      <w:r>
        <w:rPr>
          <w:rFonts w:hint="eastAsia"/>
          <w:color w:val="auto"/>
        </w:rPr>
        <w:t>8.2.</w:t>
      </w:r>
      <w:r>
        <w:rPr>
          <w:color w:val="auto"/>
        </w:rPr>
        <w:t xml:space="preserve">6 </w:t>
      </w:r>
      <w:r>
        <w:rPr>
          <w:rFonts w:hint="eastAsia"/>
          <w:color w:val="auto"/>
        </w:rPr>
        <w:t>环境保护设施应与主体工程同时设计、同时施工、同时投产使用。</w:t>
      </w:r>
    </w:p>
    <w:p>
      <w:pPr>
        <w:widowControl/>
        <w:jc w:val="left"/>
        <w:rPr>
          <w:b/>
          <w:bCs/>
          <w:color w:val="auto"/>
          <w:kern w:val="44"/>
          <w:sz w:val="28"/>
          <w:szCs w:val="28"/>
        </w:rPr>
      </w:pPr>
      <w:r>
        <w:rPr>
          <w:b/>
          <w:bCs/>
          <w:color w:val="auto"/>
          <w:kern w:val="44"/>
          <w:sz w:val="28"/>
          <w:szCs w:val="28"/>
        </w:rPr>
        <w:br w:type="page"/>
      </w:r>
    </w:p>
    <w:p>
      <w:pPr>
        <w:pStyle w:val="2"/>
        <w:spacing w:before="120" w:after="120"/>
        <w:jc w:val="center"/>
        <w:rPr>
          <w:color w:val="auto"/>
          <w:sz w:val="28"/>
          <w:szCs w:val="28"/>
        </w:rPr>
      </w:pPr>
      <w:bookmarkStart w:id="60" w:name="_Toc92877457"/>
      <w:r>
        <w:rPr>
          <w:rFonts w:hint="eastAsia"/>
          <w:color w:val="auto"/>
          <w:sz w:val="28"/>
          <w:szCs w:val="28"/>
        </w:rPr>
        <w:t xml:space="preserve">9 </w:t>
      </w:r>
      <w:bookmarkEnd w:id="60"/>
      <w:r>
        <w:rPr>
          <w:rFonts w:hint="eastAsia"/>
          <w:color w:val="auto"/>
          <w:sz w:val="28"/>
          <w:szCs w:val="28"/>
        </w:rPr>
        <w:t>劳动安全</w:t>
      </w:r>
      <w:r>
        <w:rPr>
          <w:color w:val="auto"/>
          <w:sz w:val="28"/>
          <w:szCs w:val="28"/>
        </w:rPr>
        <w:t>、职业卫生与消防</w:t>
      </w:r>
    </w:p>
    <w:p>
      <w:pPr>
        <w:pStyle w:val="3"/>
        <w:spacing w:before="0" w:after="0" w:line="360" w:lineRule="auto"/>
        <w:jc w:val="center"/>
        <w:rPr>
          <w:rFonts w:asciiTheme="minorEastAsia" w:hAnsiTheme="minorEastAsia" w:eastAsiaTheme="minorEastAsia"/>
          <w:color w:val="auto"/>
          <w:sz w:val="21"/>
          <w:szCs w:val="21"/>
        </w:rPr>
      </w:pPr>
      <w:bookmarkStart w:id="61" w:name="_Toc92877458"/>
      <w:r>
        <w:rPr>
          <w:rFonts w:asciiTheme="minorEastAsia" w:hAnsiTheme="minorEastAsia" w:eastAsiaTheme="minorEastAsia"/>
          <w:color w:val="auto"/>
          <w:sz w:val="21"/>
          <w:szCs w:val="21"/>
        </w:rPr>
        <w:t xml:space="preserve">9.1 </w:t>
      </w:r>
      <w:r>
        <w:rPr>
          <w:rFonts w:hint="eastAsia" w:asciiTheme="minorEastAsia" w:hAnsiTheme="minorEastAsia" w:eastAsiaTheme="minorEastAsia"/>
          <w:color w:val="auto"/>
          <w:sz w:val="21"/>
          <w:szCs w:val="21"/>
        </w:rPr>
        <w:t>一般</w:t>
      </w:r>
      <w:r>
        <w:rPr>
          <w:rFonts w:asciiTheme="minorEastAsia" w:hAnsiTheme="minorEastAsia" w:eastAsiaTheme="minorEastAsia"/>
          <w:color w:val="auto"/>
          <w:sz w:val="21"/>
          <w:szCs w:val="21"/>
        </w:rPr>
        <w:t>规定</w:t>
      </w:r>
      <w:bookmarkEnd w:id="61"/>
    </w:p>
    <w:p>
      <w:pPr>
        <w:spacing w:line="360" w:lineRule="auto"/>
        <w:rPr>
          <w:color w:val="auto"/>
        </w:rPr>
      </w:pPr>
      <w:r>
        <w:rPr>
          <w:color w:val="auto"/>
        </w:rPr>
        <w:t>9</w:t>
      </w:r>
      <w:r>
        <w:rPr>
          <w:rFonts w:hint="eastAsia"/>
          <w:color w:val="auto"/>
        </w:rPr>
        <w:t>.1.1钢铁厂</w:t>
      </w:r>
      <w:r>
        <w:rPr>
          <w:rFonts w:hint="eastAsia"/>
          <w:color w:val="auto"/>
          <w:szCs w:val="21"/>
        </w:rPr>
        <w:t>危险废物</w:t>
      </w:r>
      <w:r>
        <w:rPr>
          <w:color w:val="auto"/>
        </w:rPr>
        <w:t>焚烧</w:t>
      </w:r>
      <w:r>
        <w:rPr>
          <w:rFonts w:hint="eastAsia"/>
          <w:color w:val="auto"/>
        </w:rPr>
        <w:t>工程</w:t>
      </w:r>
      <w:r>
        <w:rPr>
          <w:color w:val="auto"/>
        </w:rPr>
        <w:t>设计应</w:t>
      </w:r>
      <w:r>
        <w:rPr>
          <w:rFonts w:hint="eastAsia"/>
          <w:color w:val="auto"/>
        </w:rPr>
        <w:t>包括劳动安全、职业卫生与消防</w:t>
      </w:r>
      <w:r>
        <w:rPr>
          <w:color w:val="auto"/>
        </w:rPr>
        <w:t>，并</w:t>
      </w:r>
      <w:r>
        <w:rPr>
          <w:rFonts w:hint="eastAsia"/>
          <w:color w:val="auto"/>
        </w:rPr>
        <w:t>应</w:t>
      </w:r>
      <w:r>
        <w:rPr>
          <w:color w:val="auto"/>
        </w:rPr>
        <w:t>在初步设计时单独成</w:t>
      </w:r>
      <w:r>
        <w:rPr>
          <w:rFonts w:hint="eastAsia"/>
          <w:color w:val="auto"/>
        </w:rPr>
        <w:t>篇</w:t>
      </w:r>
      <w:r>
        <w:rPr>
          <w:color w:val="auto"/>
        </w:rPr>
        <w:t>，其内容应</w:t>
      </w:r>
      <w:r>
        <w:rPr>
          <w:rFonts w:hint="eastAsia"/>
          <w:color w:val="auto"/>
        </w:rPr>
        <w:t>满足</w:t>
      </w:r>
      <w:r>
        <w:rPr>
          <w:color w:val="auto"/>
        </w:rPr>
        <w:t>国家规定的相关标准和编制要求。</w:t>
      </w:r>
    </w:p>
    <w:p>
      <w:pPr>
        <w:spacing w:line="360" w:lineRule="auto"/>
        <w:rPr>
          <w:color w:val="auto"/>
        </w:rPr>
      </w:pPr>
      <w:r>
        <w:rPr>
          <w:color w:val="auto"/>
        </w:rPr>
        <w:t>9.1.2</w:t>
      </w:r>
      <w:r>
        <w:rPr>
          <w:rFonts w:hint="eastAsia"/>
          <w:color w:val="auto"/>
        </w:rPr>
        <w:t>劳动安全、职业卫生与消防设施</w:t>
      </w:r>
      <w:r>
        <w:rPr>
          <w:color w:val="auto"/>
        </w:rPr>
        <w:t>应与</w:t>
      </w:r>
      <w:r>
        <w:rPr>
          <w:rFonts w:hint="eastAsia"/>
          <w:color w:val="auto"/>
        </w:rPr>
        <w:t>主体</w:t>
      </w:r>
      <w:r>
        <w:rPr>
          <w:color w:val="auto"/>
        </w:rPr>
        <w:t>工程同时设计、同时施工、同时投产使用。</w:t>
      </w:r>
    </w:p>
    <w:p>
      <w:pPr>
        <w:rPr>
          <w:color w:val="auto"/>
        </w:rPr>
      </w:pPr>
    </w:p>
    <w:p>
      <w:pPr>
        <w:pStyle w:val="3"/>
        <w:spacing w:before="0" w:after="0" w:line="360" w:lineRule="auto"/>
        <w:jc w:val="center"/>
        <w:rPr>
          <w:rFonts w:asciiTheme="minorEastAsia" w:hAnsiTheme="minorEastAsia" w:eastAsiaTheme="minorEastAsia"/>
          <w:color w:val="auto"/>
          <w:sz w:val="21"/>
          <w:szCs w:val="21"/>
        </w:rPr>
      </w:pPr>
      <w:bookmarkStart w:id="62" w:name="_Toc92877459"/>
      <w:r>
        <w:rPr>
          <w:rFonts w:asciiTheme="minorEastAsia" w:hAnsiTheme="minorEastAsia" w:eastAsiaTheme="minorEastAsia"/>
          <w:color w:val="auto"/>
          <w:sz w:val="21"/>
          <w:szCs w:val="21"/>
        </w:rPr>
        <w:t>9</w:t>
      </w:r>
      <w:r>
        <w:rPr>
          <w:rFonts w:hint="eastAsia" w:asciiTheme="minorEastAsia" w:hAnsiTheme="minorEastAsia" w:eastAsiaTheme="minorEastAsia"/>
          <w:color w:val="auto"/>
          <w:sz w:val="21"/>
          <w:szCs w:val="21"/>
        </w:rPr>
        <w:t xml:space="preserve">.2 </w:t>
      </w:r>
      <w:r>
        <w:rPr>
          <w:rFonts w:asciiTheme="minorEastAsia" w:hAnsiTheme="minorEastAsia" w:eastAsiaTheme="minorEastAsia"/>
          <w:color w:val="auto"/>
          <w:sz w:val="21"/>
          <w:szCs w:val="21"/>
        </w:rPr>
        <w:t>劳动安全</w:t>
      </w:r>
      <w:r>
        <w:rPr>
          <w:rFonts w:hint="eastAsia" w:asciiTheme="minorEastAsia" w:hAnsiTheme="minorEastAsia" w:eastAsiaTheme="minorEastAsia"/>
          <w:color w:val="auto"/>
          <w:sz w:val="21"/>
          <w:szCs w:val="21"/>
        </w:rPr>
        <w:t>职业</w:t>
      </w:r>
      <w:r>
        <w:rPr>
          <w:rFonts w:asciiTheme="minorEastAsia" w:hAnsiTheme="minorEastAsia" w:eastAsiaTheme="minorEastAsia"/>
          <w:color w:val="auto"/>
          <w:sz w:val="21"/>
          <w:szCs w:val="21"/>
        </w:rPr>
        <w:t>与卫生</w:t>
      </w:r>
    </w:p>
    <w:p>
      <w:pPr>
        <w:spacing w:line="360" w:lineRule="auto"/>
        <w:rPr>
          <w:color w:val="auto"/>
        </w:rPr>
      </w:pPr>
      <w:r>
        <w:rPr>
          <w:rFonts w:hint="eastAsia"/>
          <w:color w:val="auto"/>
        </w:rPr>
        <w:t>9.2.1</w:t>
      </w:r>
      <w:r>
        <w:rPr>
          <w:color w:val="auto"/>
        </w:rPr>
        <w:t xml:space="preserve"> 焚烧</w:t>
      </w:r>
      <w:r>
        <w:rPr>
          <w:rFonts w:hint="eastAsia"/>
          <w:color w:val="auto"/>
        </w:rPr>
        <w:t>工程</w:t>
      </w:r>
      <w:r>
        <w:rPr>
          <w:color w:val="auto"/>
        </w:rPr>
        <w:t>设计</w:t>
      </w:r>
      <w:r>
        <w:rPr>
          <w:rFonts w:hint="eastAsia"/>
          <w:color w:val="auto"/>
        </w:rPr>
        <w:t>应采用抗震、防火、防爆、防雷电、防洪设施。燃气应有自动切断保护措施，燃烧装置应有防止回火和熄火保护装置并设置固定式及便携式监测装置。</w:t>
      </w:r>
    </w:p>
    <w:p>
      <w:pPr>
        <w:spacing w:line="360" w:lineRule="auto"/>
        <w:rPr>
          <w:color w:val="auto"/>
        </w:rPr>
      </w:pPr>
      <w:r>
        <w:rPr>
          <w:color w:val="auto"/>
        </w:rPr>
        <w:t>9</w:t>
      </w:r>
      <w:r>
        <w:rPr>
          <w:rFonts w:hint="eastAsia"/>
          <w:color w:val="auto"/>
        </w:rPr>
        <w:t xml:space="preserve">.2.2 </w:t>
      </w:r>
      <w:r>
        <w:rPr>
          <w:color w:val="auto"/>
        </w:rPr>
        <w:t>焚烧</w:t>
      </w:r>
      <w:r>
        <w:rPr>
          <w:rFonts w:hint="eastAsia"/>
          <w:color w:val="auto"/>
        </w:rPr>
        <w:t>工程</w:t>
      </w:r>
      <w:r>
        <w:rPr>
          <w:color w:val="auto"/>
        </w:rPr>
        <w:t>设计</w:t>
      </w:r>
      <w:r>
        <w:rPr>
          <w:rFonts w:hint="eastAsia"/>
          <w:color w:val="auto"/>
        </w:rPr>
        <w:t>应有设备安全运转与事故防范措施。</w:t>
      </w:r>
    </w:p>
    <w:p>
      <w:pPr>
        <w:spacing w:line="360" w:lineRule="auto"/>
        <w:rPr>
          <w:color w:val="auto"/>
        </w:rPr>
      </w:pPr>
      <w:r>
        <w:rPr>
          <w:color w:val="auto"/>
        </w:rPr>
        <w:t>9</w:t>
      </w:r>
      <w:r>
        <w:rPr>
          <w:rFonts w:hint="eastAsia"/>
          <w:color w:val="auto"/>
        </w:rPr>
        <w:t xml:space="preserve">.2.3 </w:t>
      </w:r>
      <w:r>
        <w:rPr>
          <w:color w:val="auto"/>
        </w:rPr>
        <w:t>焚烧</w:t>
      </w:r>
      <w:r>
        <w:rPr>
          <w:rFonts w:hint="eastAsia"/>
          <w:color w:val="auto"/>
        </w:rPr>
        <w:t>工程</w:t>
      </w:r>
      <w:r>
        <w:rPr>
          <w:color w:val="auto"/>
        </w:rPr>
        <w:t>设计</w:t>
      </w:r>
      <w:r>
        <w:rPr>
          <w:rFonts w:hint="eastAsia"/>
          <w:color w:val="auto"/>
        </w:rPr>
        <w:t>应有电气安全设施与安全照明设施。</w:t>
      </w:r>
    </w:p>
    <w:p>
      <w:pPr>
        <w:spacing w:line="360" w:lineRule="auto"/>
        <w:rPr>
          <w:color w:val="auto"/>
        </w:rPr>
      </w:pPr>
      <w:r>
        <w:rPr>
          <w:color w:val="auto"/>
        </w:rPr>
        <w:t>9</w:t>
      </w:r>
      <w:r>
        <w:rPr>
          <w:rFonts w:hint="eastAsia"/>
          <w:color w:val="auto"/>
        </w:rPr>
        <w:t xml:space="preserve">.2.4 </w:t>
      </w:r>
      <w:r>
        <w:rPr>
          <w:color w:val="auto"/>
        </w:rPr>
        <w:t>焚烧</w:t>
      </w:r>
      <w:r>
        <w:rPr>
          <w:rFonts w:hint="eastAsia"/>
          <w:color w:val="auto"/>
        </w:rPr>
        <w:t>工程</w:t>
      </w:r>
      <w:r>
        <w:rPr>
          <w:color w:val="auto"/>
        </w:rPr>
        <w:t>设计</w:t>
      </w:r>
      <w:r>
        <w:rPr>
          <w:rFonts w:hint="eastAsia"/>
          <w:color w:val="auto"/>
        </w:rPr>
        <w:t>应有防止人员伤害与保障人身安全设施。</w:t>
      </w:r>
    </w:p>
    <w:p>
      <w:pPr>
        <w:spacing w:line="360" w:lineRule="auto"/>
        <w:rPr>
          <w:color w:val="auto"/>
        </w:rPr>
      </w:pPr>
      <w:r>
        <w:rPr>
          <w:color w:val="auto"/>
        </w:rPr>
        <w:t>9.</w:t>
      </w:r>
      <w:r>
        <w:rPr>
          <w:rFonts w:hint="eastAsia"/>
          <w:color w:val="auto"/>
        </w:rPr>
        <w:t>2</w:t>
      </w:r>
      <w:r>
        <w:rPr>
          <w:color w:val="auto"/>
        </w:rPr>
        <w:t>.</w:t>
      </w:r>
      <w:r>
        <w:rPr>
          <w:rFonts w:hint="eastAsia"/>
          <w:color w:val="auto"/>
        </w:rPr>
        <w:t>5</w:t>
      </w:r>
      <w:r>
        <w:rPr>
          <w:color w:val="auto"/>
        </w:rPr>
        <w:t xml:space="preserve"> </w:t>
      </w:r>
      <w:r>
        <w:rPr>
          <w:rFonts w:hint="eastAsia"/>
          <w:color w:val="auto"/>
        </w:rPr>
        <w:t>设备、</w:t>
      </w:r>
      <w:r>
        <w:rPr>
          <w:color w:val="auto"/>
        </w:rPr>
        <w:t>管道及附件经保温后外表面温度应不高于</w:t>
      </w:r>
      <w:r>
        <w:rPr>
          <w:rFonts w:hint="eastAsia"/>
          <w:color w:val="auto"/>
        </w:rPr>
        <w:t>60℃</w:t>
      </w:r>
      <w:r>
        <w:rPr>
          <w:color w:val="auto"/>
        </w:rPr>
        <w:t>。</w:t>
      </w:r>
    </w:p>
    <w:p>
      <w:pPr>
        <w:spacing w:line="360" w:lineRule="auto"/>
        <w:rPr>
          <w:color w:val="auto"/>
        </w:rPr>
      </w:pPr>
      <w:r>
        <w:rPr>
          <w:rFonts w:hint="eastAsia"/>
          <w:color w:val="auto"/>
        </w:rPr>
        <w:t>9</w:t>
      </w:r>
      <w:r>
        <w:rPr>
          <w:color w:val="auto"/>
        </w:rPr>
        <w:t>.</w:t>
      </w:r>
      <w:r>
        <w:rPr>
          <w:rFonts w:hint="eastAsia"/>
          <w:color w:val="auto"/>
        </w:rPr>
        <w:t>2</w:t>
      </w:r>
      <w:r>
        <w:rPr>
          <w:color w:val="auto"/>
        </w:rPr>
        <w:t>.</w:t>
      </w:r>
      <w:r>
        <w:rPr>
          <w:rFonts w:hint="eastAsia"/>
          <w:color w:val="auto"/>
        </w:rPr>
        <w:t>6</w:t>
      </w:r>
      <w:r>
        <w:rPr>
          <w:color w:val="auto"/>
        </w:rPr>
        <w:t xml:space="preserve"> 焚烧</w:t>
      </w:r>
      <w:r>
        <w:rPr>
          <w:rFonts w:hint="eastAsia"/>
          <w:color w:val="auto"/>
        </w:rPr>
        <w:t>工程应采用有利于职业病防治和保护劳动者健康的措施。</w:t>
      </w:r>
    </w:p>
    <w:p>
      <w:pPr>
        <w:spacing w:line="360" w:lineRule="auto"/>
        <w:rPr>
          <w:color w:val="auto"/>
        </w:rPr>
      </w:pPr>
      <w:r>
        <w:rPr>
          <w:color w:val="auto"/>
        </w:rPr>
        <w:t>9.</w:t>
      </w:r>
      <w:r>
        <w:rPr>
          <w:rFonts w:hint="eastAsia"/>
          <w:color w:val="auto"/>
        </w:rPr>
        <w:t>2</w:t>
      </w:r>
      <w:r>
        <w:rPr>
          <w:color w:val="auto"/>
        </w:rPr>
        <w:t xml:space="preserve">.7 </w:t>
      </w:r>
      <w:r>
        <w:rPr>
          <w:rFonts w:hint="eastAsia"/>
          <w:color w:val="auto"/>
        </w:rPr>
        <w:t>厂内应设置必要的更衣、沐浴、厕所等生活卫生设施。</w:t>
      </w:r>
    </w:p>
    <w:p>
      <w:pPr>
        <w:spacing w:line="360" w:lineRule="auto"/>
        <w:rPr>
          <w:color w:val="auto"/>
        </w:rPr>
      </w:pPr>
    </w:p>
    <w:p>
      <w:pPr>
        <w:pStyle w:val="3"/>
        <w:spacing w:before="0" w:after="0" w:line="360" w:lineRule="auto"/>
        <w:jc w:val="center"/>
        <w:rPr>
          <w:rFonts w:asciiTheme="minorEastAsia" w:hAnsiTheme="minorEastAsia" w:eastAsiaTheme="minorEastAsia"/>
          <w:color w:val="auto"/>
          <w:sz w:val="21"/>
          <w:szCs w:val="21"/>
        </w:rPr>
      </w:pPr>
      <w:r>
        <w:rPr>
          <w:rFonts w:asciiTheme="minorEastAsia" w:hAnsiTheme="minorEastAsia" w:eastAsiaTheme="minorEastAsia"/>
          <w:color w:val="auto"/>
          <w:sz w:val="21"/>
          <w:szCs w:val="21"/>
        </w:rPr>
        <w:t>9.</w:t>
      </w:r>
      <w:r>
        <w:rPr>
          <w:rFonts w:hint="eastAsia" w:asciiTheme="minorEastAsia" w:hAnsiTheme="minorEastAsia" w:eastAsiaTheme="minorEastAsia"/>
          <w:color w:val="auto"/>
          <w:sz w:val="21"/>
          <w:szCs w:val="21"/>
        </w:rPr>
        <w:t>3</w:t>
      </w:r>
      <w:r>
        <w:rPr>
          <w:rFonts w:asciiTheme="minorEastAsia" w:hAnsiTheme="minorEastAsia" w:eastAsiaTheme="minorEastAsia"/>
          <w:color w:val="auto"/>
          <w:sz w:val="21"/>
          <w:szCs w:val="21"/>
        </w:rPr>
        <w:t xml:space="preserve"> </w:t>
      </w:r>
      <w:r>
        <w:rPr>
          <w:rFonts w:hint="eastAsia" w:asciiTheme="minorEastAsia" w:hAnsiTheme="minorEastAsia" w:eastAsiaTheme="minorEastAsia"/>
          <w:color w:val="auto"/>
          <w:sz w:val="21"/>
          <w:szCs w:val="21"/>
        </w:rPr>
        <w:t>消防</w:t>
      </w:r>
      <w:bookmarkEnd w:id="62"/>
    </w:p>
    <w:p>
      <w:pPr>
        <w:spacing w:line="360" w:lineRule="auto"/>
        <w:rPr>
          <w:color w:val="auto"/>
        </w:rPr>
      </w:pPr>
      <w:r>
        <w:rPr>
          <w:rFonts w:hint="eastAsia"/>
          <w:color w:val="auto"/>
        </w:rPr>
        <w:t>9.</w:t>
      </w:r>
      <w:r>
        <w:rPr>
          <w:color w:val="auto"/>
        </w:rPr>
        <w:t>3</w:t>
      </w:r>
      <w:r>
        <w:rPr>
          <w:rFonts w:hint="eastAsia"/>
          <w:color w:val="auto"/>
        </w:rPr>
        <w:t>.1防火</w:t>
      </w:r>
      <w:r>
        <w:rPr>
          <w:color w:val="auto"/>
        </w:rPr>
        <w:t>设计应符合现行国家标准</w:t>
      </w:r>
      <w:r>
        <w:rPr>
          <w:rFonts w:hint="eastAsia"/>
          <w:color w:val="auto"/>
        </w:rPr>
        <w:t>《建筑</w:t>
      </w:r>
      <w:r>
        <w:rPr>
          <w:color w:val="auto"/>
        </w:rPr>
        <w:t>设计防火规范</w:t>
      </w:r>
      <w:r>
        <w:rPr>
          <w:rFonts w:hint="eastAsia"/>
          <w:color w:val="auto"/>
        </w:rPr>
        <w:t>》GB</w:t>
      </w:r>
      <w:r>
        <w:rPr>
          <w:color w:val="auto"/>
        </w:rPr>
        <w:t xml:space="preserve"> </w:t>
      </w:r>
      <w:r>
        <w:rPr>
          <w:rFonts w:hint="eastAsia"/>
          <w:color w:val="auto"/>
        </w:rPr>
        <w:t>50016和《钢铁冶金</w:t>
      </w:r>
      <w:r>
        <w:rPr>
          <w:color w:val="auto"/>
        </w:rPr>
        <w:t>企业防火设计</w:t>
      </w:r>
      <w:r>
        <w:rPr>
          <w:rFonts w:hint="eastAsia"/>
          <w:color w:val="auto"/>
        </w:rPr>
        <w:t>标准》GB</w:t>
      </w:r>
      <w:r>
        <w:rPr>
          <w:color w:val="auto"/>
        </w:rPr>
        <w:t xml:space="preserve"> </w:t>
      </w:r>
      <w:r>
        <w:rPr>
          <w:rFonts w:hint="eastAsia"/>
          <w:color w:val="auto"/>
        </w:rPr>
        <w:t>50414的</w:t>
      </w:r>
      <w:r>
        <w:rPr>
          <w:color w:val="auto"/>
        </w:rPr>
        <w:t>有关规定</w:t>
      </w:r>
      <w:r>
        <w:rPr>
          <w:rFonts w:hint="eastAsia"/>
          <w:color w:val="auto"/>
        </w:rPr>
        <w:t>。</w:t>
      </w:r>
    </w:p>
    <w:p>
      <w:pPr>
        <w:spacing w:line="360" w:lineRule="auto"/>
        <w:rPr>
          <w:color w:val="auto"/>
        </w:rPr>
      </w:pPr>
      <w:r>
        <w:rPr>
          <w:color w:val="auto"/>
        </w:rPr>
        <w:t xml:space="preserve">9.3.2 </w:t>
      </w:r>
      <w:r>
        <w:rPr>
          <w:rFonts w:hint="eastAsia"/>
          <w:color w:val="auto"/>
        </w:rPr>
        <w:t>消防</w:t>
      </w:r>
      <w:r>
        <w:rPr>
          <w:color w:val="auto"/>
        </w:rPr>
        <w:t>系统应包括室内外消防给水、</w:t>
      </w:r>
      <w:r>
        <w:rPr>
          <w:rFonts w:hint="eastAsia"/>
          <w:color w:val="auto"/>
        </w:rPr>
        <w:t>火灾监测</w:t>
      </w:r>
      <w:r>
        <w:rPr>
          <w:color w:val="auto"/>
        </w:rPr>
        <w:t>与自动报警系统。</w:t>
      </w:r>
    </w:p>
    <w:p>
      <w:pPr>
        <w:tabs>
          <w:tab w:val="left" w:pos="4600"/>
        </w:tabs>
        <w:spacing w:line="360" w:lineRule="auto"/>
        <w:rPr>
          <w:b/>
          <w:color w:val="auto"/>
        </w:rPr>
      </w:pPr>
      <w:r>
        <w:rPr>
          <w:color w:val="auto"/>
        </w:rPr>
        <w:t xml:space="preserve">9.3.3 </w:t>
      </w:r>
      <w:r>
        <w:rPr>
          <w:rFonts w:hint="eastAsia"/>
          <w:color w:val="auto"/>
        </w:rPr>
        <w:t>厂区</w:t>
      </w:r>
      <w:r>
        <w:rPr>
          <w:color w:val="auto"/>
        </w:rPr>
        <w:t>及</w:t>
      </w:r>
      <w:r>
        <w:rPr>
          <w:rFonts w:hint="eastAsia"/>
          <w:color w:val="auto"/>
        </w:rPr>
        <w:t>电气室</w:t>
      </w:r>
      <w:r>
        <w:rPr>
          <w:color w:val="auto"/>
        </w:rPr>
        <w:t>应设置消防监控装置。</w:t>
      </w:r>
    </w:p>
    <w:p>
      <w:pPr>
        <w:spacing w:line="360" w:lineRule="auto"/>
        <w:rPr>
          <w:color w:val="auto"/>
          <w:szCs w:val="21"/>
        </w:rPr>
      </w:pPr>
    </w:p>
    <w:p>
      <w:pPr>
        <w:spacing w:line="360" w:lineRule="auto"/>
        <w:rPr>
          <w:color w:val="auto"/>
        </w:rPr>
      </w:pPr>
    </w:p>
    <w:p>
      <w:pPr>
        <w:spacing w:line="360" w:lineRule="auto"/>
        <w:rPr>
          <w:color w:val="auto"/>
        </w:rPr>
      </w:pPr>
    </w:p>
    <w:p>
      <w:pPr>
        <w:spacing w:line="360" w:lineRule="auto"/>
        <w:rPr>
          <w:color w:val="auto"/>
        </w:rPr>
      </w:pPr>
    </w:p>
    <w:p>
      <w:pPr>
        <w:widowControl/>
        <w:jc w:val="left"/>
        <w:rPr>
          <w:color w:val="auto"/>
        </w:rPr>
      </w:pPr>
      <w:r>
        <w:rPr>
          <w:color w:val="auto"/>
        </w:rPr>
        <w:br w:type="page"/>
      </w:r>
    </w:p>
    <w:p>
      <w:pPr>
        <w:jc w:val="center"/>
        <w:rPr>
          <w:b/>
          <w:bCs/>
          <w:color w:val="auto"/>
          <w:kern w:val="44"/>
          <w:sz w:val="28"/>
          <w:szCs w:val="28"/>
        </w:rPr>
      </w:pPr>
      <w:r>
        <w:rPr>
          <w:rFonts w:hint="eastAsia"/>
          <w:b/>
          <w:bCs/>
          <w:color w:val="auto"/>
          <w:kern w:val="44"/>
          <w:sz w:val="28"/>
          <w:szCs w:val="28"/>
        </w:rPr>
        <w:t>本设计标准用词说明</w:t>
      </w:r>
    </w:p>
    <w:p>
      <w:pPr>
        <w:spacing w:line="360" w:lineRule="auto"/>
        <w:ind w:firstLine="420" w:firstLineChars="200"/>
        <w:rPr>
          <w:color w:val="auto"/>
          <w:szCs w:val="21"/>
        </w:rPr>
      </w:pPr>
      <w:r>
        <w:rPr>
          <w:color w:val="auto"/>
          <w:szCs w:val="21"/>
        </w:rPr>
        <w:t>1  为便于在执行本标准条文时区别对待，对要求严格程度不同的用词说明如下：</w:t>
      </w:r>
    </w:p>
    <w:p>
      <w:pPr>
        <w:spacing w:line="360" w:lineRule="auto"/>
        <w:ind w:firstLine="735" w:firstLineChars="350"/>
        <w:rPr>
          <w:color w:val="auto"/>
          <w:szCs w:val="21"/>
        </w:rPr>
      </w:pPr>
      <w:r>
        <w:rPr>
          <w:color w:val="auto"/>
          <w:szCs w:val="21"/>
        </w:rPr>
        <w:t>1）表示很严格，非这样做不可的：</w:t>
      </w:r>
    </w:p>
    <w:p>
      <w:pPr>
        <w:spacing w:line="360" w:lineRule="auto"/>
        <w:ind w:firstLine="1050" w:firstLineChars="500"/>
        <w:rPr>
          <w:color w:val="auto"/>
          <w:szCs w:val="21"/>
        </w:rPr>
      </w:pPr>
      <w:r>
        <w:rPr>
          <w:color w:val="auto"/>
          <w:szCs w:val="21"/>
        </w:rPr>
        <w:t>正面词采用“必须”，反面词采用“严禁”；</w:t>
      </w:r>
    </w:p>
    <w:p>
      <w:pPr>
        <w:spacing w:line="360" w:lineRule="auto"/>
        <w:ind w:firstLine="735" w:firstLineChars="350"/>
        <w:rPr>
          <w:color w:val="auto"/>
          <w:szCs w:val="21"/>
        </w:rPr>
      </w:pPr>
      <w:r>
        <w:rPr>
          <w:color w:val="auto"/>
          <w:szCs w:val="21"/>
        </w:rPr>
        <w:t>2）表示严格，在正常情况下均应这样做的：</w:t>
      </w:r>
    </w:p>
    <w:p>
      <w:pPr>
        <w:spacing w:line="360" w:lineRule="auto"/>
        <w:ind w:firstLine="1050" w:firstLineChars="500"/>
        <w:rPr>
          <w:color w:val="auto"/>
          <w:szCs w:val="21"/>
        </w:rPr>
      </w:pPr>
      <w:r>
        <w:rPr>
          <w:color w:val="auto"/>
          <w:szCs w:val="21"/>
        </w:rPr>
        <w:t>正面词采用“应”，反面词采用“不应”或“不得”；</w:t>
      </w:r>
    </w:p>
    <w:p>
      <w:pPr>
        <w:spacing w:line="360" w:lineRule="auto"/>
        <w:ind w:firstLine="735" w:firstLineChars="350"/>
        <w:rPr>
          <w:color w:val="auto"/>
          <w:szCs w:val="21"/>
        </w:rPr>
      </w:pPr>
      <w:r>
        <w:rPr>
          <w:color w:val="auto"/>
          <w:szCs w:val="21"/>
        </w:rPr>
        <w:t>3）表示允许稍有选择，在条件许可时首先应这样做的：</w:t>
      </w:r>
    </w:p>
    <w:p>
      <w:pPr>
        <w:spacing w:line="360" w:lineRule="auto"/>
        <w:ind w:firstLine="1050" w:firstLineChars="500"/>
        <w:rPr>
          <w:color w:val="auto"/>
          <w:szCs w:val="21"/>
        </w:rPr>
      </w:pPr>
      <w:r>
        <w:rPr>
          <w:color w:val="auto"/>
          <w:szCs w:val="21"/>
        </w:rPr>
        <w:t>正面词采用“宜”，反面词采用“不宜”；</w:t>
      </w:r>
    </w:p>
    <w:p>
      <w:pPr>
        <w:spacing w:line="360" w:lineRule="auto"/>
        <w:ind w:firstLine="735" w:firstLineChars="350"/>
        <w:rPr>
          <w:color w:val="auto"/>
          <w:szCs w:val="21"/>
        </w:rPr>
      </w:pPr>
      <w:r>
        <w:rPr>
          <w:color w:val="auto"/>
          <w:szCs w:val="21"/>
        </w:rPr>
        <w:t>4）表示有选择，在一定条件下可以这样做的，采用“可”。</w:t>
      </w:r>
    </w:p>
    <w:p>
      <w:pPr>
        <w:spacing w:line="360" w:lineRule="auto"/>
        <w:ind w:firstLine="420" w:firstLineChars="200"/>
        <w:rPr>
          <w:color w:val="auto"/>
          <w:szCs w:val="21"/>
        </w:rPr>
      </w:pPr>
      <w:r>
        <w:rPr>
          <w:color w:val="auto"/>
          <w:szCs w:val="21"/>
        </w:rPr>
        <w:t>2  本标准中指明应按其他有关标准执行的写法为：“应符合……的规定”或“应按……执行”。</w:t>
      </w: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spacing w:after="156" w:afterLines="50" w:line="360" w:lineRule="auto"/>
        <w:jc w:val="center"/>
        <w:rPr>
          <w:color w:val="auto"/>
          <w:sz w:val="48"/>
        </w:rPr>
      </w:pPr>
    </w:p>
    <w:p>
      <w:pPr>
        <w:jc w:val="center"/>
        <w:rPr>
          <w:b/>
          <w:bCs/>
          <w:color w:val="auto"/>
          <w:kern w:val="44"/>
          <w:sz w:val="28"/>
          <w:szCs w:val="28"/>
        </w:rPr>
      </w:pPr>
      <w:r>
        <w:rPr>
          <w:rFonts w:hint="eastAsia"/>
          <w:b/>
          <w:bCs/>
          <w:color w:val="auto"/>
          <w:kern w:val="44"/>
          <w:sz w:val="28"/>
          <w:szCs w:val="28"/>
        </w:rPr>
        <w:t>引用标准名录</w:t>
      </w:r>
    </w:p>
    <w:p>
      <w:pPr>
        <w:pStyle w:val="55"/>
        <w:spacing w:line="360" w:lineRule="auto"/>
        <w:ind w:firstLine="0" w:firstLineChars="0"/>
        <w:rPr>
          <w:rFonts w:ascii="Times New Roman" w:hAnsi="Times New Roman"/>
          <w:color w:val="auto"/>
        </w:rPr>
      </w:pPr>
      <w:r>
        <w:rPr>
          <w:rFonts w:ascii="Times New Roman" w:hAnsi="Times New Roman"/>
          <w:color w:val="auto"/>
          <w:szCs w:val="21"/>
        </w:rPr>
        <w:t>《建筑给水排水设计标准》GB 50015</w:t>
      </w:r>
    </w:p>
    <w:p>
      <w:pPr>
        <w:pStyle w:val="55"/>
        <w:spacing w:line="360" w:lineRule="auto"/>
        <w:ind w:firstLine="0" w:firstLineChars="0"/>
        <w:rPr>
          <w:rFonts w:ascii="Times New Roman" w:hAnsi="Times New Roman"/>
          <w:color w:val="auto"/>
        </w:rPr>
      </w:pPr>
      <w:r>
        <w:rPr>
          <w:rFonts w:ascii="Times New Roman" w:hAnsi="Times New Roman"/>
          <w:color w:val="auto"/>
        </w:rPr>
        <w:t>《建筑设计防火规范》GB 50016</w:t>
      </w:r>
    </w:p>
    <w:p>
      <w:pPr>
        <w:pStyle w:val="55"/>
        <w:spacing w:line="360" w:lineRule="auto"/>
        <w:ind w:firstLine="0" w:firstLineChars="0"/>
        <w:rPr>
          <w:rFonts w:ascii="Times New Roman" w:hAnsi="Times New Roman"/>
          <w:color w:val="auto"/>
        </w:rPr>
      </w:pPr>
      <w:r>
        <w:rPr>
          <w:rFonts w:ascii="Times New Roman" w:hAnsi="Times New Roman"/>
          <w:color w:val="auto"/>
          <w:szCs w:val="21"/>
        </w:rPr>
        <w:t>《工业建筑供暖通风与空气调节设计规范》GB50019</w:t>
      </w:r>
    </w:p>
    <w:p>
      <w:pPr>
        <w:pStyle w:val="55"/>
        <w:spacing w:line="360" w:lineRule="auto"/>
        <w:ind w:firstLine="0" w:firstLineChars="0"/>
        <w:rPr>
          <w:rFonts w:ascii="Times New Roman" w:hAnsi="Times New Roman"/>
          <w:color w:val="auto"/>
        </w:rPr>
      </w:pPr>
      <w:r>
        <w:rPr>
          <w:rFonts w:ascii="Times New Roman" w:hAnsi="Times New Roman"/>
          <w:color w:val="auto"/>
          <w:szCs w:val="21"/>
        </w:rPr>
        <w:t>《工业循环冷却水处理设计规范》</w:t>
      </w:r>
      <w:r>
        <w:rPr>
          <w:rFonts w:ascii="Times New Roman" w:hAnsi="Times New Roman"/>
          <w:color w:val="auto"/>
        </w:rPr>
        <w:t>GB50050</w:t>
      </w:r>
    </w:p>
    <w:p>
      <w:pPr>
        <w:pStyle w:val="55"/>
        <w:spacing w:line="360" w:lineRule="auto"/>
        <w:ind w:firstLine="0" w:firstLineChars="0"/>
        <w:rPr>
          <w:rFonts w:ascii="Times New Roman" w:hAnsi="Times New Roman"/>
          <w:color w:val="auto"/>
        </w:rPr>
      </w:pPr>
      <w:r>
        <w:rPr>
          <w:rFonts w:ascii="Times New Roman" w:hAnsi="Times New Roman"/>
          <w:color w:val="auto"/>
        </w:rPr>
        <w:t>《钢铁冶金企业设计防火标准》GB 50414</w:t>
      </w:r>
    </w:p>
    <w:p>
      <w:pPr>
        <w:pStyle w:val="55"/>
        <w:spacing w:line="360" w:lineRule="auto"/>
        <w:ind w:firstLine="0" w:firstLineChars="0"/>
        <w:rPr>
          <w:rFonts w:ascii="Times New Roman" w:hAnsi="Times New Roman"/>
          <w:color w:val="auto"/>
          <w:szCs w:val="21"/>
        </w:rPr>
      </w:pPr>
      <w:r>
        <w:rPr>
          <w:rFonts w:ascii="Times New Roman" w:hAnsi="Times New Roman"/>
          <w:color w:val="auto"/>
          <w:szCs w:val="21"/>
        </w:rPr>
        <w:t>《工业锅炉水质》GB/T 1576</w:t>
      </w:r>
    </w:p>
    <w:p>
      <w:pPr>
        <w:pStyle w:val="55"/>
        <w:spacing w:line="360" w:lineRule="auto"/>
        <w:ind w:firstLine="0" w:firstLineChars="0"/>
        <w:rPr>
          <w:rFonts w:ascii="Times New Roman" w:hAnsi="Times New Roman"/>
          <w:color w:val="auto"/>
          <w:szCs w:val="21"/>
        </w:rPr>
      </w:pPr>
      <w:r>
        <w:rPr>
          <w:rFonts w:ascii="Times New Roman" w:hAnsi="Times New Roman"/>
          <w:color w:val="auto"/>
          <w:szCs w:val="21"/>
        </w:rPr>
        <w:t>《生活饮用水卫生标准》GB5749</w:t>
      </w:r>
    </w:p>
    <w:p>
      <w:pPr>
        <w:pStyle w:val="55"/>
        <w:spacing w:line="360" w:lineRule="auto"/>
        <w:ind w:firstLine="0" w:firstLineChars="0"/>
        <w:rPr>
          <w:rFonts w:ascii="Times New Roman" w:hAnsi="Times New Roman"/>
          <w:color w:val="auto"/>
          <w:szCs w:val="21"/>
        </w:rPr>
      </w:pPr>
      <w:r>
        <w:rPr>
          <w:rFonts w:ascii="Times New Roman" w:hAnsi="Times New Roman"/>
          <w:color w:val="auto"/>
        </w:rPr>
        <w:t>《工业企业厂界环境噪声排放标准》GB 12348</w:t>
      </w:r>
    </w:p>
    <w:p>
      <w:pPr>
        <w:pStyle w:val="55"/>
        <w:spacing w:line="360" w:lineRule="auto"/>
        <w:ind w:firstLine="0" w:firstLineChars="0"/>
        <w:rPr>
          <w:rFonts w:ascii="Times New Roman" w:hAnsi="Times New Roman"/>
          <w:color w:val="auto"/>
          <w:szCs w:val="21"/>
        </w:rPr>
      </w:pPr>
      <w:r>
        <w:rPr>
          <w:rFonts w:ascii="Times New Roman" w:hAnsi="Times New Roman"/>
          <w:color w:val="auto"/>
          <w:szCs w:val="21"/>
        </w:rPr>
        <w:t>《</w:t>
      </w:r>
      <w:r>
        <w:rPr>
          <w:rFonts w:ascii="Times New Roman" w:hAnsi="Times New Roman"/>
          <w:color w:val="auto"/>
        </w:rPr>
        <w:t>钢铁工业水污染排放标准</w:t>
      </w:r>
      <w:r>
        <w:rPr>
          <w:rFonts w:ascii="Times New Roman" w:hAnsi="Times New Roman"/>
          <w:color w:val="auto"/>
          <w:szCs w:val="21"/>
        </w:rPr>
        <w:t>》GB 13456</w:t>
      </w:r>
    </w:p>
    <w:p>
      <w:pPr>
        <w:pStyle w:val="55"/>
        <w:spacing w:line="360" w:lineRule="auto"/>
        <w:ind w:firstLine="0" w:firstLineChars="0"/>
        <w:rPr>
          <w:rFonts w:ascii="Times New Roman" w:hAnsi="Times New Roman"/>
          <w:color w:val="auto"/>
          <w:szCs w:val="21"/>
        </w:rPr>
      </w:pPr>
      <w:r>
        <w:rPr>
          <w:rFonts w:ascii="Times New Roman" w:hAnsi="Times New Roman"/>
          <w:color w:val="auto"/>
          <w:szCs w:val="21"/>
        </w:rPr>
        <w:t>《恶臭污染物排放标准》GB14554</w:t>
      </w:r>
    </w:p>
    <w:p>
      <w:pPr>
        <w:pStyle w:val="55"/>
        <w:spacing w:line="360" w:lineRule="auto"/>
        <w:ind w:firstLine="0" w:firstLineChars="0"/>
        <w:rPr>
          <w:rFonts w:ascii="Times New Roman" w:hAnsi="Times New Roman"/>
          <w:color w:val="auto"/>
          <w:szCs w:val="21"/>
        </w:rPr>
      </w:pPr>
      <w:r>
        <w:rPr>
          <w:rFonts w:ascii="Times New Roman" w:hAnsi="Times New Roman"/>
          <w:color w:val="auto"/>
        </w:rPr>
        <w:t>《危险废物焚烧污染控制标准》GB18484</w:t>
      </w:r>
    </w:p>
    <w:p>
      <w:pPr>
        <w:pStyle w:val="55"/>
        <w:spacing w:line="360" w:lineRule="auto"/>
        <w:ind w:firstLine="0" w:firstLineChars="0"/>
        <w:rPr>
          <w:color w:val="auto"/>
          <w:szCs w:val="21"/>
        </w:rPr>
      </w:pPr>
    </w:p>
    <w:p>
      <w:pPr>
        <w:pStyle w:val="55"/>
        <w:spacing w:line="360" w:lineRule="auto"/>
        <w:ind w:firstLine="0" w:firstLineChars="0"/>
        <w:rPr>
          <w:color w:val="auto"/>
          <w:szCs w:val="21"/>
        </w:rPr>
      </w:pPr>
    </w:p>
    <w:p>
      <w:pPr>
        <w:pStyle w:val="55"/>
        <w:spacing w:line="360" w:lineRule="auto"/>
        <w:ind w:firstLine="0" w:firstLineChars="0"/>
        <w:rPr>
          <w:color w:val="auto"/>
          <w:szCs w:val="21"/>
        </w:rPr>
      </w:pPr>
    </w:p>
    <w:p>
      <w:pPr>
        <w:pStyle w:val="55"/>
        <w:spacing w:line="360" w:lineRule="auto"/>
        <w:ind w:firstLine="0" w:firstLineChars="0"/>
        <w:rPr>
          <w:color w:val="auto"/>
          <w:szCs w:val="21"/>
        </w:rPr>
      </w:pPr>
    </w:p>
    <w:sectPr>
      <w:footerReference r:id="rId20"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 w:name="微软雅黑">
    <w:panose1 w:val="020B0503020204020204"/>
    <w:charset w:val="86"/>
    <w:family w:val="swiss"/>
    <w:pitch w:val="default"/>
    <w:sig w:usb0="80000287" w:usb1="280F3C52" w:usb2="00000016" w:usb3="00000000" w:csb0="0004001F" w:csb1="00000000"/>
  </w:font>
  <w:font w:name="MS Mincho">
    <w:panose1 w:val="02020609040205080304"/>
    <w:charset w:val="80"/>
    <w:family w:val="modern"/>
    <w:pitch w:val="default"/>
    <w:sig w:usb0="E00002FF" w:usb1="6AC7FDFB" w:usb2="00000012" w:usb3="00000000" w:csb0="4002009F" w:csb1="DFD7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rPr>
        <w:rFonts w:ascii="宋体" w:hAnsi="宋体"/>
      </w:rPr>
    </w:pPr>
    <w:r>
      <w:pict>
        <v:shape id="_x0000_s2069" o:spid="_x0000_s2069" o:spt="202" type="#_x0000_t202" style="position:absolute;left:0pt;margin-top:0pt;height:11.65pt;width:22.55pt;mso-position-horizontal:outside;mso-position-horizontal-relative:margin;mso-wrap-style:none;z-index:25167257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NvAei75AQAAvQMAAA4AAAAAAAAAAAAAAAAALgIAAGRy&#10;cy9lMm9Eb2MueG1sUEsBAi0AFAAGAAgAAAAhAFSTZGn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2</w:t>
                </w:r>
                <w:r>
                  <w:fldChar w:fldCharType="end"/>
                </w:r>
                <w:r>
                  <w:rPr>
                    <w:rFonts w:hint="eastAsia"/>
                  </w:rPr>
                  <w:t>·</w:t>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rPr>
        <w:rFonts w:ascii="宋体" w:hAnsi="宋体"/>
      </w:rPr>
    </w:pPr>
    <w:r>
      <w:pict>
        <v:shape id="_x0000_s2070" o:spid="_x0000_s2070" o:spt="202" type="#_x0000_t202" style="position:absolute;left:0pt;margin-top:0pt;height:11.65pt;width:22.55pt;mso-position-horizontal:outside;mso-position-horizontal-relative:margin;mso-wrap-style:none;z-index:25167462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NvAei75AQAAvQMAAA4AAAAAAAAAAAAAAAAALgIAAGRy&#10;cy9lMm9Eb2MueG1sUEsBAi0AFAAGAAgAAAAhAFSTZGn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2</w:t>
                </w:r>
                <w:r>
                  <w:fldChar w:fldCharType="end"/>
                </w:r>
                <w:r>
                  <w:rPr>
                    <w:rFonts w:hint="eastAsia"/>
                  </w:rPr>
                  <w:t>·</w:t>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rPr>
        <w:rFonts w:ascii="宋体" w:hAnsi="宋体"/>
      </w:rPr>
    </w:pPr>
    <w:r>
      <w:pict>
        <v:shape id="_x0000_s2052" o:spid="_x0000_s2052" o:spt="202" type="#_x0000_t202" style="position:absolute;left:0pt;margin-top:0pt;height:11.65pt;width:22.55pt;mso-position-horizontal:outside;mso-position-horizontal-relative:margin;mso-wrap-style:none;z-index:25166540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DSV4Kr5AQAAvQMAAA4AAAAAAAAAAAAAAAAALgIAAGRy&#10;cy9lMm9Eb2MueG1sUEsBAi0AFAAGAAgAAAAhAFSTZGn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5</w:t>
                </w:r>
                <w:r>
                  <w:fldChar w:fldCharType="end"/>
                </w:r>
                <w:r>
                  <w:rPr>
                    <w:rFonts w:hint="eastAsia"/>
                  </w:rPr>
                  <w:t>·</w:t>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_x0000_s2053" o:spid="_x0000_s2053" o:spt="202" type="#_x0000_t202" style="position:absolute;left:0pt;margin-top:0pt;height:11.65pt;width:22.55pt;mso-position-horizontal:outside;mso-position-horizontal-relative:margin;mso-wrap-style:none;z-index:25166643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B//&#10;GzHSAAAAAwEAAA8AAAAAAAAAAQAgAAAAIgAAAGRycy9kb3ducmV2LnhtbFBLAQIUABQAAAAIAIdO&#10;4kAOnDhJ8AEAALYDAAAOAAAAAAAAAAEAIAAAACEBAABkcnMvZTJvRG9jLnhtbFBLBQYAAAAABgAG&#10;AFkBAACDBQAAAAA=&#10;">
          <v:path/>
          <v:fill on="f" focussize="0,0"/>
          <v:stroke on="f" joinstyle="miter"/>
          <v:imagedata o:title=""/>
          <o:lock v:ext="edit"/>
          <v:textbox inset="0mm,0mm,0mm,0mm" style="mso-fit-shape-to-text:t;">
            <w:txbxContent>
              <w:p>
                <w:r>
                  <w:rPr>
                    <w:rFonts w:hint="eastAsia"/>
                  </w:rPr>
                  <w:t>·</w:t>
                </w:r>
                <w:r>
                  <w:fldChar w:fldCharType="begin"/>
                </w:r>
                <w:r>
                  <w:instrText xml:space="preserve"> PAGE  \* MERGEFORMAT </w:instrText>
                </w:r>
                <w:r>
                  <w:fldChar w:fldCharType="separate"/>
                </w:r>
                <w:r>
                  <w:t>2</w:t>
                </w:r>
                <w:r>
                  <w:fldChar w:fldCharType="end"/>
                </w:r>
                <w:r>
                  <w:rPr>
                    <w:rFonts w:hint="eastAsia"/>
                  </w:rPr>
                  <w:t>·</w:t>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rPr>
        <w:rFonts w:ascii="宋体" w:hAnsi="宋体"/>
      </w:rPr>
    </w:pPr>
    <w:r>
      <w:pict>
        <v:shape id="文本框 21" o:spid="_x0000_s2049" o:spt="202" type="#_x0000_t202" style="position:absolute;left:0pt;margin-top:0pt;height:11.65pt;width:27.05pt;mso-position-horizontal:outside;mso-position-horizontal-relative:margin;mso-wrap-style:none;z-index:25167052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9DgHcURYLJcg60r+Z6+vAAAA//8D&#10;AFBLAQItABQABgAIAAAAIQC2gziS/gAAAOEBAAATAAAAAAAAAAAAAAAAAAAAAABbQ29udGVudF9U&#10;eXBlc10ueG1sUEsBAi0AFAAGAAgAAAAhADj9If/WAAAAlAEAAAsAAAAAAAAAAAAAAAAALwEAAF9y&#10;ZWxzLy5yZWxzUEsBAi0AFAAGAAgAAAAhAGkkLOP5AQAAvgMAAA4AAAAAAAAAAAAAAAAALgIAAGRy&#10;cy9lMm9Eb2MueG1sUEsBAi0AFAAGAAgAAAAhAG231gv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12</w:t>
                </w:r>
                <w:r>
                  <w:fldChar w:fldCharType="end"/>
                </w:r>
                <w:r>
                  <w:rPr>
                    <w:rFonts w:hint="eastAsia"/>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pPr>
    <w:r>
      <w:pict>
        <v:shape id="文本框 16" o:spid="_x0000_s2056" o:spt="202" type="#_x0000_t202" style="position:absolute;left:0pt;margin-top:0pt;height:11.65pt;width:22.55pt;mso-position-horizontal:outside;mso-position-horizontal-relative:margin;mso-wrap-style:none;z-index:25166336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IVNdWz5AQAAvQMAAA4AAAAAAAAAAAAAAAAALgIAAGRy&#10;cy9lMm9Eb2MueG1sUEsBAi0AFAAGAAgAAAAhAFSTZGn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III</w:t>
                </w:r>
                <w:r>
                  <w:fldChar w:fldCharType="end"/>
                </w:r>
                <w:r>
                  <w:rPr>
                    <w:rFonts w:hint="eastAsia"/>
                  </w:rPr>
                  <w:t>·</w:t>
                </w:r>
              </w:p>
            </w:txbxContent>
          </v:textbox>
        </v:shape>
      </w:pict>
    </w:r>
  </w:p>
  <w:p>
    <w:pPr>
      <w:pStyle w:val="10"/>
      <w:tabs>
        <w:tab w:val="left" w:pos="312"/>
      </w:tabs>
      <w:rPr>
        <w:rFonts w:ascii="宋体" w:hAnsi="宋体"/>
      </w:rPr>
    </w:pPr>
    <w:r>
      <w:rPr>
        <w:rFonts w:hint="eastAsia" w:ascii="宋体" w:hAnsi="宋体"/>
      </w:rPr>
      <w:tab/>
    </w:r>
    <w:r>
      <w:rPr>
        <w:rFonts w:hint="eastAsia" w:ascii="宋体" w:hAnsi="宋体"/>
      </w:rPr>
      <w:tab/>
    </w:r>
    <w:r>
      <w:rPr>
        <w:rFonts w:hint="eastAsia" w:ascii="宋体" w:hAnsi="宋体"/>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_x0000_s2057" o:spid="_x0000_s2057" o:spt="202" type="#_x0000_t202" style="position:absolute;left:0pt;margin-top:0pt;height:11.65pt;width:22.55pt;mso-position-horizontal:outside;mso-position-horizontal-relative:margin;mso-wrap-style:none;z-index:251664384;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B//&#10;GzHSAAAAAwEAAA8AAAAAAAAAAQAgAAAAIgAAAGRycy9kb3ducmV2LnhtbFBLAQIUABQAAAAIAIdO&#10;4kDnAbAy8AEAALYDAAAOAAAAAAAAAAEAIAAAACEBAABkcnMvZTJvRG9jLnhtbFBLBQYAAAAABgAG&#10;AFkBAACDBQAAAAA=&#10;">
          <v:path/>
          <v:fill on="f" focussize="0,0"/>
          <v:stroke on="f" joinstyle="miter"/>
          <v:imagedata o:title=""/>
          <o:lock v:ext="edit"/>
          <v:textbox inset="0mm,0mm,0mm,0mm" style="mso-fit-shape-to-text:t;">
            <w:txbxContent>
              <w:p>
                <w:r>
                  <w:rPr>
                    <w:rFonts w:hint="eastAsia"/>
                  </w:rPr>
                  <w:t>·</w:t>
                </w:r>
                <w:r>
                  <w:fldChar w:fldCharType="begin"/>
                </w:r>
                <w:r>
                  <w:instrText xml:space="preserve"> PAGE  \* MERGEFORMAT </w:instrText>
                </w:r>
                <w:r>
                  <w:fldChar w:fldCharType="separate"/>
                </w:r>
                <w:r>
                  <w:t>11</w:t>
                </w:r>
                <w:r>
                  <w:fldChar w:fldCharType="end"/>
                </w:r>
                <w:r>
                  <w:rPr>
                    <w:rFonts w:hint="eastAsia"/>
                  </w:rPr>
                  <w:t>·</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right"/>
      <w:rPr>
        <w:rFonts w:ascii="宋体" w:hAnsi="宋体"/>
      </w:rPr>
    </w:pPr>
    <w:r>
      <w:pict>
        <v:shape id="文本框 14" o:spid="_x0000_s2054" o:spt="202" type="#_x0000_t202" style="position:absolute;left:0pt;margin-top:0pt;height:11.65pt;width:22.55pt;mso-position-horizontal:outside;mso-position-horizontal-relative:margin;mso-wrap-style:none;z-index:25166131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NvAei75AQAAvQMAAA4AAAAAAAAAAAAAAAAALgIAAGRy&#10;cy9lMm9Eb2MueG1sUEsBAi0AFAAGAAgAAAAhAFSTZGnZAAAAAwEAAA8AAAAAAAAAAAAAAAAAUwQA&#10;AGRycy9kb3ducmV2LnhtbFBLBQYAAAAABAAEAPMAAABZBQAAAAA=&#10;">
          <v:path/>
          <v:fill on="f" focussize="0,0"/>
          <v:stroke on="f" joinstyle="miter"/>
          <v:imagedata o:title=""/>
          <o:lock v:ext="edit"/>
          <v:textbox inset="0mm,0mm,0mm,0mm" style="mso-fit-shape-to-text:t;">
            <w:txbxContent>
              <w:p>
                <w:pPr>
                  <w:pStyle w:val="10"/>
                </w:pPr>
                <w:r>
                  <w:rPr>
                    <w:rFonts w:hint="eastAsia"/>
                  </w:rPr>
                  <w:t>·</w:t>
                </w:r>
                <w:r>
                  <w:fldChar w:fldCharType="begin"/>
                </w:r>
                <w:r>
                  <w:instrText xml:space="preserve"> PAGE  \* MERGEFORMAT </w:instrText>
                </w:r>
                <w:r>
                  <w:fldChar w:fldCharType="separate"/>
                </w:r>
                <w:r>
                  <w:t>1</w:t>
                </w:r>
                <w:r>
                  <w:fldChar w:fldCharType="end"/>
                </w:r>
                <w:r>
                  <w:rPr>
                    <w:rFonts w:hint="eastAsia"/>
                  </w:rPr>
                  <w:t>·</w:t>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_x0000_s2055" o:spid="_x0000_s2055"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M6pebnPAAAABQEA&#10;AA8AAAAAAAAAAQAgAAAAIgAAAGRycy9kb3ducmV2LnhtbFBLAQIUABQAAAAIAIdO4kCxfqIr6gEA&#10;ALgDAAAOAAAAAAAAAAEAIAAAAB4BAABkcnMvZTJvRG9jLnhtbFBLBQYAAAAABgAGAFkBAAB6BQAA&#10;AAA=&#10;">
          <v:path/>
          <v:fill on="f" focussize="0,0"/>
          <v:stroke on="f" joinstyle="miter"/>
          <v:imagedata o:title=""/>
          <o:lock v:ext="edit"/>
          <v:textbox inset="0mm,0mm,0mm,0mm" style="mso-fit-shape-to-text:t;">
            <w:txbxContent>
              <w:p>
                <w:pPr>
                  <w:ind w:firstLine="10920" w:firstLineChars="5200"/>
                </w:pPr>
                <w:r>
                  <w:fldChar w:fldCharType="begin"/>
                </w:r>
                <w:r>
                  <w:instrText xml:space="preserve"> PAGE  \* MERGEFORMAT </w:instrText>
                </w:r>
                <w:r>
                  <w:fldChar w:fldCharType="separate"/>
                </w:r>
                <w:r>
                  <w:t>12</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42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rsids>
    <w:rsidRoot w:val="006D379B"/>
    <w:rsid w:val="00001ABA"/>
    <w:rsid w:val="00003462"/>
    <w:rsid w:val="00003CA1"/>
    <w:rsid w:val="00006866"/>
    <w:rsid w:val="0000794E"/>
    <w:rsid w:val="00010529"/>
    <w:rsid w:val="000120C6"/>
    <w:rsid w:val="0001396C"/>
    <w:rsid w:val="00014CEB"/>
    <w:rsid w:val="00017F7C"/>
    <w:rsid w:val="00020A8B"/>
    <w:rsid w:val="0002131B"/>
    <w:rsid w:val="00021C67"/>
    <w:rsid w:val="000220F5"/>
    <w:rsid w:val="00022588"/>
    <w:rsid w:val="00023B00"/>
    <w:rsid w:val="00025D48"/>
    <w:rsid w:val="000321B4"/>
    <w:rsid w:val="00034030"/>
    <w:rsid w:val="00034733"/>
    <w:rsid w:val="00036EB0"/>
    <w:rsid w:val="00036F08"/>
    <w:rsid w:val="000408D5"/>
    <w:rsid w:val="00042FC3"/>
    <w:rsid w:val="00043C18"/>
    <w:rsid w:val="00043F0A"/>
    <w:rsid w:val="0004525E"/>
    <w:rsid w:val="00045429"/>
    <w:rsid w:val="00045642"/>
    <w:rsid w:val="00050C44"/>
    <w:rsid w:val="000530CD"/>
    <w:rsid w:val="000534C9"/>
    <w:rsid w:val="000538A5"/>
    <w:rsid w:val="00056021"/>
    <w:rsid w:val="00057249"/>
    <w:rsid w:val="00060366"/>
    <w:rsid w:val="00062423"/>
    <w:rsid w:val="00062899"/>
    <w:rsid w:val="00064F4C"/>
    <w:rsid w:val="00070AC0"/>
    <w:rsid w:val="0007178E"/>
    <w:rsid w:val="000719B8"/>
    <w:rsid w:val="00071E13"/>
    <w:rsid w:val="0007376E"/>
    <w:rsid w:val="00073E34"/>
    <w:rsid w:val="00077F38"/>
    <w:rsid w:val="00080468"/>
    <w:rsid w:val="00080E24"/>
    <w:rsid w:val="000819BC"/>
    <w:rsid w:val="00082207"/>
    <w:rsid w:val="0008293B"/>
    <w:rsid w:val="000853A4"/>
    <w:rsid w:val="0009177D"/>
    <w:rsid w:val="000917A6"/>
    <w:rsid w:val="0009228B"/>
    <w:rsid w:val="00092F6C"/>
    <w:rsid w:val="0009462B"/>
    <w:rsid w:val="000946C8"/>
    <w:rsid w:val="000948E9"/>
    <w:rsid w:val="00095FFD"/>
    <w:rsid w:val="00096D68"/>
    <w:rsid w:val="00096EA8"/>
    <w:rsid w:val="00096F58"/>
    <w:rsid w:val="00097AB3"/>
    <w:rsid w:val="000A0162"/>
    <w:rsid w:val="000A1802"/>
    <w:rsid w:val="000A3790"/>
    <w:rsid w:val="000A3990"/>
    <w:rsid w:val="000A3BFC"/>
    <w:rsid w:val="000A4155"/>
    <w:rsid w:val="000A4A88"/>
    <w:rsid w:val="000A6F5E"/>
    <w:rsid w:val="000B1CA9"/>
    <w:rsid w:val="000B3E00"/>
    <w:rsid w:val="000B515D"/>
    <w:rsid w:val="000B5208"/>
    <w:rsid w:val="000B56CE"/>
    <w:rsid w:val="000B5B1C"/>
    <w:rsid w:val="000B5BC8"/>
    <w:rsid w:val="000B6727"/>
    <w:rsid w:val="000B78AC"/>
    <w:rsid w:val="000C1A04"/>
    <w:rsid w:val="000C2615"/>
    <w:rsid w:val="000C4EFE"/>
    <w:rsid w:val="000C50AE"/>
    <w:rsid w:val="000C51D8"/>
    <w:rsid w:val="000C5EFB"/>
    <w:rsid w:val="000C6A0A"/>
    <w:rsid w:val="000C6B47"/>
    <w:rsid w:val="000D0888"/>
    <w:rsid w:val="000D21B5"/>
    <w:rsid w:val="000D2565"/>
    <w:rsid w:val="000D2960"/>
    <w:rsid w:val="000D3A2B"/>
    <w:rsid w:val="000D448A"/>
    <w:rsid w:val="000D4530"/>
    <w:rsid w:val="000D5881"/>
    <w:rsid w:val="000D7656"/>
    <w:rsid w:val="000D7A9C"/>
    <w:rsid w:val="000E1351"/>
    <w:rsid w:val="000E1FA6"/>
    <w:rsid w:val="000E3001"/>
    <w:rsid w:val="000E3268"/>
    <w:rsid w:val="000E445F"/>
    <w:rsid w:val="000E4505"/>
    <w:rsid w:val="000E64FB"/>
    <w:rsid w:val="000E65B4"/>
    <w:rsid w:val="000E71B2"/>
    <w:rsid w:val="000E7420"/>
    <w:rsid w:val="000E7901"/>
    <w:rsid w:val="000F0638"/>
    <w:rsid w:val="000F126E"/>
    <w:rsid w:val="000F185F"/>
    <w:rsid w:val="000F23B1"/>
    <w:rsid w:val="000F244E"/>
    <w:rsid w:val="000F2835"/>
    <w:rsid w:val="000F395F"/>
    <w:rsid w:val="000F5D38"/>
    <w:rsid w:val="000F6950"/>
    <w:rsid w:val="000F6D2C"/>
    <w:rsid w:val="000F7ABF"/>
    <w:rsid w:val="00100854"/>
    <w:rsid w:val="00100C5C"/>
    <w:rsid w:val="00101446"/>
    <w:rsid w:val="00102A98"/>
    <w:rsid w:val="0010312C"/>
    <w:rsid w:val="0010497D"/>
    <w:rsid w:val="00104BD4"/>
    <w:rsid w:val="00105514"/>
    <w:rsid w:val="00105937"/>
    <w:rsid w:val="00105B92"/>
    <w:rsid w:val="001064BD"/>
    <w:rsid w:val="00106577"/>
    <w:rsid w:val="00106E8B"/>
    <w:rsid w:val="001100D0"/>
    <w:rsid w:val="0011041B"/>
    <w:rsid w:val="001105F2"/>
    <w:rsid w:val="00111801"/>
    <w:rsid w:val="00111837"/>
    <w:rsid w:val="00111B1A"/>
    <w:rsid w:val="001152C0"/>
    <w:rsid w:val="00116710"/>
    <w:rsid w:val="00117CD6"/>
    <w:rsid w:val="001227D7"/>
    <w:rsid w:val="00122B04"/>
    <w:rsid w:val="00122B21"/>
    <w:rsid w:val="00122C18"/>
    <w:rsid w:val="00123552"/>
    <w:rsid w:val="00123777"/>
    <w:rsid w:val="00123F64"/>
    <w:rsid w:val="00124956"/>
    <w:rsid w:val="00130645"/>
    <w:rsid w:val="00131574"/>
    <w:rsid w:val="0013157A"/>
    <w:rsid w:val="0013353C"/>
    <w:rsid w:val="00133D11"/>
    <w:rsid w:val="00135A91"/>
    <w:rsid w:val="00135EE7"/>
    <w:rsid w:val="00137167"/>
    <w:rsid w:val="0013775F"/>
    <w:rsid w:val="001402B6"/>
    <w:rsid w:val="0014102F"/>
    <w:rsid w:val="00141249"/>
    <w:rsid w:val="0014193B"/>
    <w:rsid w:val="00141EB6"/>
    <w:rsid w:val="001422CC"/>
    <w:rsid w:val="00142A87"/>
    <w:rsid w:val="00143985"/>
    <w:rsid w:val="00145A42"/>
    <w:rsid w:val="001465FA"/>
    <w:rsid w:val="00147033"/>
    <w:rsid w:val="00150952"/>
    <w:rsid w:val="00152AD9"/>
    <w:rsid w:val="00154BCA"/>
    <w:rsid w:val="001558E7"/>
    <w:rsid w:val="00156895"/>
    <w:rsid w:val="00157A3E"/>
    <w:rsid w:val="00161227"/>
    <w:rsid w:val="00162040"/>
    <w:rsid w:val="001629F1"/>
    <w:rsid w:val="00164055"/>
    <w:rsid w:val="00164470"/>
    <w:rsid w:val="00167845"/>
    <w:rsid w:val="00171F6B"/>
    <w:rsid w:val="00174D9E"/>
    <w:rsid w:val="00175BCD"/>
    <w:rsid w:val="00177426"/>
    <w:rsid w:val="00177D54"/>
    <w:rsid w:val="00181A3D"/>
    <w:rsid w:val="00182486"/>
    <w:rsid w:val="001865E6"/>
    <w:rsid w:val="00187E8A"/>
    <w:rsid w:val="00190041"/>
    <w:rsid w:val="001904F3"/>
    <w:rsid w:val="0019263E"/>
    <w:rsid w:val="00192F10"/>
    <w:rsid w:val="001934FF"/>
    <w:rsid w:val="001935AC"/>
    <w:rsid w:val="00193775"/>
    <w:rsid w:val="00194182"/>
    <w:rsid w:val="001947E2"/>
    <w:rsid w:val="00195EB6"/>
    <w:rsid w:val="00196252"/>
    <w:rsid w:val="00196B24"/>
    <w:rsid w:val="00196C5A"/>
    <w:rsid w:val="0019740A"/>
    <w:rsid w:val="0019768E"/>
    <w:rsid w:val="001A1656"/>
    <w:rsid w:val="001A263B"/>
    <w:rsid w:val="001A3A24"/>
    <w:rsid w:val="001A47A9"/>
    <w:rsid w:val="001A50C5"/>
    <w:rsid w:val="001A50FC"/>
    <w:rsid w:val="001A5694"/>
    <w:rsid w:val="001A65EF"/>
    <w:rsid w:val="001B0530"/>
    <w:rsid w:val="001B07BD"/>
    <w:rsid w:val="001B0A26"/>
    <w:rsid w:val="001B0E42"/>
    <w:rsid w:val="001B135B"/>
    <w:rsid w:val="001B2BED"/>
    <w:rsid w:val="001B3AE0"/>
    <w:rsid w:val="001B4079"/>
    <w:rsid w:val="001B4642"/>
    <w:rsid w:val="001B51E8"/>
    <w:rsid w:val="001B704A"/>
    <w:rsid w:val="001B782A"/>
    <w:rsid w:val="001C16FE"/>
    <w:rsid w:val="001C3E78"/>
    <w:rsid w:val="001C5440"/>
    <w:rsid w:val="001C5CE1"/>
    <w:rsid w:val="001C675C"/>
    <w:rsid w:val="001C7510"/>
    <w:rsid w:val="001D05FD"/>
    <w:rsid w:val="001D0F65"/>
    <w:rsid w:val="001D168B"/>
    <w:rsid w:val="001D3EFB"/>
    <w:rsid w:val="001D4406"/>
    <w:rsid w:val="001D49C9"/>
    <w:rsid w:val="001D4F05"/>
    <w:rsid w:val="001D7534"/>
    <w:rsid w:val="001E02CE"/>
    <w:rsid w:val="001E2655"/>
    <w:rsid w:val="001E2E4C"/>
    <w:rsid w:val="001E5737"/>
    <w:rsid w:val="001E57E3"/>
    <w:rsid w:val="001E6497"/>
    <w:rsid w:val="001E7C7F"/>
    <w:rsid w:val="001F005C"/>
    <w:rsid w:val="001F0C07"/>
    <w:rsid w:val="001F15E8"/>
    <w:rsid w:val="001F1AD7"/>
    <w:rsid w:val="001F25F9"/>
    <w:rsid w:val="001F341A"/>
    <w:rsid w:val="001F5268"/>
    <w:rsid w:val="001F7045"/>
    <w:rsid w:val="001F7215"/>
    <w:rsid w:val="001F7EDA"/>
    <w:rsid w:val="001F7FA6"/>
    <w:rsid w:val="001F7FD7"/>
    <w:rsid w:val="00201FA0"/>
    <w:rsid w:val="002025A1"/>
    <w:rsid w:val="00205584"/>
    <w:rsid w:val="00205D00"/>
    <w:rsid w:val="0020746A"/>
    <w:rsid w:val="00210D3E"/>
    <w:rsid w:val="0021113C"/>
    <w:rsid w:val="00213D2C"/>
    <w:rsid w:val="00217988"/>
    <w:rsid w:val="0022136B"/>
    <w:rsid w:val="00222BE1"/>
    <w:rsid w:val="00222E0B"/>
    <w:rsid w:val="00222FD8"/>
    <w:rsid w:val="00224CF9"/>
    <w:rsid w:val="002278BB"/>
    <w:rsid w:val="002307A9"/>
    <w:rsid w:val="00230C3F"/>
    <w:rsid w:val="002337F8"/>
    <w:rsid w:val="0023590E"/>
    <w:rsid w:val="00236699"/>
    <w:rsid w:val="00236A44"/>
    <w:rsid w:val="00236B81"/>
    <w:rsid w:val="00237278"/>
    <w:rsid w:val="00237A88"/>
    <w:rsid w:val="00240218"/>
    <w:rsid w:val="002413C5"/>
    <w:rsid w:val="00241742"/>
    <w:rsid w:val="00241BF5"/>
    <w:rsid w:val="00241ED4"/>
    <w:rsid w:val="002442FB"/>
    <w:rsid w:val="0024564D"/>
    <w:rsid w:val="00245C9C"/>
    <w:rsid w:val="002461C9"/>
    <w:rsid w:val="0024695F"/>
    <w:rsid w:val="002470A4"/>
    <w:rsid w:val="002479B0"/>
    <w:rsid w:val="00250563"/>
    <w:rsid w:val="00250BFC"/>
    <w:rsid w:val="002519E7"/>
    <w:rsid w:val="00251DF6"/>
    <w:rsid w:val="00251F3E"/>
    <w:rsid w:val="0025336B"/>
    <w:rsid w:val="00253771"/>
    <w:rsid w:val="002543B3"/>
    <w:rsid w:val="002550F7"/>
    <w:rsid w:val="00255867"/>
    <w:rsid w:val="00255DD4"/>
    <w:rsid w:val="00255FA0"/>
    <w:rsid w:val="002564DB"/>
    <w:rsid w:val="002573EF"/>
    <w:rsid w:val="002577FA"/>
    <w:rsid w:val="00260A93"/>
    <w:rsid w:val="002623A8"/>
    <w:rsid w:val="00262E29"/>
    <w:rsid w:val="0026303A"/>
    <w:rsid w:val="00264443"/>
    <w:rsid w:val="002668B1"/>
    <w:rsid w:val="00271041"/>
    <w:rsid w:val="00272052"/>
    <w:rsid w:val="00273528"/>
    <w:rsid w:val="00275FD9"/>
    <w:rsid w:val="0028294A"/>
    <w:rsid w:val="00283B18"/>
    <w:rsid w:val="00286146"/>
    <w:rsid w:val="00286F7D"/>
    <w:rsid w:val="00287FE3"/>
    <w:rsid w:val="00290B71"/>
    <w:rsid w:val="00291449"/>
    <w:rsid w:val="002927A1"/>
    <w:rsid w:val="002933F4"/>
    <w:rsid w:val="00295BB8"/>
    <w:rsid w:val="00295FDA"/>
    <w:rsid w:val="00296072"/>
    <w:rsid w:val="002966ED"/>
    <w:rsid w:val="00296DD2"/>
    <w:rsid w:val="00297D05"/>
    <w:rsid w:val="002A01B7"/>
    <w:rsid w:val="002A02C1"/>
    <w:rsid w:val="002A17B5"/>
    <w:rsid w:val="002A1FC5"/>
    <w:rsid w:val="002A2824"/>
    <w:rsid w:val="002A29B2"/>
    <w:rsid w:val="002A2E89"/>
    <w:rsid w:val="002A2EF5"/>
    <w:rsid w:val="002A3754"/>
    <w:rsid w:val="002A3CF5"/>
    <w:rsid w:val="002A4915"/>
    <w:rsid w:val="002A5412"/>
    <w:rsid w:val="002A5D16"/>
    <w:rsid w:val="002A6A13"/>
    <w:rsid w:val="002B16A0"/>
    <w:rsid w:val="002B1EBE"/>
    <w:rsid w:val="002B2609"/>
    <w:rsid w:val="002B5774"/>
    <w:rsid w:val="002C18C2"/>
    <w:rsid w:val="002C2178"/>
    <w:rsid w:val="002C41BD"/>
    <w:rsid w:val="002C48CA"/>
    <w:rsid w:val="002C4A54"/>
    <w:rsid w:val="002C4CBF"/>
    <w:rsid w:val="002C529C"/>
    <w:rsid w:val="002C6AE4"/>
    <w:rsid w:val="002C70CB"/>
    <w:rsid w:val="002C7252"/>
    <w:rsid w:val="002C7CA9"/>
    <w:rsid w:val="002D3194"/>
    <w:rsid w:val="002D4857"/>
    <w:rsid w:val="002D6E2C"/>
    <w:rsid w:val="002D70CB"/>
    <w:rsid w:val="002D720F"/>
    <w:rsid w:val="002D7C2E"/>
    <w:rsid w:val="002E1B34"/>
    <w:rsid w:val="002E32D6"/>
    <w:rsid w:val="002E6D14"/>
    <w:rsid w:val="002E7E6F"/>
    <w:rsid w:val="002F17E7"/>
    <w:rsid w:val="002F4460"/>
    <w:rsid w:val="002F6670"/>
    <w:rsid w:val="00300880"/>
    <w:rsid w:val="003012CF"/>
    <w:rsid w:val="0030189E"/>
    <w:rsid w:val="00301DC9"/>
    <w:rsid w:val="00302B5E"/>
    <w:rsid w:val="00304B81"/>
    <w:rsid w:val="0030769B"/>
    <w:rsid w:val="00311A71"/>
    <w:rsid w:val="00311B21"/>
    <w:rsid w:val="00311FA9"/>
    <w:rsid w:val="0031247D"/>
    <w:rsid w:val="00313016"/>
    <w:rsid w:val="0031310A"/>
    <w:rsid w:val="00314097"/>
    <w:rsid w:val="00316CDE"/>
    <w:rsid w:val="00317044"/>
    <w:rsid w:val="003171AE"/>
    <w:rsid w:val="0032031A"/>
    <w:rsid w:val="0032172C"/>
    <w:rsid w:val="00321CCD"/>
    <w:rsid w:val="0032251B"/>
    <w:rsid w:val="00323696"/>
    <w:rsid w:val="00324A98"/>
    <w:rsid w:val="00326F76"/>
    <w:rsid w:val="003279B7"/>
    <w:rsid w:val="00330B27"/>
    <w:rsid w:val="003330FF"/>
    <w:rsid w:val="00335CC9"/>
    <w:rsid w:val="00336C9D"/>
    <w:rsid w:val="003406D1"/>
    <w:rsid w:val="00340C5F"/>
    <w:rsid w:val="00341CBC"/>
    <w:rsid w:val="003426F0"/>
    <w:rsid w:val="00342B1C"/>
    <w:rsid w:val="00342F44"/>
    <w:rsid w:val="0034522D"/>
    <w:rsid w:val="00345D0C"/>
    <w:rsid w:val="00347935"/>
    <w:rsid w:val="0035219B"/>
    <w:rsid w:val="003521B2"/>
    <w:rsid w:val="00352B7B"/>
    <w:rsid w:val="0035429C"/>
    <w:rsid w:val="003548B5"/>
    <w:rsid w:val="00357FF4"/>
    <w:rsid w:val="003618A2"/>
    <w:rsid w:val="00361CD8"/>
    <w:rsid w:val="00365F84"/>
    <w:rsid w:val="003669B2"/>
    <w:rsid w:val="0036730C"/>
    <w:rsid w:val="003677D2"/>
    <w:rsid w:val="003720AB"/>
    <w:rsid w:val="0037254C"/>
    <w:rsid w:val="00372B48"/>
    <w:rsid w:val="00374082"/>
    <w:rsid w:val="003740F3"/>
    <w:rsid w:val="00374279"/>
    <w:rsid w:val="003751F5"/>
    <w:rsid w:val="003759E7"/>
    <w:rsid w:val="003772D3"/>
    <w:rsid w:val="0037793B"/>
    <w:rsid w:val="0038118A"/>
    <w:rsid w:val="00383BB2"/>
    <w:rsid w:val="00383EA0"/>
    <w:rsid w:val="003859BA"/>
    <w:rsid w:val="00386C83"/>
    <w:rsid w:val="003905C3"/>
    <w:rsid w:val="00390701"/>
    <w:rsid w:val="00391978"/>
    <w:rsid w:val="003934AC"/>
    <w:rsid w:val="00394580"/>
    <w:rsid w:val="00397849"/>
    <w:rsid w:val="00397951"/>
    <w:rsid w:val="003A03F8"/>
    <w:rsid w:val="003A0942"/>
    <w:rsid w:val="003A255E"/>
    <w:rsid w:val="003A4030"/>
    <w:rsid w:val="003A41DA"/>
    <w:rsid w:val="003A595A"/>
    <w:rsid w:val="003A6851"/>
    <w:rsid w:val="003A6ED1"/>
    <w:rsid w:val="003A79D2"/>
    <w:rsid w:val="003B01CC"/>
    <w:rsid w:val="003B14BF"/>
    <w:rsid w:val="003B3C9C"/>
    <w:rsid w:val="003B428F"/>
    <w:rsid w:val="003B57EE"/>
    <w:rsid w:val="003B64D8"/>
    <w:rsid w:val="003B6EAD"/>
    <w:rsid w:val="003C00E5"/>
    <w:rsid w:val="003C135D"/>
    <w:rsid w:val="003C34AD"/>
    <w:rsid w:val="003C40B7"/>
    <w:rsid w:val="003C4DCF"/>
    <w:rsid w:val="003C4EC4"/>
    <w:rsid w:val="003C5A68"/>
    <w:rsid w:val="003C631F"/>
    <w:rsid w:val="003D0897"/>
    <w:rsid w:val="003D189B"/>
    <w:rsid w:val="003D3B42"/>
    <w:rsid w:val="003D4248"/>
    <w:rsid w:val="003D4355"/>
    <w:rsid w:val="003D5F39"/>
    <w:rsid w:val="003D5FCF"/>
    <w:rsid w:val="003D6B97"/>
    <w:rsid w:val="003D73A1"/>
    <w:rsid w:val="003E0714"/>
    <w:rsid w:val="003E1EA6"/>
    <w:rsid w:val="003E2CCB"/>
    <w:rsid w:val="003E5279"/>
    <w:rsid w:val="003E66B9"/>
    <w:rsid w:val="003E683F"/>
    <w:rsid w:val="003E6EAB"/>
    <w:rsid w:val="003F06B0"/>
    <w:rsid w:val="003F0A75"/>
    <w:rsid w:val="003F1161"/>
    <w:rsid w:val="003F11B5"/>
    <w:rsid w:val="003F2E84"/>
    <w:rsid w:val="003F45E7"/>
    <w:rsid w:val="003F4886"/>
    <w:rsid w:val="003F55A5"/>
    <w:rsid w:val="003F6CB8"/>
    <w:rsid w:val="003F73E6"/>
    <w:rsid w:val="003F7AE9"/>
    <w:rsid w:val="004025B1"/>
    <w:rsid w:val="00404E83"/>
    <w:rsid w:val="00405268"/>
    <w:rsid w:val="00406AA8"/>
    <w:rsid w:val="0041022C"/>
    <w:rsid w:val="00411277"/>
    <w:rsid w:val="00411546"/>
    <w:rsid w:val="004133A9"/>
    <w:rsid w:val="004134F6"/>
    <w:rsid w:val="004144B4"/>
    <w:rsid w:val="00414988"/>
    <w:rsid w:val="0042053B"/>
    <w:rsid w:val="004213E8"/>
    <w:rsid w:val="004229FD"/>
    <w:rsid w:val="00424470"/>
    <w:rsid w:val="004265C8"/>
    <w:rsid w:val="00426CF0"/>
    <w:rsid w:val="00427258"/>
    <w:rsid w:val="00427412"/>
    <w:rsid w:val="004276DB"/>
    <w:rsid w:val="004308CF"/>
    <w:rsid w:val="004309B5"/>
    <w:rsid w:val="00431375"/>
    <w:rsid w:val="00431CEF"/>
    <w:rsid w:val="00432975"/>
    <w:rsid w:val="00433554"/>
    <w:rsid w:val="00435326"/>
    <w:rsid w:val="004363A9"/>
    <w:rsid w:val="00436BA6"/>
    <w:rsid w:val="00436DB4"/>
    <w:rsid w:val="00436EC5"/>
    <w:rsid w:val="00437379"/>
    <w:rsid w:val="0044011C"/>
    <w:rsid w:val="004403BA"/>
    <w:rsid w:val="0044149D"/>
    <w:rsid w:val="00443C35"/>
    <w:rsid w:val="00444AC7"/>
    <w:rsid w:val="00444C8E"/>
    <w:rsid w:val="004458C5"/>
    <w:rsid w:val="00445C1E"/>
    <w:rsid w:val="0044617A"/>
    <w:rsid w:val="00446C24"/>
    <w:rsid w:val="004470A9"/>
    <w:rsid w:val="00447E52"/>
    <w:rsid w:val="0045054D"/>
    <w:rsid w:val="0045415E"/>
    <w:rsid w:val="00457A62"/>
    <w:rsid w:val="00460AFF"/>
    <w:rsid w:val="004639AE"/>
    <w:rsid w:val="00464C49"/>
    <w:rsid w:val="004655EB"/>
    <w:rsid w:val="00465BD0"/>
    <w:rsid w:val="00466DB6"/>
    <w:rsid w:val="00467BCE"/>
    <w:rsid w:val="00471606"/>
    <w:rsid w:val="004717D8"/>
    <w:rsid w:val="004721F2"/>
    <w:rsid w:val="004743F6"/>
    <w:rsid w:val="00474EB0"/>
    <w:rsid w:val="00474F93"/>
    <w:rsid w:val="00476615"/>
    <w:rsid w:val="00476F79"/>
    <w:rsid w:val="004770BA"/>
    <w:rsid w:val="004823B4"/>
    <w:rsid w:val="004837AB"/>
    <w:rsid w:val="004838D5"/>
    <w:rsid w:val="00483A4A"/>
    <w:rsid w:val="00485E7B"/>
    <w:rsid w:val="00486C98"/>
    <w:rsid w:val="00487006"/>
    <w:rsid w:val="004874A4"/>
    <w:rsid w:val="00490956"/>
    <w:rsid w:val="00491B80"/>
    <w:rsid w:val="00491CD0"/>
    <w:rsid w:val="0049411F"/>
    <w:rsid w:val="00495078"/>
    <w:rsid w:val="00496801"/>
    <w:rsid w:val="004969E4"/>
    <w:rsid w:val="0049766B"/>
    <w:rsid w:val="00497C3C"/>
    <w:rsid w:val="00497E54"/>
    <w:rsid w:val="004A0001"/>
    <w:rsid w:val="004A08F2"/>
    <w:rsid w:val="004A1D17"/>
    <w:rsid w:val="004A3888"/>
    <w:rsid w:val="004A3AFF"/>
    <w:rsid w:val="004A4303"/>
    <w:rsid w:val="004A57CA"/>
    <w:rsid w:val="004A6088"/>
    <w:rsid w:val="004A6342"/>
    <w:rsid w:val="004A7D76"/>
    <w:rsid w:val="004A7E8F"/>
    <w:rsid w:val="004A7EFC"/>
    <w:rsid w:val="004B065B"/>
    <w:rsid w:val="004B0ADF"/>
    <w:rsid w:val="004B0C5F"/>
    <w:rsid w:val="004B1A10"/>
    <w:rsid w:val="004B1D7B"/>
    <w:rsid w:val="004B20BD"/>
    <w:rsid w:val="004B242D"/>
    <w:rsid w:val="004B2763"/>
    <w:rsid w:val="004B39A6"/>
    <w:rsid w:val="004B3D22"/>
    <w:rsid w:val="004B6002"/>
    <w:rsid w:val="004B6323"/>
    <w:rsid w:val="004B63C4"/>
    <w:rsid w:val="004B6428"/>
    <w:rsid w:val="004B7488"/>
    <w:rsid w:val="004C3679"/>
    <w:rsid w:val="004C39E0"/>
    <w:rsid w:val="004C4979"/>
    <w:rsid w:val="004C7D5D"/>
    <w:rsid w:val="004C7D70"/>
    <w:rsid w:val="004D10D3"/>
    <w:rsid w:val="004D41A2"/>
    <w:rsid w:val="004D47DB"/>
    <w:rsid w:val="004D4E1F"/>
    <w:rsid w:val="004D5B10"/>
    <w:rsid w:val="004D7378"/>
    <w:rsid w:val="004D78EB"/>
    <w:rsid w:val="004D7D04"/>
    <w:rsid w:val="004E1224"/>
    <w:rsid w:val="004E17CF"/>
    <w:rsid w:val="004E31D2"/>
    <w:rsid w:val="004E3A46"/>
    <w:rsid w:val="004E4201"/>
    <w:rsid w:val="004E5CE3"/>
    <w:rsid w:val="004E5D01"/>
    <w:rsid w:val="004E7118"/>
    <w:rsid w:val="004E7124"/>
    <w:rsid w:val="004E7CA7"/>
    <w:rsid w:val="004F08B2"/>
    <w:rsid w:val="004F1468"/>
    <w:rsid w:val="004F20CE"/>
    <w:rsid w:val="004F2C20"/>
    <w:rsid w:val="004F4D97"/>
    <w:rsid w:val="004F4D9B"/>
    <w:rsid w:val="004F5DA3"/>
    <w:rsid w:val="004F7171"/>
    <w:rsid w:val="00502D85"/>
    <w:rsid w:val="00503A4A"/>
    <w:rsid w:val="00504F10"/>
    <w:rsid w:val="005057F9"/>
    <w:rsid w:val="00506CCF"/>
    <w:rsid w:val="005070EA"/>
    <w:rsid w:val="00507EBE"/>
    <w:rsid w:val="00512F80"/>
    <w:rsid w:val="00512FEB"/>
    <w:rsid w:val="0051389D"/>
    <w:rsid w:val="005143D8"/>
    <w:rsid w:val="00514796"/>
    <w:rsid w:val="00515F42"/>
    <w:rsid w:val="00516D8C"/>
    <w:rsid w:val="005174BE"/>
    <w:rsid w:val="00520B48"/>
    <w:rsid w:val="0052151F"/>
    <w:rsid w:val="00524180"/>
    <w:rsid w:val="00525C1B"/>
    <w:rsid w:val="005262C3"/>
    <w:rsid w:val="0052647D"/>
    <w:rsid w:val="00526FAF"/>
    <w:rsid w:val="005306C3"/>
    <w:rsid w:val="00530E4B"/>
    <w:rsid w:val="00532143"/>
    <w:rsid w:val="00532AAF"/>
    <w:rsid w:val="00532C76"/>
    <w:rsid w:val="00532CB2"/>
    <w:rsid w:val="00532DF3"/>
    <w:rsid w:val="005347C1"/>
    <w:rsid w:val="0053582F"/>
    <w:rsid w:val="00536B33"/>
    <w:rsid w:val="00537689"/>
    <w:rsid w:val="00540B76"/>
    <w:rsid w:val="005414A2"/>
    <w:rsid w:val="00541720"/>
    <w:rsid w:val="00541C36"/>
    <w:rsid w:val="005437EF"/>
    <w:rsid w:val="00544000"/>
    <w:rsid w:val="0054421C"/>
    <w:rsid w:val="0054436B"/>
    <w:rsid w:val="005453ED"/>
    <w:rsid w:val="005455A2"/>
    <w:rsid w:val="00547AA6"/>
    <w:rsid w:val="0055069F"/>
    <w:rsid w:val="00551315"/>
    <w:rsid w:val="00552446"/>
    <w:rsid w:val="005560A9"/>
    <w:rsid w:val="005608B8"/>
    <w:rsid w:val="00561BF0"/>
    <w:rsid w:val="00561D84"/>
    <w:rsid w:val="0056223B"/>
    <w:rsid w:val="00563553"/>
    <w:rsid w:val="00563F40"/>
    <w:rsid w:val="00564BB3"/>
    <w:rsid w:val="00564F18"/>
    <w:rsid w:val="00567369"/>
    <w:rsid w:val="005675E8"/>
    <w:rsid w:val="00570320"/>
    <w:rsid w:val="00570F8D"/>
    <w:rsid w:val="00572046"/>
    <w:rsid w:val="005721CA"/>
    <w:rsid w:val="005729AF"/>
    <w:rsid w:val="0057658F"/>
    <w:rsid w:val="00581A1F"/>
    <w:rsid w:val="00581C23"/>
    <w:rsid w:val="0059095C"/>
    <w:rsid w:val="00590E53"/>
    <w:rsid w:val="005A2540"/>
    <w:rsid w:val="005A2F0E"/>
    <w:rsid w:val="005A4544"/>
    <w:rsid w:val="005A7260"/>
    <w:rsid w:val="005B1340"/>
    <w:rsid w:val="005B22FA"/>
    <w:rsid w:val="005B2C39"/>
    <w:rsid w:val="005B2F73"/>
    <w:rsid w:val="005B383A"/>
    <w:rsid w:val="005B54CF"/>
    <w:rsid w:val="005B6EEC"/>
    <w:rsid w:val="005B773C"/>
    <w:rsid w:val="005C0182"/>
    <w:rsid w:val="005C0876"/>
    <w:rsid w:val="005C0ACA"/>
    <w:rsid w:val="005C23B4"/>
    <w:rsid w:val="005C3208"/>
    <w:rsid w:val="005C4153"/>
    <w:rsid w:val="005C45F2"/>
    <w:rsid w:val="005C6698"/>
    <w:rsid w:val="005C6E31"/>
    <w:rsid w:val="005C79EC"/>
    <w:rsid w:val="005C7C83"/>
    <w:rsid w:val="005D329B"/>
    <w:rsid w:val="005D368D"/>
    <w:rsid w:val="005D4AAF"/>
    <w:rsid w:val="005D4B57"/>
    <w:rsid w:val="005D753D"/>
    <w:rsid w:val="005E1B44"/>
    <w:rsid w:val="005E2D3A"/>
    <w:rsid w:val="005E35EA"/>
    <w:rsid w:val="005E4443"/>
    <w:rsid w:val="005E4C4C"/>
    <w:rsid w:val="005E6D2E"/>
    <w:rsid w:val="005E702F"/>
    <w:rsid w:val="005E7732"/>
    <w:rsid w:val="005F0A67"/>
    <w:rsid w:val="005F33DC"/>
    <w:rsid w:val="005F4188"/>
    <w:rsid w:val="005F4661"/>
    <w:rsid w:val="005F5124"/>
    <w:rsid w:val="005F7BC7"/>
    <w:rsid w:val="006002E8"/>
    <w:rsid w:val="006014E6"/>
    <w:rsid w:val="00601706"/>
    <w:rsid w:val="00601ACA"/>
    <w:rsid w:val="00601D36"/>
    <w:rsid w:val="00602339"/>
    <w:rsid w:val="00603D18"/>
    <w:rsid w:val="00603E16"/>
    <w:rsid w:val="006046F2"/>
    <w:rsid w:val="00606307"/>
    <w:rsid w:val="00606E7F"/>
    <w:rsid w:val="00613603"/>
    <w:rsid w:val="006138E2"/>
    <w:rsid w:val="00613CCF"/>
    <w:rsid w:val="0061496A"/>
    <w:rsid w:val="00615B4F"/>
    <w:rsid w:val="00616329"/>
    <w:rsid w:val="006178F5"/>
    <w:rsid w:val="006215ED"/>
    <w:rsid w:val="00622430"/>
    <w:rsid w:val="00622DB4"/>
    <w:rsid w:val="00624A60"/>
    <w:rsid w:val="00624BC0"/>
    <w:rsid w:val="00626715"/>
    <w:rsid w:val="0063026C"/>
    <w:rsid w:val="006308D6"/>
    <w:rsid w:val="00630A5A"/>
    <w:rsid w:val="00633024"/>
    <w:rsid w:val="00635840"/>
    <w:rsid w:val="0063612F"/>
    <w:rsid w:val="0063616E"/>
    <w:rsid w:val="00637F42"/>
    <w:rsid w:val="00640F27"/>
    <w:rsid w:val="006410DC"/>
    <w:rsid w:val="00641594"/>
    <w:rsid w:val="006425FA"/>
    <w:rsid w:val="00642F7D"/>
    <w:rsid w:val="0064395D"/>
    <w:rsid w:val="0064493B"/>
    <w:rsid w:val="0064674A"/>
    <w:rsid w:val="0064699C"/>
    <w:rsid w:val="0065247C"/>
    <w:rsid w:val="0065370A"/>
    <w:rsid w:val="00653A05"/>
    <w:rsid w:val="00653FCC"/>
    <w:rsid w:val="00654AF8"/>
    <w:rsid w:val="00654FC3"/>
    <w:rsid w:val="006551F4"/>
    <w:rsid w:val="006569AE"/>
    <w:rsid w:val="00657B5F"/>
    <w:rsid w:val="00660789"/>
    <w:rsid w:val="00660997"/>
    <w:rsid w:val="00660E12"/>
    <w:rsid w:val="006611C8"/>
    <w:rsid w:val="00662692"/>
    <w:rsid w:val="006627DC"/>
    <w:rsid w:val="00663973"/>
    <w:rsid w:val="00663B0C"/>
    <w:rsid w:val="00664FA2"/>
    <w:rsid w:val="00665384"/>
    <w:rsid w:val="00665B18"/>
    <w:rsid w:val="00666186"/>
    <w:rsid w:val="0066709E"/>
    <w:rsid w:val="0066726C"/>
    <w:rsid w:val="00670120"/>
    <w:rsid w:val="0067064B"/>
    <w:rsid w:val="00672F32"/>
    <w:rsid w:val="0067300C"/>
    <w:rsid w:val="0067441D"/>
    <w:rsid w:val="00675F2E"/>
    <w:rsid w:val="00676070"/>
    <w:rsid w:val="00676460"/>
    <w:rsid w:val="006766C4"/>
    <w:rsid w:val="00677CD0"/>
    <w:rsid w:val="00680C1F"/>
    <w:rsid w:val="00681378"/>
    <w:rsid w:val="00681603"/>
    <w:rsid w:val="00681CE4"/>
    <w:rsid w:val="0068590C"/>
    <w:rsid w:val="0068663C"/>
    <w:rsid w:val="00687DA8"/>
    <w:rsid w:val="00690666"/>
    <w:rsid w:val="00691014"/>
    <w:rsid w:val="006916DA"/>
    <w:rsid w:val="0069258C"/>
    <w:rsid w:val="006945B5"/>
    <w:rsid w:val="006963F9"/>
    <w:rsid w:val="00696614"/>
    <w:rsid w:val="006979FC"/>
    <w:rsid w:val="006A0284"/>
    <w:rsid w:val="006A06FD"/>
    <w:rsid w:val="006A2F41"/>
    <w:rsid w:val="006A4A04"/>
    <w:rsid w:val="006A66F2"/>
    <w:rsid w:val="006A69BB"/>
    <w:rsid w:val="006A7843"/>
    <w:rsid w:val="006A7EBC"/>
    <w:rsid w:val="006B0292"/>
    <w:rsid w:val="006B06E7"/>
    <w:rsid w:val="006B1205"/>
    <w:rsid w:val="006B156D"/>
    <w:rsid w:val="006B2BB5"/>
    <w:rsid w:val="006B398A"/>
    <w:rsid w:val="006B402F"/>
    <w:rsid w:val="006B4322"/>
    <w:rsid w:val="006B4FE2"/>
    <w:rsid w:val="006B5AAD"/>
    <w:rsid w:val="006B6CAE"/>
    <w:rsid w:val="006B6E02"/>
    <w:rsid w:val="006B734E"/>
    <w:rsid w:val="006B75CD"/>
    <w:rsid w:val="006C01B0"/>
    <w:rsid w:val="006C0796"/>
    <w:rsid w:val="006C26BD"/>
    <w:rsid w:val="006C36B2"/>
    <w:rsid w:val="006C51AB"/>
    <w:rsid w:val="006C5300"/>
    <w:rsid w:val="006C5316"/>
    <w:rsid w:val="006C6A76"/>
    <w:rsid w:val="006C6CE6"/>
    <w:rsid w:val="006C751B"/>
    <w:rsid w:val="006D04A5"/>
    <w:rsid w:val="006D075D"/>
    <w:rsid w:val="006D174C"/>
    <w:rsid w:val="006D379B"/>
    <w:rsid w:val="006D3FFB"/>
    <w:rsid w:val="006D5387"/>
    <w:rsid w:val="006D63A1"/>
    <w:rsid w:val="006D7AFB"/>
    <w:rsid w:val="006E0281"/>
    <w:rsid w:val="006E0B5C"/>
    <w:rsid w:val="006E2759"/>
    <w:rsid w:val="006E557D"/>
    <w:rsid w:val="006E591A"/>
    <w:rsid w:val="006E5E17"/>
    <w:rsid w:val="006F00F6"/>
    <w:rsid w:val="006F0EA6"/>
    <w:rsid w:val="006F258D"/>
    <w:rsid w:val="006F380E"/>
    <w:rsid w:val="006F61C3"/>
    <w:rsid w:val="006F69A5"/>
    <w:rsid w:val="006F6C8C"/>
    <w:rsid w:val="006F7E23"/>
    <w:rsid w:val="00700327"/>
    <w:rsid w:val="0070057C"/>
    <w:rsid w:val="00700D43"/>
    <w:rsid w:val="00701246"/>
    <w:rsid w:val="007022A1"/>
    <w:rsid w:val="00702891"/>
    <w:rsid w:val="007054A2"/>
    <w:rsid w:val="007070C0"/>
    <w:rsid w:val="00707785"/>
    <w:rsid w:val="0070782B"/>
    <w:rsid w:val="00710C89"/>
    <w:rsid w:val="00711A02"/>
    <w:rsid w:val="007120B2"/>
    <w:rsid w:val="00713EF2"/>
    <w:rsid w:val="00715FA7"/>
    <w:rsid w:val="00716808"/>
    <w:rsid w:val="00720028"/>
    <w:rsid w:val="0072281A"/>
    <w:rsid w:val="007230BC"/>
    <w:rsid w:val="00723EFB"/>
    <w:rsid w:val="00725F0C"/>
    <w:rsid w:val="007261E2"/>
    <w:rsid w:val="00726635"/>
    <w:rsid w:val="00727715"/>
    <w:rsid w:val="007310DE"/>
    <w:rsid w:val="007340C4"/>
    <w:rsid w:val="0073532F"/>
    <w:rsid w:val="00736AD7"/>
    <w:rsid w:val="00736F62"/>
    <w:rsid w:val="007376F5"/>
    <w:rsid w:val="00740009"/>
    <w:rsid w:val="00740E9B"/>
    <w:rsid w:val="00741532"/>
    <w:rsid w:val="007434CD"/>
    <w:rsid w:val="007446C1"/>
    <w:rsid w:val="00744E29"/>
    <w:rsid w:val="0075146D"/>
    <w:rsid w:val="0075232B"/>
    <w:rsid w:val="00752CD4"/>
    <w:rsid w:val="00753146"/>
    <w:rsid w:val="00753B83"/>
    <w:rsid w:val="007540A3"/>
    <w:rsid w:val="007540DA"/>
    <w:rsid w:val="00754924"/>
    <w:rsid w:val="007608E5"/>
    <w:rsid w:val="007609E6"/>
    <w:rsid w:val="00760CFC"/>
    <w:rsid w:val="007636A2"/>
    <w:rsid w:val="007636D9"/>
    <w:rsid w:val="00765198"/>
    <w:rsid w:val="00767C1A"/>
    <w:rsid w:val="00767D90"/>
    <w:rsid w:val="00767DCB"/>
    <w:rsid w:val="007703F0"/>
    <w:rsid w:val="007717EC"/>
    <w:rsid w:val="00771EC0"/>
    <w:rsid w:val="00773351"/>
    <w:rsid w:val="00773CDC"/>
    <w:rsid w:val="00774A63"/>
    <w:rsid w:val="0077519C"/>
    <w:rsid w:val="007755BA"/>
    <w:rsid w:val="0078061F"/>
    <w:rsid w:val="007834C9"/>
    <w:rsid w:val="0078442D"/>
    <w:rsid w:val="00784629"/>
    <w:rsid w:val="00785167"/>
    <w:rsid w:val="00785565"/>
    <w:rsid w:val="0078594D"/>
    <w:rsid w:val="007866FA"/>
    <w:rsid w:val="007868C6"/>
    <w:rsid w:val="00786CC7"/>
    <w:rsid w:val="007872B3"/>
    <w:rsid w:val="00787A4B"/>
    <w:rsid w:val="0079077D"/>
    <w:rsid w:val="0079112A"/>
    <w:rsid w:val="0079156E"/>
    <w:rsid w:val="007937E1"/>
    <w:rsid w:val="007952DE"/>
    <w:rsid w:val="007A1CF4"/>
    <w:rsid w:val="007A263E"/>
    <w:rsid w:val="007A3492"/>
    <w:rsid w:val="007A40E1"/>
    <w:rsid w:val="007A4354"/>
    <w:rsid w:val="007A4370"/>
    <w:rsid w:val="007A4382"/>
    <w:rsid w:val="007A55F9"/>
    <w:rsid w:val="007A5D77"/>
    <w:rsid w:val="007A5E0A"/>
    <w:rsid w:val="007A605D"/>
    <w:rsid w:val="007A73F9"/>
    <w:rsid w:val="007A7574"/>
    <w:rsid w:val="007A7656"/>
    <w:rsid w:val="007A7BEE"/>
    <w:rsid w:val="007B0036"/>
    <w:rsid w:val="007B07A6"/>
    <w:rsid w:val="007B082E"/>
    <w:rsid w:val="007B19C9"/>
    <w:rsid w:val="007B1EE7"/>
    <w:rsid w:val="007B27FF"/>
    <w:rsid w:val="007B6110"/>
    <w:rsid w:val="007B6D1D"/>
    <w:rsid w:val="007B7A4D"/>
    <w:rsid w:val="007C0295"/>
    <w:rsid w:val="007C1B5B"/>
    <w:rsid w:val="007C1DFD"/>
    <w:rsid w:val="007C240D"/>
    <w:rsid w:val="007C2F95"/>
    <w:rsid w:val="007C4984"/>
    <w:rsid w:val="007C58AB"/>
    <w:rsid w:val="007C7E55"/>
    <w:rsid w:val="007D2473"/>
    <w:rsid w:val="007D3157"/>
    <w:rsid w:val="007D58BF"/>
    <w:rsid w:val="007D6FBA"/>
    <w:rsid w:val="007D7754"/>
    <w:rsid w:val="007E1C4B"/>
    <w:rsid w:val="007E1CDA"/>
    <w:rsid w:val="007E39EF"/>
    <w:rsid w:val="007E3C7F"/>
    <w:rsid w:val="007E43C0"/>
    <w:rsid w:val="007E4613"/>
    <w:rsid w:val="007E4830"/>
    <w:rsid w:val="007E4928"/>
    <w:rsid w:val="007E4AD0"/>
    <w:rsid w:val="007E536B"/>
    <w:rsid w:val="007E58D0"/>
    <w:rsid w:val="007E5CCA"/>
    <w:rsid w:val="007E61F1"/>
    <w:rsid w:val="007E66B9"/>
    <w:rsid w:val="007E717D"/>
    <w:rsid w:val="007E7E25"/>
    <w:rsid w:val="007F265D"/>
    <w:rsid w:val="007F3EAB"/>
    <w:rsid w:val="007F4661"/>
    <w:rsid w:val="007F6F24"/>
    <w:rsid w:val="007F732C"/>
    <w:rsid w:val="00801EB2"/>
    <w:rsid w:val="00802A3E"/>
    <w:rsid w:val="00804251"/>
    <w:rsid w:val="00804A7F"/>
    <w:rsid w:val="008053F3"/>
    <w:rsid w:val="00807AB0"/>
    <w:rsid w:val="00807D3D"/>
    <w:rsid w:val="0081045F"/>
    <w:rsid w:val="00810A02"/>
    <w:rsid w:val="00810B54"/>
    <w:rsid w:val="00813936"/>
    <w:rsid w:val="008142EE"/>
    <w:rsid w:val="0081471F"/>
    <w:rsid w:val="00815E3B"/>
    <w:rsid w:val="0081669B"/>
    <w:rsid w:val="0081710A"/>
    <w:rsid w:val="00817812"/>
    <w:rsid w:val="00820319"/>
    <w:rsid w:val="0082039D"/>
    <w:rsid w:val="00820656"/>
    <w:rsid w:val="00821A49"/>
    <w:rsid w:val="00821F6D"/>
    <w:rsid w:val="008235B9"/>
    <w:rsid w:val="00825DE5"/>
    <w:rsid w:val="008265FC"/>
    <w:rsid w:val="00827A93"/>
    <w:rsid w:val="00830DAE"/>
    <w:rsid w:val="00831612"/>
    <w:rsid w:val="00834A5D"/>
    <w:rsid w:val="00834A6D"/>
    <w:rsid w:val="00834A9C"/>
    <w:rsid w:val="00835ACE"/>
    <w:rsid w:val="0083635C"/>
    <w:rsid w:val="0083722B"/>
    <w:rsid w:val="00837451"/>
    <w:rsid w:val="008406DB"/>
    <w:rsid w:val="00840D00"/>
    <w:rsid w:val="00841B28"/>
    <w:rsid w:val="00841C41"/>
    <w:rsid w:val="00843FAD"/>
    <w:rsid w:val="00843FF5"/>
    <w:rsid w:val="00846E6F"/>
    <w:rsid w:val="00847671"/>
    <w:rsid w:val="00850DAA"/>
    <w:rsid w:val="00850DF3"/>
    <w:rsid w:val="00850E99"/>
    <w:rsid w:val="00851F4B"/>
    <w:rsid w:val="008521C4"/>
    <w:rsid w:val="00852940"/>
    <w:rsid w:val="0085341C"/>
    <w:rsid w:val="00854E73"/>
    <w:rsid w:val="00863048"/>
    <w:rsid w:val="00863080"/>
    <w:rsid w:val="008630B2"/>
    <w:rsid w:val="00864E2A"/>
    <w:rsid w:val="00867524"/>
    <w:rsid w:val="00867BF5"/>
    <w:rsid w:val="00870EE3"/>
    <w:rsid w:val="0087310B"/>
    <w:rsid w:val="00873C2A"/>
    <w:rsid w:val="008740BD"/>
    <w:rsid w:val="0087468E"/>
    <w:rsid w:val="00874D06"/>
    <w:rsid w:val="00876109"/>
    <w:rsid w:val="00877712"/>
    <w:rsid w:val="00877B39"/>
    <w:rsid w:val="00881AA9"/>
    <w:rsid w:val="00882496"/>
    <w:rsid w:val="00884458"/>
    <w:rsid w:val="0088451C"/>
    <w:rsid w:val="00885202"/>
    <w:rsid w:val="00886224"/>
    <w:rsid w:val="0088675F"/>
    <w:rsid w:val="00887B45"/>
    <w:rsid w:val="00890D9B"/>
    <w:rsid w:val="008912E8"/>
    <w:rsid w:val="00893605"/>
    <w:rsid w:val="00893DB1"/>
    <w:rsid w:val="00893F73"/>
    <w:rsid w:val="008A0270"/>
    <w:rsid w:val="008A03B8"/>
    <w:rsid w:val="008A1198"/>
    <w:rsid w:val="008A3E45"/>
    <w:rsid w:val="008A3EF8"/>
    <w:rsid w:val="008A6072"/>
    <w:rsid w:val="008A61BC"/>
    <w:rsid w:val="008A6B3E"/>
    <w:rsid w:val="008A7F08"/>
    <w:rsid w:val="008B0791"/>
    <w:rsid w:val="008B1923"/>
    <w:rsid w:val="008B25D1"/>
    <w:rsid w:val="008B25ED"/>
    <w:rsid w:val="008B3D62"/>
    <w:rsid w:val="008B4E33"/>
    <w:rsid w:val="008B5619"/>
    <w:rsid w:val="008B595F"/>
    <w:rsid w:val="008B6485"/>
    <w:rsid w:val="008C10FF"/>
    <w:rsid w:val="008C1566"/>
    <w:rsid w:val="008C3E83"/>
    <w:rsid w:val="008C4FC5"/>
    <w:rsid w:val="008C6903"/>
    <w:rsid w:val="008C78A9"/>
    <w:rsid w:val="008D1D82"/>
    <w:rsid w:val="008D2870"/>
    <w:rsid w:val="008D3822"/>
    <w:rsid w:val="008D4A49"/>
    <w:rsid w:val="008D4EB3"/>
    <w:rsid w:val="008D5260"/>
    <w:rsid w:val="008D5485"/>
    <w:rsid w:val="008D626C"/>
    <w:rsid w:val="008E1883"/>
    <w:rsid w:val="008E529E"/>
    <w:rsid w:val="008E5CDC"/>
    <w:rsid w:val="008E787C"/>
    <w:rsid w:val="008F065A"/>
    <w:rsid w:val="008F0AC6"/>
    <w:rsid w:val="008F18B0"/>
    <w:rsid w:val="008F4292"/>
    <w:rsid w:val="008F4E92"/>
    <w:rsid w:val="008F5734"/>
    <w:rsid w:val="008F616F"/>
    <w:rsid w:val="008F78C1"/>
    <w:rsid w:val="009000F6"/>
    <w:rsid w:val="009002E7"/>
    <w:rsid w:val="00900FEB"/>
    <w:rsid w:val="00901936"/>
    <w:rsid w:val="00901E5B"/>
    <w:rsid w:val="009036A8"/>
    <w:rsid w:val="00903E5D"/>
    <w:rsid w:val="00904C98"/>
    <w:rsid w:val="00904E11"/>
    <w:rsid w:val="00904FA0"/>
    <w:rsid w:val="00905109"/>
    <w:rsid w:val="009074EF"/>
    <w:rsid w:val="00907BE2"/>
    <w:rsid w:val="00907D6F"/>
    <w:rsid w:val="00912424"/>
    <w:rsid w:val="009134E3"/>
    <w:rsid w:val="009149AC"/>
    <w:rsid w:val="00914F2D"/>
    <w:rsid w:val="009173DF"/>
    <w:rsid w:val="00920117"/>
    <w:rsid w:val="00922462"/>
    <w:rsid w:val="00922E08"/>
    <w:rsid w:val="00923C77"/>
    <w:rsid w:val="00924740"/>
    <w:rsid w:val="00924787"/>
    <w:rsid w:val="009259EF"/>
    <w:rsid w:val="009266A3"/>
    <w:rsid w:val="00926F21"/>
    <w:rsid w:val="0092752D"/>
    <w:rsid w:val="00931604"/>
    <w:rsid w:val="00931E1A"/>
    <w:rsid w:val="00932EC1"/>
    <w:rsid w:val="0093423B"/>
    <w:rsid w:val="00935F93"/>
    <w:rsid w:val="0093660D"/>
    <w:rsid w:val="00941263"/>
    <w:rsid w:val="00942A1A"/>
    <w:rsid w:val="00943527"/>
    <w:rsid w:val="00943850"/>
    <w:rsid w:val="00943AE8"/>
    <w:rsid w:val="00945597"/>
    <w:rsid w:val="0095104C"/>
    <w:rsid w:val="00953AA6"/>
    <w:rsid w:val="0095402B"/>
    <w:rsid w:val="009553A2"/>
    <w:rsid w:val="00955C0C"/>
    <w:rsid w:val="009561AB"/>
    <w:rsid w:val="00956D99"/>
    <w:rsid w:val="0095740E"/>
    <w:rsid w:val="00957713"/>
    <w:rsid w:val="00962C67"/>
    <w:rsid w:val="009639C7"/>
    <w:rsid w:val="00964BEA"/>
    <w:rsid w:val="00964DDD"/>
    <w:rsid w:val="009651EC"/>
    <w:rsid w:val="00965C29"/>
    <w:rsid w:val="00965CD2"/>
    <w:rsid w:val="00966642"/>
    <w:rsid w:val="00966DD2"/>
    <w:rsid w:val="00966DEF"/>
    <w:rsid w:val="00966EFF"/>
    <w:rsid w:val="00970928"/>
    <w:rsid w:val="009710E4"/>
    <w:rsid w:val="00971DBA"/>
    <w:rsid w:val="00972007"/>
    <w:rsid w:val="00972087"/>
    <w:rsid w:val="00972103"/>
    <w:rsid w:val="00973245"/>
    <w:rsid w:val="009733CD"/>
    <w:rsid w:val="009738AB"/>
    <w:rsid w:val="009761E5"/>
    <w:rsid w:val="009763A6"/>
    <w:rsid w:val="00976816"/>
    <w:rsid w:val="00976FBA"/>
    <w:rsid w:val="009810BE"/>
    <w:rsid w:val="009812A6"/>
    <w:rsid w:val="00983DE3"/>
    <w:rsid w:val="00984779"/>
    <w:rsid w:val="009871C7"/>
    <w:rsid w:val="009900D7"/>
    <w:rsid w:val="009906EE"/>
    <w:rsid w:val="009909CC"/>
    <w:rsid w:val="00992024"/>
    <w:rsid w:val="0099263A"/>
    <w:rsid w:val="009944DC"/>
    <w:rsid w:val="009A02EB"/>
    <w:rsid w:val="009A0B1A"/>
    <w:rsid w:val="009A0D06"/>
    <w:rsid w:val="009A4932"/>
    <w:rsid w:val="009A4D82"/>
    <w:rsid w:val="009A568A"/>
    <w:rsid w:val="009A6667"/>
    <w:rsid w:val="009A7740"/>
    <w:rsid w:val="009A785C"/>
    <w:rsid w:val="009B124D"/>
    <w:rsid w:val="009B35A5"/>
    <w:rsid w:val="009B5282"/>
    <w:rsid w:val="009B5556"/>
    <w:rsid w:val="009B5A3B"/>
    <w:rsid w:val="009B60A5"/>
    <w:rsid w:val="009B65ED"/>
    <w:rsid w:val="009B710C"/>
    <w:rsid w:val="009B72F5"/>
    <w:rsid w:val="009C0B44"/>
    <w:rsid w:val="009C38B4"/>
    <w:rsid w:val="009C46E5"/>
    <w:rsid w:val="009C4F87"/>
    <w:rsid w:val="009C5483"/>
    <w:rsid w:val="009C7C08"/>
    <w:rsid w:val="009D04CD"/>
    <w:rsid w:val="009D0B9F"/>
    <w:rsid w:val="009D1CAA"/>
    <w:rsid w:val="009D22B8"/>
    <w:rsid w:val="009D38C9"/>
    <w:rsid w:val="009D4D15"/>
    <w:rsid w:val="009D6350"/>
    <w:rsid w:val="009D7261"/>
    <w:rsid w:val="009D756E"/>
    <w:rsid w:val="009E0EE4"/>
    <w:rsid w:val="009E15E4"/>
    <w:rsid w:val="009E1F92"/>
    <w:rsid w:val="009E2856"/>
    <w:rsid w:val="009E3697"/>
    <w:rsid w:val="009E4A26"/>
    <w:rsid w:val="009E4D54"/>
    <w:rsid w:val="009E54E8"/>
    <w:rsid w:val="009E60D0"/>
    <w:rsid w:val="009F154A"/>
    <w:rsid w:val="009F16CC"/>
    <w:rsid w:val="009F2F5F"/>
    <w:rsid w:val="009F622C"/>
    <w:rsid w:val="00A01157"/>
    <w:rsid w:val="00A02403"/>
    <w:rsid w:val="00A028DC"/>
    <w:rsid w:val="00A03326"/>
    <w:rsid w:val="00A03667"/>
    <w:rsid w:val="00A041B0"/>
    <w:rsid w:val="00A04AF6"/>
    <w:rsid w:val="00A0569C"/>
    <w:rsid w:val="00A059F9"/>
    <w:rsid w:val="00A05DFC"/>
    <w:rsid w:val="00A06DD5"/>
    <w:rsid w:val="00A06F3D"/>
    <w:rsid w:val="00A10624"/>
    <w:rsid w:val="00A10DCE"/>
    <w:rsid w:val="00A11268"/>
    <w:rsid w:val="00A13E72"/>
    <w:rsid w:val="00A149FC"/>
    <w:rsid w:val="00A162F0"/>
    <w:rsid w:val="00A1664B"/>
    <w:rsid w:val="00A1694C"/>
    <w:rsid w:val="00A16AA5"/>
    <w:rsid w:val="00A16C1F"/>
    <w:rsid w:val="00A20614"/>
    <w:rsid w:val="00A21182"/>
    <w:rsid w:val="00A22CA9"/>
    <w:rsid w:val="00A23A80"/>
    <w:rsid w:val="00A24075"/>
    <w:rsid w:val="00A240C1"/>
    <w:rsid w:val="00A242F0"/>
    <w:rsid w:val="00A25380"/>
    <w:rsid w:val="00A25E79"/>
    <w:rsid w:val="00A26520"/>
    <w:rsid w:val="00A3008B"/>
    <w:rsid w:val="00A30B60"/>
    <w:rsid w:val="00A32EB5"/>
    <w:rsid w:val="00A33D8A"/>
    <w:rsid w:val="00A3402B"/>
    <w:rsid w:val="00A341D4"/>
    <w:rsid w:val="00A34651"/>
    <w:rsid w:val="00A35FAF"/>
    <w:rsid w:val="00A366DC"/>
    <w:rsid w:val="00A36780"/>
    <w:rsid w:val="00A410CD"/>
    <w:rsid w:val="00A413E7"/>
    <w:rsid w:val="00A45957"/>
    <w:rsid w:val="00A46CAF"/>
    <w:rsid w:val="00A472B6"/>
    <w:rsid w:val="00A47617"/>
    <w:rsid w:val="00A500AA"/>
    <w:rsid w:val="00A50A00"/>
    <w:rsid w:val="00A51096"/>
    <w:rsid w:val="00A535F6"/>
    <w:rsid w:val="00A54011"/>
    <w:rsid w:val="00A54A76"/>
    <w:rsid w:val="00A54D54"/>
    <w:rsid w:val="00A57025"/>
    <w:rsid w:val="00A60796"/>
    <w:rsid w:val="00A633AD"/>
    <w:rsid w:val="00A6346B"/>
    <w:rsid w:val="00A65030"/>
    <w:rsid w:val="00A655FE"/>
    <w:rsid w:val="00A65823"/>
    <w:rsid w:val="00A658C2"/>
    <w:rsid w:val="00A663E2"/>
    <w:rsid w:val="00A66CFE"/>
    <w:rsid w:val="00A674D6"/>
    <w:rsid w:val="00A677CB"/>
    <w:rsid w:val="00A72285"/>
    <w:rsid w:val="00A733E7"/>
    <w:rsid w:val="00A7483B"/>
    <w:rsid w:val="00A76D3A"/>
    <w:rsid w:val="00A779B3"/>
    <w:rsid w:val="00A803E6"/>
    <w:rsid w:val="00A808C3"/>
    <w:rsid w:val="00A80FA9"/>
    <w:rsid w:val="00A81370"/>
    <w:rsid w:val="00A81B97"/>
    <w:rsid w:val="00A82B37"/>
    <w:rsid w:val="00A83A93"/>
    <w:rsid w:val="00A83E5F"/>
    <w:rsid w:val="00A84410"/>
    <w:rsid w:val="00A86544"/>
    <w:rsid w:val="00A8731C"/>
    <w:rsid w:val="00A87E3E"/>
    <w:rsid w:val="00A91282"/>
    <w:rsid w:val="00A92F84"/>
    <w:rsid w:val="00A93A80"/>
    <w:rsid w:val="00A93C00"/>
    <w:rsid w:val="00A941EF"/>
    <w:rsid w:val="00A9572E"/>
    <w:rsid w:val="00A974BA"/>
    <w:rsid w:val="00AA0464"/>
    <w:rsid w:val="00AA27D4"/>
    <w:rsid w:val="00AA2CCC"/>
    <w:rsid w:val="00AA316A"/>
    <w:rsid w:val="00AA3D54"/>
    <w:rsid w:val="00AA4286"/>
    <w:rsid w:val="00AA5FA1"/>
    <w:rsid w:val="00AA74C3"/>
    <w:rsid w:val="00AB072F"/>
    <w:rsid w:val="00AB0B7F"/>
    <w:rsid w:val="00AB0BBC"/>
    <w:rsid w:val="00AB2D97"/>
    <w:rsid w:val="00AB39B8"/>
    <w:rsid w:val="00AB5D38"/>
    <w:rsid w:val="00AB5D9F"/>
    <w:rsid w:val="00AB609F"/>
    <w:rsid w:val="00AB64C6"/>
    <w:rsid w:val="00AB70CC"/>
    <w:rsid w:val="00AC0F0B"/>
    <w:rsid w:val="00AC203C"/>
    <w:rsid w:val="00AC3264"/>
    <w:rsid w:val="00AC4161"/>
    <w:rsid w:val="00AC44B6"/>
    <w:rsid w:val="00AC46E7"/>
    <w:rsid w:val="00AC5062"/>
    <w:rsid w:val="00AC5258"/>
    <w:rsid w:val="00AC5375"/>
    <w:rsid w:val="00AC5E74"/>
    <w:rsid w:val="00AC7A93"/>
    <w:rsid w:val="00AC7E43"/>
    <w:rsid w:val="00AD12A4"/>
    <w:rsid w:val="00AD2202"/>
    <w:rsid w:val="00AD39B6"/>
    <w:rsid w:val="00AD3C47"/>
    <w:rsid w:val="00AD4401"/>
    <w:rsid w:val="00AD4D4C"/>
    <w:rsid w:val="00AD5447"/>
    <w:rsid w:val="00AD57C1"/>
    <w:rsid w:val="00AD69B3"/>
    <w:rsid w:val="00AE00F1"/>
    <w:rsid w:val="00AE4B14"/>
    <w:rsid w:val="00AE6631"/>
    <w:rsid w:val="00AF2DC1"/>
    <w:rsid w:val="00AF477B"/>
    <w:rsid w:val="00AF4921"/>
    <w:rsid w:val="00AF4E59"/>
    <w:rsid w:val="00AF4FCD"/>
    <w:rsid w:val="00AF54CC"/>
    <w:rsid w:val="00AF670A"/>
    <w:rsid w:val="00B01904"/>
    <w:rsid w:val="00B0294E"/>
    <w:rsid w:val="00B0344D"/>
    <w:rsid w:val="00B05669"/>
    <w:rsid w:val="00B07352"/>
    <w:rsid w:val="00B10D26"/>
    <w:rsid w:val="00B10F97"/>
    <w:rsid w:val="00B115F8"/>
    <w:rsid w:val="00B11A59"/>
    <w:rsid w:val="00B12590"/>
    <w:rsid w:val="00B141CF"/>
    <w:rsid w:val="00B16086"/>
    <w:rsid w:val="00B22734"/>
    <w:rsid w:val="00B2299C"/>
    <w:rsid w:val="00B22B77"/>
    <w:rsid w:val="00B23473"/>
    <w:rsid w:val="00B24CA0"/>
    <w:rsid w:val="00B253EE"/>
    <w:rsid w:val="00B265AB"/>
    <w:rsid w:val="00B27FAB"/>
    <w:rsid w:val="00B30940"/>
    <w:rsid w:val="00B32FFC"/>
    <w:rsid w:val="00B33CBA"/>
    <w:rsid w:val="00B34C29"/>
    <w:rsid w:val="00B350FA"/>
    <w:rsid w:val="00B360B2"/>
    <w:rsid w:val="00B36205"/>
    <w:rsid w:val="00B368BD"/>
    <w:rsid w:val="00B41F5F"/>
    <w:rsid w:val="00B42E5A"/>
    <w:rsid w:val="00B42E6E"/>
    <w:rsid w:val="00B4304D"/>
    <w:rsid w:val="00B45191"/>
    <w:rsid w:val="00B45E36"/>
    <w:rsid w:val="00B4665F"/>
    <w:rsid w:val="00B50AEF"/>
    <w:rsid w:val="00B54072"/>
    <w:rsid w:val="00B5467C"/>
    <w:rsid w:val="00B55ED8"/>
    <w:rsid w:val="00B55EF3"/>
    <w:rsid w:val="00B6028A"/>
    <w:rsid w:val="00B6127E"/>
    <w:rsid w:val="00B617DF"/>
    <w:rsid w:val="00B6191B"/>
    <w:rsid w:val="00B6219A"/>
    <w:rsid w:val="00B624AC"/>
    <w:rsid w:val="00B629C1"/>
    <w:rsid w:val="00B63E9D"/>
    <w:rsid w:val="00B641D3"/>
    <w:rsid w:val="00B67B7C"/>
    <w:rsid w:val="00B71275"/>
    <w:rsid w:val="00B71B38"/>
    <w:rsid w:val="00B72F66"/>
    <w:rsid w:val="00B749A8"/>
    <w:rsid w:val="00B750EC"/>
    <w:rsid w:val="00B7608A"/>
    <w:rsid w:val="00B7659F"/>
    <w:rsid w:val="00B803CE"/>
    <w:rsid w:val="00B80ACB"/>
    <w:rsid w:val="00B81B45"/>
    <w:rsid w:val="00B82C3A"/>
    <w:rsid w:val="00B93DF6"/>
    <w:rsid w:val="00B94272"/>
    <w:rsid w:val="00B95636"/>
    <w:rsid w:val="00B96A90"/>
    <w:rsid w:val="00B97076"/>
    <w:rsid w:val="00B971C6"/>
    <w:rsid w:val="00B97467"/>
    <w:rsid w:val="00BA07FB"/>
    <w:rsid w:val="00BA30AB"/>
    <w:rsid w:val="00BA336B"/>
    <w:rsid w:val="00BA3467"/>
    <w:rsid w:val="00BA4AB3"/>
    <w:rsid w:val="00BA6060"/>
    <w:rsid w:val="00BA6077"/>
    <w:rsid w:val="00BA668F"/>
    <w:rsid w:val="00BB160D"/>
    <w:rsid w:val="00BB1F20"/>
    <w:rsid w:val="00BB3B37"/>
    <w:rsid w:val="00BB43FA"/>
    <w:rsid w:val="00BB58FD"/>
    <w:rsid w:val="00BB5DD3"/>
    <w:rsid w:val="00BB68E6"/>
    <w:rsid w:val="00BB6A1D"/>
    <w:rsid w:val="00BB6E24"/>
    <w:rsid w:val="00BC2C31"/>
    <w:rsid w:val="00BC4622"/>
    <w:rsid w:val="00BC487B"/>
    <w:rsid w:val="00BC5DC6"/>
    <w:rsid w:val="00BC6757"/>
    <w:rsid w:val="00BC7293"/>
    <w:rsid w:val="00BD0036"/>
    <w:rsid w:val="00BD1371"/>
    <w:rsid w:val="00BD13DC"/>
    <w:rsid w:val="00BD1499"/>
    <w:rsid w:val="00BD1E5C"/>
    <w:rsid w:val="00BD2092"/>
    <w:rsid w:val="00BD2BC4"/>
    <w:rsid w:val="00BD4A56"/>
    <w:rsid w:val="00BD4CD3"/>
    <w:rsid w:val="00BD69FD"/>
    <w:rsid w:val="00BD750C"/>
    <w:rsid w:val="00BE0104"/>
    <w:rsid w:val="00BE0D2A"/>
    <w:rsid w:val="00BE18D9"/>
    <w:rsid w:val="00BE2696"/>
    <w:rsid w:val="00BE2DA4"/>
    <w:rsid w:val="00BE4F30"/>
    <w:rsid w:val="00BE5B05"/>
    <w:rsid w:val="00BE5C98"/>
    <w:rsid w:val="00BE75C3"/>
    <w:rsid w:val="00BE7B0C"/>
    <w:rsid w:val="00BF118F"/>
    <w:rsid w:val="00BF38BD"/>
    <w:rsid w:val="00BF55B1"/>
    <w:rsid w:val="00BF725F"/>
    <w:rsid w:val="00C01363"/>
    <w:rsid w:val="00C01888"/>
    <w:rsid w:val="00C03D08"/>
    <w:rsid w:val="00C0584C"/>
    <w:rsid w:val="00C06E46"/>
    <w:rsid w:val="00C105CF"/>
    <w:rsid w:val="00C11690"/>
    <w:rsid w:val="00C12486"/>
    <w:rsid w:val="00C125B4"/>
    <w:rsid w:val="00C13B49"/>
    <w:rsid w:val="00C140FF"/>
    <w:rsid w:val="00C14D87"/>
    <w:rsid w:val="00C20082"/>
    <w:rsid w:val="00C203EC"/>
    <w:rsid w:val="00C20B36"/>
    <w:rsid w:val="00C210B5"/>
    <w:rsid w:val="00C21FCC"/>
    <w:rsid w:val="00C22523"/>
    <w:rsid w:val="00C226A4"/>
    <w:rsid w:val="00C22C7D"/>
    <w:rsid w:val="00C22F98"/>
    <w:rsid w:val="00C2347F"/>
    <w:rsid w:val="00C2366D"/>
    <w:rsid w:val="00C2469E"/>
    <w:rsid w:val="00C249DE"/>
    <w:rsid w:val="00C25AE8"/>
    <w:rsid w:val="00C26342"/>
    <w:rsid w:val="00C268EF"/>
    <w:rsid w:val="00C2791F"/>
    <w:rsid w:val="00C30103"/>
    <w:rsid w:val="00C31424"/>
    <w:rsid w:val="00C32FE2"/>
    <w:rsid w:val="00C3310A"/>
    <w:rsid w:val="00C3379D"/>
    <w:rsid w:val="00C33806"/>
    <w:rsid w:val="00C3438E"/>
    <w:rsid w:val="00C35B50"/>
    <w:rsid w:val="00C35F29"/>
    <w:rsid w:val="00C364BE"/>
    <w:rsid w:val="00C404C9"/>
    <w:rsid w:val="00C4486E"/>
    <w:rsid w:val="00C45A4C"/>
    <w:rsid w:val="00C45B08"/>
    <w:rsid w:val="00C46141"/>
    <w:rsid w:val="00C46D3A"/>
    <w:rsid w:val="00C519D4"/>
    <w:rsid w:val="00C51CF9"/>
    <w:rsid w:val="00C5266C"/>
    <w:rsid w:val="00C52DFD"/>
    <w:rsid w:val="00C53B7F"/>
    <w:rsid w:val="00C549B7"/>
    <w:rsid w:val="00C55926"/>
    <w:rsid w:val="00C56F2C"/>
    <w:rsid w:val="00C5799F"/>
    <w:rsid w:val="00C57B68"/>
    <w:rsid w:val="00C57B85"/>
    <w:rsid w:val="00C6221B"/>
    <w:rsid w:val="00C626A5"/>
    <w:rsid w:val="00C627A1"/>
    <w:rsid w:val="00C637F8"/>
    <w:rsid w:val="00C6385B"/>
    <w:rsid w:val="00C639D0"/>
    <w:rsid w:val="00C63B13"/>
    <w:rsid w:val="00C64A51"/>
    <w:rsid w:val="00C650CF"/>
    <w:rsid w:val="00C65C79"/>
    <w:rsid w:val="00C7038A"/>
    <w:rsid w:val="00C71094"/>
    <w:rsid w:val="00C72250"/>
    <w:rsid w:val="00C72F83"/>
    <w:rsid w:val="00C73DC7"/>
    <w:rsid w:val="00C748AD"/>
    <w:rsid w:val="00C8278D"/>
    <w:rsid w:val="00C832BB"/>
    <w:rsid w:val="00C84027"/>
    <w:rsid w:val="00C852D0"/>
    <w:rsid w:val="00C8762A"/>
    <w:rsid w:val="00C87D3B"/>
    <w:rsid w:val="00C87F81"/>
    <w:rsid w:val="00C91D93"/>
    <w:rsid w:val="00C921AE"/>
    <w:rsid w:val="00C9307A"/>
    <w:rsid w:val="00C93263"/>
    <w:rsid w:val="00C94150"/>
    <w:rsid w:val="00C978F6"/>
    <w:rsid w:val="00CA3772"/>
    <w:rsid w:val="00CA439C"/>
    <w:rsid w:val="00CA509A"/>
    <w:rsid w:val="00CB0C69"/>
    <w:rsid w:val="00CB1321"/>
    <w:rsid w:val="00CB236A"/>
    <w:rsid w:val="00CB2704"/>
    <w:rsid w:val="00CB35A9"/>
    <w:rsid w:val="00CB522E"/>
    <w:rsid w:val="00CB6504"/>
    <w:rsid w:val="00CC29E8"/>
    <w:rsid w:val="00CC2C26"/>
    <w:rsid w:val="00CC2CB5"/>
    <w:rsid w:val="00CC30CE"/>
    <w:rsid w:val="00CC4CA3"/>
    <w:rsid w:val="00CC7298"/>
    <w:rsid w:val="00CD0E68"/>
    <w:rsid w:val="00CD132D"/>
    <w:rsid w:val="00CD1395"/>
    <w:rsid w:val="00CD16F7"/>
    <w:rsid w:val="00CD1A37"/>
    <w:rsid w:val="00CD4898"/>
    <w:rsid w:val="00CD5C86"/>
    <w:rsid w:val="00CD6358"/>
    <w:rsid w:val="00CE357A"/>
    <w:rsid w:val="00CE4F5B"/>
    <w:rsid w:val="00CE5434"/>
    <w:rsid w:val="00CE5603"/>
    <w:rsid w:val="00CE591E"/>
    <w:rsid w:val="00CE5CF0"/>
    <w:rsid w:val="00CE67F2"/>
    <w:rsid w:val="00CE78FD"/>
    <w:rsid w:val="00CE7975"/>
    <w:rsid w:val="00CF22F0"/>
    <w:rsid w:val="00CF2318"/>
    <w:rsid w:val="00CF2474"/>
    <w:rsid w:val="00CF331F"/>
    <w:rsid w:val="00CF3FD5"/>
    <w:rsid w:val="00CF6E7A"/>
    <w:rsid w:val="00CF704C"/>
    <w:rsid w:val="00CF7911"/>
    <w:rsid w:val="00CF7EF3"/>
    <w:rsid w:val="00D0072D"/>
    <w:rsid w:val="00D01487"/>
    <w:rsid w:val="00D01833"/>
    <w:rsid w:val="00D03E05"/>
    <w:rsid w:val="00D04311"/>
    <w:rsid w:val="00D04981"/>
    <w:rsid w:val="00D051A6"/>
    <w:rsid w:val="00D10587"/>
    <w:rsid w:val="00D11300"/>
    <w:rsid w:val="00D11527"/>
    <w:rsid w:val="00D115D8"/>
    <w:rsid w:val="00D11B98"/>
    <w:rsid w:val="00D132A9"/>
    <w:rsid w:val="00D1338F"/>
    <w:rsid w:val="00D13C2E"/>
    <w:rsid w:val="00D15059"/>
    <w:rsid w:val="00D1519F"/>
    <w:rsid w:val="00D16363"/>
    <w:rsid w:val="00D1661E"/>
    <w:rsid w:val="00D175C7"/>
    <w:rsid w:val="00D20249"/>
    <w:rsid w:val="00D20C54"/>
    <w:rsid w:val="00D21916"/>
    <w:rsid w:val="00D22AF2"/>
    <w:rsid w:val="00D24CA0"/>
    <w:rsid w:val="00D24EC2"/>
    <w:rsid w:val="00D25686"/>
    <w:rsid w:val="00D25F0D"/>
    <w:rsid w:val="00D267E0"/>
    <w:rsid w:val="00D2687B"/>
    <w:rsid w:val="00D268C3"/>
    <w:rsid w:val="00D30845"/>
    <w:rsid w:val="00D31059"/>
    <w:rsid w:val="00D32943"/>
    <w:rsid w:val="00D33B63"/>
    <w:rsid w:val="00D34543"/>
    <w:rsid w:val="00D35665"/>
    <w:rsid w:val="00D35B9A"/>
    <w:rsid w:val="00D35D80"/>
    <w:rsid w:val="00D40D35"/>
    <w:rsid w:val="00D41C7A"/>
    <w:rsid w:val="00D41F8E"/>
    <w:rsid w:val="00D4230C"/>
    <w:rsid w:val="00D42A9B"/>
    <w:rsid w:val="00D43413"/>
    <w:rsid w:val="00D43CA7"/>
    <w:rsid w:val="00D475C8"/>
    <w:rsid w:val="00D50339"/>
    <w:rsid w:val="00D535BF"/>
    <w:rsid w:val="00D53EA5"/>
    <w:rsid w:val="00D54400"/>
    <w:rsid w:val="00D54618"/>
    <w:rsid w:val="00D5491C"/>
    <w:rsid w:val="00D57BF4"/>
    <w:rsid w:val="00D57CC1"/>
    <w:rsid w:val="00D61175"/>
    <w:rsid w:val="00D61889"/>
    <w:rsid w:val="00D61BFB"/>
    <w:rsid w:val="00D63197"/>
    <w:rsid w:val="00D66BA8"/>
    <w:rsid w:val="00D67750"/>
    <w:rsid w:val="00D702AF"/>
    <w:rsid w:val="00D7136B"/>
    <w:rsid w:val="00D72AA2"/>
    <w:rsid w:val="00D75716"/>
    <w:rsid w:val="00D764ED"/>
    <w:rsid w:val="00D76805"/>
    <w:rsid w:val="00D76B5D"/>
    <w:rsid w:val="00D803F9"/>
    <w:rsid w:val="00D80C37"/>
    <w:rsid w:val="00D80D37"/>
    <w:rsid w:val="00D8279C"/>
    <w:rsid w:val="00D83133"/>
    <w:rsid w:val="00D83890"/>
    <w:rsid w:val="00D8391F"/>
    <w:rsid w:val="00D84A8F"/>
    <w:rsid w:val="00D87F3A"/>
    <w:rsid w:val="00D91042"/>
    <w:rsid w:val="00D912F0"/>
    <w:rsid w:val="00D94DD8"/>
    <w:rsid w:val="00D95EE4"/>
    <w:rsid w:val="00D95FC4"/>
    <w:rsid w:val="00D979BD"/>
    <w:rsid w:val="00D97E17"/>
    <w:rsid w:val="00DA1B1C"/>
    <w:rsid w:val="00DA42E3"/>
    <w:rsid w:val="00DA45FF"/>
    <w:rsid w:val="00DA5745"/>
    <w:rsid w:val="00DA66A9"/>
    <w:rsid w:val="00DA6B1F"/>
    <w:rsid w:val="00DB1188"/>
    <w:rsid w:val="00DB193F"/>
    <w:rsid w:val="00DB2FF3"/>
    <w:rsid w:val="00DB3E2B"/>
    <w:rsid w:val="00DB450E"/>
    <w:rsid w:val="00DB6982"/>
    <w:rsid w:val="00DC03A5"/>
    <w:rsid w:val="00DC0726"/>
    <w:rsid w:val="00DC10A2"/>
    <w:rsid w:val="00DC14DC"/>
    <w:rsid w:val="00DC1BCF"/>
    <w:rsid w:val="00DC2526"/>
    <w:rsid w:val="00DC397A"/>
    <w:rsid w:val="00DC4615"/>
    <w:rsid w:val="00DC4DFD"/>
    <w:rsid w:val="00DC5B3C"/>
    <w:rsid w:val="00DC5FAA"/>
    <w:rsid w:val="00DC7F14"/>
    <w:rsid w:val="00DD0D70"/>
    <w:rsid w:val="00DD194B"/>
    <w:rsid w:val="00DD2454"/>
    <w:rsid w:val="00DD38EB"/>
    <w:rsid w:val="00DD6675"/>
    <w:rsid w:val="00DD6A1D"/>
    <w:rsid w:val="00DD77CF"/>
    <w:rsid w:val="00DD7A95"/>
    <w:rsid w:val="00DD7AA7"/>
    <w:rsid w:val="00DE0A1E"/>
    <w:rsid w:val="00DE0C90"/>
    <w:rsid w:val="00DE48C9"/>
    <w:rsid w:val="00DE4BA1"/>
    <w:rsid w:val="00DE5063"/>
    <w:rsid w:val="00DE7223"/>
    <w:rsid w:val="00DE7E85"/>
    <w:rsid w:val="00DF1217"/>
    <w:rsid w:val="00DF2472"/>
    <w:rsid w:val="00DF2F11"/>
    <w:rsid w:val="00DF40B3"/>
    <w:rsid w:val="00DF4B17"/>
    <w:rsid w:val="00DF688B"/>
    <w:rsid w:val="00E001C3"/>
    <w:rsid w:val="00E00E56"/>
    <w:rsid w:val="00E01746"/>
    <w:rsid w:val="00E01BFE"/>
    <w:rsid w:val="00E02913"/>
    <w:rsid w:val="00E03444"/>
    <w:rsid w:val="00E0359C"/>
    <w:rsid w:val="00E038E5"/>
    <w:rsid w:val="00E0390A"/>
    <w:rsid w:val="00E03939"/>
    <w:rsid w:val="00E03EFD"/>
    <w:rsid w:val="00E04D9B"/>
    <w:rsid w:val="00E05ACE"/>
    <w:rsid w:val="00E067AE"/>
    <w:rsid w:val="00E06C5D"/>
    <w:rsid w:val="00E0745C"/>
    <w:rsid w:val="00E07795"/>
    <w:rsid w:val="00E10542"/>
    <w:rsid w:val="00E11A2B"/>
    <w:rsid w:val="00E11E7A"/>
    <w:rsid w:val="00E12329"/>
    <w:rsid w:val="00E12332"/>
    <w:rsid w:val="00E13BB3"/>
    <w:rsid w:val="00E17147"/>
    <w:rsid w:val="00E23176"/>
    <w:rsid w:val="00E23772"/>
    <w:rsid w:val="00E246EB"/>
    <w:rsid w:val="00E2494A"/>
    <w:rsid w:val="00E258D2"/>
    <w:rsid w:val="00E26A1E"/>
    <w:rsid w:val="00E27263"/>
    <w:rsid w:val="00E2791E"/>
    <w:rsid w:val="00E302E0"/>
    <w:rsid w:val="00E3103A"/>
    <w:rsid w:val="00E31CF6"/>
    <w:rsid w:val="00E32095"/>
    <w:rsid w:val="00E33079"/>
    <w:rsid w:val="00E33308"/>
    <w:rsid w:val="00E34782"/>
    <w:rsid w:val="00E348FC"/>
    <w:rsid w:val="00E352D8"/>
    <w:rsid w:val="00E35588"/>
    <w:rsid w:val="00E407F6"/>
    <w:rsid w:val="00E40B48"/>
    <w:rsid w:val="00E41C2D"/>
    <w:rsid w:val="00E42B02"/>
    <w:rsid w:val="00E42BE9"/>
    <w:rsid w:val="00E42F19"/>
    <w:rsid w:val="00E4398F"/>
    <w:rsid w:val="00E43FB6"/>
    <w:rsid w:val="00E444BF"/>
    <w:rsid w:val="00E447C9"/>
    <w:rsid w:val="00E451DE"/>
    <w:rsid w:val="00E45679"/>
    <w:rsid w:val="00E4741A"/>
    <w:rsid w:val="00E47866"/>
    <w:rsid w:val="00E47F45"/>
    <w:rsid w:val="00E536ED"/>
    <w:rsid w:val="00E53ED2"/>
    <w:rsid w:val="00E56743"/>
    <w:rsid w:val="00E5680A"/>
    <w:rsid w:val="00E60311"/>
    <w:rsid w:val="00E60793"/>
    <w:rsid w:val="00E60D8E"/>
    <w:rsid w:val="00E635D3"/>
    <w:rsid w:val="00E639D3"/>
    <w:rsid w:val="00E63D93"/>
    <w:rsid w:val="00E6419B"/>
    <w:rsid w:val="00E64522"/>
    <w:rsid w:val="00E6487C"/>
    <w:rsid w:val="00E64AFA"/>
    <w:rsid w:val="00E653CE"/>
    <w:rsid w:val="00E66605"/>
    <w:rsid w:val="00E675EC"/>
    <w:rsid w:val="00E67C97"/>
    <w:rsid w:val="00E67FDE"/>
    <w:rsid w:val="00E70807"/>
    <w:rsid w:val="00E70B04"/>
    <w:rsid w:val="00E710A4"/>
    <w:rsid w:val="00E713B1"/>
    <w:rsid w:val="00E715A3"/>
    <w:rsid w:val="00E7180B"/>
    <w:rsid w:val="00E71A5F"/>
    <w:rsid w:val="00E71EC1"/>
    <w:rsid w:val="00E73BC1"/>
    <w:rsid w:val="00E73D73"/>
    <w:rsid w:val="00E744C3"/>
    <w:rsid w:val="00E75198"/>
    <w:rsid w:val="00E7621A"/>
    <w:rsid w:val="00E771F0"/>
    <w:rsid w:val="00E774D3"/>
    <w:rsid w:val="00E77A2A"/>
    <w:rsid w:val="00E80C1A"/>
    <w:rsid w:val="00E80FB6"/>
    <w:rsid w:val="00E81553"/>
    <w:rsid w:val="00E82906"/>
    <w:rsid w:val="00E83271"/>
    <w:rsid w:val="00E83C25"/>
    <w:rsid w:val="00E84541"/>
    <w:rsid w:val="00E85A4F"/>
    <w:rsid w:val="00E85C77"/>
    <w:rsid w:val="00E860A1"/>
    <w:rsid w:val="00E900B7"/>
    <w:rsid w:val="00E90B17"/>
    <w:rsid w:val="00E910D0"/>
    <w:rsid w:val="00E91838"/>
    <w:rsid w:val="00E92DAF"/>
    <w:rsid w:val="00E92E73"/>
    <w:rsid w:val="00E94543"/>
    <w:rsid w:val="00E9478B"/>
    <w:rsid w:val="00E95458"/>
    <w:rsid w:val="00E95C3E"/>
    <w:rsid w:val="00E96897"/>
    <w:rsid w:val="00E968FC"/>
    <w:rsid w:val="00EA0070"/>
    <w:rsid w:val="00EA0EAD"/>
    <w:rsid w:val="00EA26CF"/>
    <w:rsid w:val="00EA3183"/>
    <w:rsid w:val="00EA393E"/>
    <w:rsid w:val="00EA430C"/>
    <w:rsid w:val="00EA4734"/>
    <w:rsid w:val="00EA4A5A"/>
    <w:rsid w:val="00EA4B64"/>
    <w:rsid w:val="00EA4CBB"/>
    <w:rsid w:val="00EA5640"/>
    <w:rsid w:val="00EA68AF"/>
    <w:rsid w:val="00EB0FE0"/>
    <w:rsid w:val="00EB1307"/>
    <w:rsid w:val="00EB19C6"/>
    <w:rsid w:val="00EB2E9A"/>
    <w:rsid w:val="00EB2F84"/>
    <w:rsid w:val="00EB3AAB"/>
    <w:rsid w:val="00EB5A0C"/>
    <w:rsid w:val="00EB67A3"/>
    <w:rsid w:val="00EB6A0A"/>
    <w:rsid w:val="00EC16CA"/>
    <w:rsid w:val="00EC2A1F"/>
    <w:rsid w:val="00EC4194"/>
    <w:rsid w:val="00EC4D82"/>
    <w:rsid w:val="00EC66C2"/>
    <w:rsid w:val="00EC70A4"/>
    <w:rsid w:val="00ED02F0"/>
    <w:rsid w:val="00ED1F44"/>
    <w:rsid w:val="00ED22A6"/>
    <w:rsid w:val="00ED253E"/>
    <w:rsid w:val="00ED3C47"/>
    <w:rsid w:val="00ED4A8B"/>
    <w:rsid w:val="00ED6194"/>
    <w:rsid w:val="00ED62B3"/>
    <w:rsid w:val="00ED72A7"/>
    <w:rsid w:val="00ED7FBE"/>
    <w:rsid w:val="00EE0D6D"/>
    <w:rsid w:val="00EE0D75"/>
    <w:rsid w:val="00EE10C8"/>
    <w:rsid w:val="00EE3876"/>
    <w:rsid w:val="00EE3C83"/>
    <w:rsid w:val="00EE3E40"/>
    <w:rsid w:val="00EE4361"/>
    <w:rsid w:val="00EE4BB6"/>
    <w:rsid w:val="00EE512F"/>
    <w:rsid w:val="00EE51D9"/>
    <w:rsid w:val="00EE5F22"/>
    <w:rsid w:val="00EE7024"/>
    <w:rsid w:val="00EE7FBE"/>
    <w:rsid w:val="00EF0124"/>
    <w:rsid w:val="00EF15F0"/>
    <w:rsid w:val="00EF1A2D"/>
    <w:rsid w:val="00EF2F8D"/>
    <w:rsid w:val="00EF3201"/>
    <w:rsid w:val="00EF3385"/>
    <w:rsid w:val="00EF3F9C"/>
    <w:rsid w:val="00EF6055"/>
    <w:rsid w:val="00EF7879"/>
    <w:rsid w:val="00EF7932"/>
    <w:rsid w:val="00EF7F9C"/>
    <w:rsid w:val="00F003DA"/>
    <w:rsid w:val="00F0052C"/>
    <w:rsid w:val="00F0127A"/>
    <w:rsid w:val="00F017FF"/>
    <w:rsid w:val="00F01B9A"/>
    <w:rsid w:val="00F036FB"/>
    <w:rsid w:val="00F03D54"/>
    <w:rsid w:val="00F0488F"/>
    <w:rsid w:val="00F04FA9"/>
    <w:rsid w:val="00F057A7"/>
    <w:rsid w:val="00F05974"/>
    <w:rsid w:val="00F0619B"/>
    <w:rsid w:val="00F06B56"/>
    <w:rsid w:val="00F0709E"/>
    <w:rsid w:val="00F10309"/>
    <w:rsid w:val="00F1051F"/>
    <w:rsid w:val="00F10652"/>
    <w:rsid w:val="00F119CA"/>
    <w:rsid w:val="00F1427B"/>
    <w:rsid w:val="00F14735"/>
    <w:rsid w:val="00F1473A"/>
    <w:rsid w:val="00F14967"/>
    <w:rsid w:val="00F151F9"/>
    <w:rsid w:val="00F16209"/>
    <w:rsid w:val="00F16AC3"/>
    <w:rsid w:val="00F16BF2"/>
    <w:rsid w:val="00F20563"/>
    <w:rsid w:val="00F205E4"/>
    <w:rsid w:val="00F209C1"/>
    <w:rsid w:val="00F220E6"/>
    <w:rsid w:val="00F22951"/>
    <w:rsid w:val="00F22A18"/>
    <w:rsid w:val="00F22D1D"/>
    <w:rsid w:val="00F26231"/>
    <w:rsid w:val="00F268EF"/>
    <w:rsid w:val="00F30E04"/>
    <w:rsid w:val="00F31849"/>
    <w:rsid w:val="00F323C9"/>
    <w:rsid w:val="00F42612"/>
    <w:rsid w:val="00F42D6A"/>
    <w:rsid w:val="00F43FF4"/>
    <w:rsid w:val="00F44A9D"/>
    <w:rsid w:val="00F451B9"/>
    <w:rsid w:val="00F502A4"/>
    <w:rsid w:val="00F50DBC"/>
    <w:rsid w:val="00F51BC7"/>
    <w:rsid w:val="00F53030"/>
    <w:rsid w:val="00F536AB"/>
    <w:rsid w:val="00F53BAF"/>
    <w:rsid w:val="00F540D3"/>
    <w:rsid w:val="00F544D6"/>
    <w:rsid w:val="00F559E0"/>
    <w:rsid w:val="00F55AE4"/>
    <w:rsid w:val="00F577C5"/>
    <w:rsid w:val="00F577D7"/>
    <w:rsid w:val="00F579B8"/>
    <w:rsid w:val="00F60D81"/>
    <w:rsid w:val="00F60E0F"/>
    <w:rsid w:val="00F62201"/>
    <w:rsid w:val="00F62DC7"/>
    <w:rsid w:val="00F64F38"/>
    <w:rsid w:val="00F67014"/>
    <w:rsid w:val="00F7058F"/>
    <w:rsid w:val="00F70EB8"/>
    <w:rsid w:val="00F7133A"/>
    <w:rsid w:val="00F7204B"/>
    <w:rsid w:val="00F72B35"/>
    <w:rsid w:val="00F72F6F"/>
    <w:rsid w:val="00F74195"/>
    <w:rsid w:val="00F779F5"/>
    <w:rsid w:val="00F8079D"/>
    <w:rsid w:val="00F82E9B"/>
    <w:rsid w:val="00F82FD8"/>
    <w:rsid w:val="00F835BF"/>
    <w:rsid w:val="00F84F08"/>
    <w:rsid w:val="00F85A9C"/>
    <w:rsid w:val="00F91A01"/>
    <w:rsid w:val="00F93AF1"/>
    <w:rsid w:val="00F95B0A"/>
    <w:rsid w:val="00F96A92"/>
    <w:rsid w:val="00FA00C3"/>
    <w:rsid w:val="00FA09E1"/>
    <w:rsid w:val="00FA0E3C"/>
    <w:rsid w:val="00FA2700"/>
    <w:rsid w:val="00FA2BE0"/>
    <w:rsid w:val="00FA5479"/>
    <w:rsid w:val="00FA6E5F"/>
    <w:rsid w:val="00FA7DA5"/>
    <w:rsid w:val="00FB0BD1"/>
    <w:rsid w:val="00FB1808"/>
    <w:rsid w:val="00FB19E1"/>
    <w:rsid w:val="00FB236C"/>
    <w:rsid w:val="00FB45BD"/>
    <w:rsid w:val="00FB4AC7"/>
    <w:rsid w:val="00FB5118"/>
    <w:rsid w:val="00FB580B"/>
    <w:rsid w:val="00FB5963"/>
    <w:rsid w:val="00FB5E89"/>
    <w:rsid w:val="00FB61C0"/>
    <w:rsid w:val="00FB6C1B"/>
    <w:rsid w:val="00FB6EAD"/>
    <w:rsid w:val="00FC0C53"/>
    <w:rsid w:val="00FC39CF"/>
    <w:rsid w:val="00FC3CE0"/>
    <w:rsid w:val="00FC54FE"/>
    <w:rsid w:val="00FC60DF"/>
    <w:rsid w:val="00FC68BD"/>
    <w:rsid w:val="00FC6F31"/>
    <w:rsid w:val="00FC7B46"/>
    <w:rsid w:val="00FD0545"/>
    <w:rsid w:val="00FD2B90"/>
    <w:rsid w:val="00FD2D60"/>
    <w:rsid w:val="00FD3770"/>
    <w:rsid w:val="00FD4386"/>
    <w:rsid w:val="00FD4695"/>
    <w:rsid w:val="00FD46C1"/>
    <w:rsid w:val="00FD4FFD"/>
    <w:rsid w:val="00FD5E58"/>
    <w:rsid w:val="00FD749B"/>
    <w:rsid w:val="00FD7BAA"/>
    <w:rsid w:val="00FE1B7C"/>
    <w:rsid w:val="00FE2399"/>
    <w:rsid w:val="00FE2B2C"/>
    <w:rsid w:val="00FE3209"/>
    <w:rsid w:val="00FE5CA5"/>
    <w:rsid w:val="00FE604B"/>
    <w:rsid w:val="00FF143F"/>
    <w:rsid w:val="00FF24B7"/>
    <w:rsid w:val="00FF2880"/>
    <w:rsid w:val="00FF2CAF"/>
    <w:rsid w:val="00FF2E24"/>
    <w:rsid w:val="00FF342A"/>
    <w:rsid w:val="00FF3B10"/>
    <w:rsid w:val="00FF4B98"/>
    <w:rsid w:val="00FF6A80"/>
    <w:rsid w:val="00FF73A1"/>
    <w:rsid w:val="00FF76E0"/>
    <w:rsid w:val="00FF7C3F"/>
    <w:rsid w:val="01075E6D"/>
    <w:rsid w:val="02C65989"/>
    <w:rsid w:val="030A729F"/>
    <w:rsid w:val="033C26A4"/>
    <w:rsid w:val="03783378"/>
    <w:rsid w:val="041E411B"/>
    <w:rsid w:val="047547C2"/>
    <w:rsid w:val="0485698E"/>
    <w:rsid w:val="04DB0D4B"/>
    <w:rsid w:val="04DC1BA8"/>
    <w:rsid w:val="04F927E3"/>
    <w:rsid w:val="05525748"/>
    <w:rsid w:val="05795125"/>
    <w:rsid w:val="05B50C08"/>
    <w:rsid w:val="06EB7465"/>
    <w:rsid w:val="072D75C0"/>
    <w:rsid w:val="07C22F5E"/>
    <w:rsid w:val="07E95005"/>
    <w:rsid w:val="08723C43"/>
    <w:rsid w:val="08827C7E"/>
    <w:rsid w:val="08A2178A"/>
    <w:rsid w:val="08A23773"/>
    <w:rsid w:val="08AF4C0A"/>
    <w:rsid w:val="08BF593C"/>
    <w:rsid w:val="08FF12D9"/>
    <w:rsid w:val="09124C90"/>
    <w:rsid w:val="09800C2D"/>
    <w:rsid w:val="09B90263"/>
    <w:rsid w:val="0A87360B"/>
    <w:rsid w:val="0AA96B3E"/>
    <w:rsid w:val="0ADF5007"/>
    <w:rsid w:val="0AFA563F"/>
    <w:rsid w:val="0B154E6F"/>
    <w:rsid w:val="0B4A104A"/>
    <w:rsid w:val="0B5308A5"/>
    <w:rsid w:val="0B835D77"/>
    <w:rsid w:val="0BFF2982"/>
    <w:rsid w:val="0D1F66D0"/>
    <w:rsid w:val="0DA95F42"/>
    <w:rsid w:val="0DF92F3B"/>
    <w:rsid w:val="0E3C11EA"/>
    <w:rsid w:val="0E4614DB"/>
    <w:rsid w:val="0ED75BAA"/>
    <w:rsid w:val="0FA05C1E"/>
    <w:rsid w:val="0FA06B30"/>
    <w:rsid w:val="0FE7057E"/>
    <w:rsid w:val="10326932"/>
    <w:rsid w:val="103E049A"/>
    <w:rsid w:val="10657D57"/>
    <w:rsid w:val="10CD14FD"/>
    <w:rsid w:val="10DD0DE8"/>
    <w:rsid w:val="1137551A"/>
    <w:rsid w:val="11500A05"/>
    <w:rsid w:val="115A6C5C"/>
    <w:rsid w:val="117D3F74"/>
    <w:rsid w:val="11C80A13"/>
    <w:rsid w:val="12634EBD"/>
    <w:rsid w:val="129A5DDE"/>
    <w:rsid w:val="13050E79"/>
    <w:rsid w:val="15023354"/>
    <w:rsid w:val="159B45DB"/>
    <w:rsid w:val="15B44452"/>
    <w:rsid w:val="15EE70AF"/>
    <w:rsid w:val="163240F9"/>
    <w:rsid w:val="163829C0"/>
    <w:rsid w:val="16F765CD"/>
    <w:rsid w:val="17C40431"/>
    <w:rsid w:val="184636B2"/>
    <w:rsid w:val="1858288C"/>
    <w:rsid w:val="187E425F"/>
    <w:rsid w:val="18C016DB"/>
    <w:rsid w:val="18E12B5C"/>
    <w:rsid w:val="18F53A51"/>
    <w:rsid w:val="191569B3"/>
    <w:rsid w:val="191E0EE7"/>
    <w:rsid w:val="19A13D59"/>
    <w:rsid w:val="19B96C0E"/>
    <w:rsid w:val="1A824FCA"/>
    <w:rsid w:val="1A95594A"/>
    <w:rsid w:val="1A97174F"/>
    <w:rsid w:val="1AA83C23"/>
    <w:rsid w:val="1AAA7544"/>
    <w:rsid w:val="1ACA4A7E"/>
    <w:rsid w:val="1AD13A01"/>
    <w:rsid w:val="1AFB3FBF"/>
    <w:rsid w:val="1B4402DE"/>
    <w:rsid w:val="1B537B10"/>
    <w:rsid w:val="1BC82BE2"/>
    <w:rsid w:val="1BF85AF6"/>
    <w:rsid w:val="1C422D53"/>
    <w:rsid w:val="1C9A24D6"/>
    <w:rsid w:val="1DA629E9"/>
    <w:rsid w:val="1DE53C86"/>
    <w:rsid w:val="1E0D3AC9"/>
    <w:rsid w:val="1E2A7FCA"/>
    <w:rsid w:val="1E530D6F"/>
    <w:rsid w:val="1E986E9C"/>
    <w:rsid w:val="1EB65AB4"/>
    <w:rsid w:val="1EFF0AFD"/>
    <w:rsid w:val="1F237EAB"/>
    <w:rsid w:val="1F355251"/>
    <w:rsid w:val="1F813B41"/>
    <w:rsid w:val="1F90388F"/>
    <w:rsid w:val="1FC1004F"/>
    <w:rsid w:val="1FC13894"/>
    <w:rsid w:val="1FF02071"/>
    <w:rsid w:val="200B4479"/>
    <w:rsid w:val="205847AB"/>
    <w:rsid w:val="207C4A66"/>
    <w:rsid w:val="20D663C9"/>
    <w:rsid w:val="20E517E5"/>
    <w:rsid w:val="21530343"/>
    <w:rsid w:val="217C169B"/>
    <w:rsid w:val="21A7571E"/>
    <w:rsid w:val="22090F44"/>
    <w:rsid w:val="228601FE"/>
    <w:rsid w:val="22EA1D38"/>
    <w:rsid w:val="235375C3"/>
    <w:rsid w:val="23847BA0"/>
    <w:rsid w:val="238874DE"/>
    <w:rsid w:val="23DA73FB"/>
    <w:rsid w:val="23E37F6C"/>
    <w:rsid w:val="245E1806"/>
    <w:rsid w:val="247D5688"/>
    <w:rsid w:val="249A0D81"/>
    <w:rsid w:val="24E61D52"/>
    <w:rsid w:val="25E75C31"/>
    <w:rsid w:val="25FC0C2B"/>
    <w:rsid w:val="270B0936"/>
    <w:rsid w:val="274431BE"/>
    <w:rsid w:val="279F0D4E"/>
    <w:rsid w:val="27D44781"/>
    <w:rsid w:val="284C66E9"/>
    <w:rsid w:val="28820AFA"/>
    <w:rsid w:val="28975D5E"/>
    <w:rsid w:val="29D500C2"/>
    <w:rsid w:val="2A167449"/>
    <w:rsid w:val="2A1B3039"/>
    <w:rsid w:val="2A4C718D"/>
    <w:rsid w:val="2A9A77FB"/>
    <w:rsid w:val="2B56175C"/>
    <w:rsid w:val="2B60123C"/>
    <w:rsid w:val="2BD173DF"/>
    <w:rsid w:val="2BF704C7"/>
    <w:rsid w:val="2C66344F"/>
    <w:rsid w:val="2C746371"/>
    <w:rsid w:val="2C8E5C57"/>
    <w:rsid w:val="2CAD715D"/>
    <w:rsid w:val="2CE20E7D"/>
    <w:rsid w:val="2CFF37A4"/>
    <w:rsid w:val="2D372C7E"/>
    <w:rsid w:val="2D3A0E59"/>
    <w:rsid w:val="2D3E4B80"/>
    <w:rsid w:val="2DA6142D"/>
    <w:rsid w:val="2DEE64F2"/>
    <w:rsid w:val="2DEF7208"/>
    <w:rsid w:val="2E3475E8"/>
    <w:rsid w:val="2E9674ED"/>
    <w:rsid w:val="2EB94F93"/>
    <w:rsid w:val="2F7C1A5F"/>
    <w:rsid w:val="305F6938"/>
    <w:rsid w:val="30C83BE2"/>
    <w:rsid w:val="30E05BB7"/>
    <w:rsid w:val="30E67E4C"/>
    <w:rsid w:val="321610C5"/>
    <w:rsid w:val="32CC4B1E"/>
    <w:rsid w:val="330D7AFC"/>
    <w:rsid w:val="3319186B"/>
    <w:rsid w:val="332E61B3"/>
    <w:rsid w:val="33E61BB4"/>
    <w:rsid w:val="36533273"/>
    <w:rsid w:val="36685368"/>
    <w:rsid w:val="367F0130"/>
    <w:rsid w:val="36A923DC"/>
    <w:rsid w:val="37E8698D"/>
    <w:rsid w:val="385178F5"/>
    <w:rsid w:val="38A632CE"/>
    <w:rsid w:val="38A86717"/>
    <w:rsid w:val="38BE43EE"/>
    <w:rsid w:val="38D13525"/>
    <w:rsid w:val="39484014"/>
    <w:rsid w:val="39DC34D0"/>
    <w:rsid w:val="3A410817"/>
    <w:rsid w:val="3A712757"/>
    <w:rsid w:val="3AA861AF"/>
    <w:rsid w:val="3AB34E55"/>
    <w:rsid w:val="3B125BF1"/>
    <w:rsid w:val="3BA1294D"/>
    <w:rsid w:val="3BE639DB"/>
    <w:rsid w:val="3C20446E"/>
    <w:rsid w:val="3C3C1BC3"/>
    <w:rsid w:val="3D261947"/>
    <w:rsid w:val="3D9E6605"/>
    <w:rsid w:val="3DAE142E"/>
    <w:rsid w:val="3DEE49A8"/>
    <w:rsid w:val="3E5D29AE"/>
    <w:rsid w:val="3EB31DA7"/>
    <w:rsid w:val="3EF73CFE"/>
    <w:rsid w:val="3F335C23"/>
    <w:rsid w:val="3F5129D1"/>
    <w:rsid w:val="3FD371D0"/>
    <w:rsid w:val="408225BA"/>
    <w:rsid w:val="40BA23B7"/>
    <w:rsid w:val="41190A69"/>
    <w:rsid w:val="412732EA"/>
    <w:rsid w:val="416844A4"/>
    <w:rsid w:val="41EE71D7"/>
    <w:rsid w:val="42E834A9"/>
    <w:rsid w:val="42FD57FC"/>
    <w:rsid w:val="431A60E1"/>
    <w:rsid w:val="435175AA"/>
    <w:rsid w:val="43924C89"/>
    <w:rsid w:val="43D73F3A"/>
    <w:rsid w:val="441A75D0"/>
    <w:rsid w:val="45351479"/>
    <w:rsid w:val="4537141C"/>
    <w:rsid w:val="454F563C"/>
    <w:rsid w:val="4597217A"/>
    <w:rsid w:val="45E10E01"/>
    <w:rsid w:val="46267E91"/>
    <w:rsid w:val="46702742"/>
    <w:rsid w:val="47013220"/>
    <w:rsid w:val="47D709DC"/>
    <w:rsid w:val="48133446"/>
    <w:rsid w:val="488D1D72"/>
    <w:rsid w:val="48B17A4A"/>
    <w:rsid w:val="48E20F4B"/>
    <w:rsid w:val="490176DC"/>
    <w:rsid w:val="49653492"/>
    <w:rsid w:val="4979547F"/>
    <w:rsid w:val="4A002338"/>
    <w:rsid w:val="4A0273A1"/>
    <w:rsid w:val="4AA62300"/>
    <w:rsid w:val="4AE742F9"/>
    <w:rsid w:val="4B2454B9"/>
    <w:rsid w:val="4BAB278E"/>
    <w:rsid w:val="4C470C0F"/>
    <w:rsid w:val="4C4B3D4D"/>
    <w:rsid w:val="4D6E4A56"/>
    <w:rsid w:val="4DEF4438"/>
    <w:rsid w:val="4E001D00"/>
    <w:rsid w:val="4E4002CB"/>
    <w:rsid w:val="4ED66FEF"/>
    <w:rsid w:val="4ED93FD2"/>
    <w:rsid w:val="4EFE3DF5"/>
    <w:rsid w:val="4F19745B"/>
    <w:rsid w:val="4FEB5E99"/>
    <w:rsid w:val="4FFD3D4B"/>
    <w:rsid w:val="505875AB"/>
    <w:rsid w:val="50AF550D"/>
    <w:rsid w:val="511F00AD"/>
    <w:rsid w:val="51FE4EDB"/>
    <w:rsid w:val="52B63CE1"/>
    <w:rsid w:val="53D26A44"/>
    <w:rsid w:val="54295612"/>
    <w:rsid w:val="54312C82"/>
    <w:rsid w:val="54821217"/>
    <w:rsid w:val="550E4B17"/>
    <w:rsid w:val="555F664D"/>
    <w:rsid w:val="55647EF2"/>
    <w:rsid w:val="55903220"/>
    <w:rsid w:val="56231448"/>
    <w:rsid w:val="566A6D53"/>
    <w:rsid w:val="56E44D87"/>
    <w:rsid w:val="57047E5C"/>
    <w:rsid w:val="57150B1D"/>
    <w:rsid w:val="579928D4"/>
    <w:rsid w:val="57B15A99"/>
    <w:rsid w:val="586204FB"/>
    <w:rsid w:val="58EB14B1"/>
    <w:rsid w:val="597C7C99"/>
    <w:rsid w:val="59916325"/>
    <w:rsid w:val="59B33E6B"/>
    <w:rsid w:val="5A356446"/>
    <w:rsid w:val="5A3B2958"/>
    <w:rsid w:val="5A491B97"/>
    <w:rsid w:val="5AA2174E"/>
    <w:rsid w:val="5ADE2546"/>
    <w:rsid w:val="5B29523C"/>
    <w:rsid w:val="5B3E4703"/>
    <w:rsid w:val="5B4A7DFD"/>
    <w:rsid w:val="5C740D61"/>
    <w:rsid w:val="5E130745"/>
    <w:rsid w:val="5E3062D9"/>
    <w:rsid w:val="5E5A2072"/>
    <w:rsid w:val="5ECE5D17"/>
    <w:rsid w:val="5EF314FA"/>
    <w:rsid w:val="5F02645D"/>
    <w:rsid w:val="5F060859"/>
    <w:rsid w:val="5F0A0403"/>
    <w:rsid w:val="5F324CD9"/>
    <w:rsid w:val="60376880"/>
    <w:rsid w:val="603F028F"/>
    <w:rsid w:val="611435EA"/>
    <w:rsid w:val="61D24236"/>
    <w:rsid w:val="61F85C9F"/>
    <w:rsid w:val="62831F02"/>
    <w:rsid w:val="628F37C4"/>
    <w:rsid w:val="62983C44"/>
    <w:rsid w:val="62DD7C54"/>
    <w:rsid w:val="63600427"/>
    <w:rsid w:val="6379229E"/>
    <w:rsid w:val="638D259D"/>
    <w:rsid w:val="640070AE"/>
    <w:rsid w:val="64427A54"/>
    <w:rsid w:val="6443328C"/>
    <w:rsid w:val="647C32B7"/>
    <w:rsid w:val="64CC449F"/>
    <w:rsid w:val="64D00EFC"/>
    <w:rsid w:val="64FE0AB5"/>
    <w:rsid w:val="654D3E67"/>
    <w:rsid w:val="65AF43A2"/>
    <w:rsid w:val="65B80017"/>
    <w:rsid w:val="65F85F27"/>
    <w:rsid w:val="66FB1950"/>
    <w:rsid w:val="670B06B5"/>
    <w:rsid w:val="67777752"/>
    <w:rsid w:val="67C4074F"/>
    <w:rsid w:val="67E55E7C"/>
    <w:rsid w:val="680E50C5"/>
    <w:rsid w:val="690C33C5"/>
    <w:rsid w:val="693F712D"/>
    <w:rsid w:val="69A272AE"/>
    <w:rsid w:val="6A0B20AF"/>
    <w:rsid w:val="6A38661E"/>
    <w:rsid w:val="6A386F6A"/>
    <w:rsid w:val="6A6F535C"/>
    <w:rsid w:val="6ABF3F6D"/>
    <w:rsid w:val="6B3F6C0D"/>
    <w:rsid w:val="6C011145"/>
    <w:rsid w:val="6C0831D2"/>
    <w:rsid w:val="6C0D5357"/>
    <w:rsid w:val="6C554DB2"/>
    <w:rsid w:val="6CD52D49"/>
    <w:rsid w:val="6CE91FFC"/>
    <w:rsid w:val="6D233343"/>
    <w:rsid w:val="6E244C23"/>
    <w:rsid w:val="6E4B55A2"/>
    <w:rsid w:val="6F3E7888"/>
    <w:rsid w:val="6F586EE4"/>
    <w:rsid w:val="6F862EF5"/>
    <w:rsid w:val="6FB3584D"/>
    <w:rsid w:val="6FDD1708"/>
    <w:rsid w:val="70D03F6F"/>
    <w:rsid w:val="71026125"/>
    <w:rsid w:val="711C53E6"/>
    <w:rsid w:val="71283569"/>
    <w:rsid w:val="712C3349"/>
    <w:rsid w:val="717065FB"/>
    <w:rsid w:val="72071D95"/>
    <w:rsid w:val="720C23AC"/>
    <w:rsid w:val="7239457A"/>
    <w:rsid w:val="72540F23"/>
    <w:rsid w:val="7263465C"/>
    <w:rsid w:val="726E1EC3"/>
    <w:rsid w:val="728B01BF"/>
    <w:rsid w:val="728C2547"/>
    <w:rsid w:val="737506A0"/>
    <w:rsid w:val="73E02DC2"/>
    <w:rsid w:val="74946EB4"/>
    <w:rsid w:val="74994CDA"/>
    <w:rsid w:val="74E81C1F"/>
    <w:rsid w:val="75113DD4"/>
    <w:rsid w:val="758C6351"/>
    <w:rsid w:val="759725AE"/>
    <w:rsid w:val="75F25C30"/>
    <w:rsid w:val="76336455"/>
    <w:rsid w:val="76350859"/>
    <w:rsid w:val="7672057E"/>
    <w:rsid w:val="76C9174E"/>
    <w:rsid w:val="7795579F"/>
    <w:rsid w:val="77A83697"/>
    <w:rsid w:val="788C007F"/>
    <w:rsid w:val="7899160B"/>
    <w:rsid w:val="78EC054A"/>
    <w:rsid w:val="79175C3B"/>
    <w:rsid w:val="79386195"/>
    <w:rsid w:val="7956520A"/>
    <w:rsid w:val="7993766C"/>
    <w:rsid w:val="7A0C1475"/>
    <w:rsid w:val="7AFF6FF8"/>
    <w:rsid w:val="7B341A99"/>
    <w:rsid w:val="7B541C68"/>
    <w:rsid w:val="7C32702C"/>
    <w:rsid w:val="7C524D45"/>
    <w:rsid w:val="7C702B1B"/>
    <w:rsid w:val="7C8A19FC"/>
    <w:rsid w:val="7C956B30"/>
    <w:rsid w:val="7C96052A"/>
    <w:rsid w:val="7CC868F9"/>
    <w:rsid w:val="7CD009A0"/>
    <w:rsid w:val="7D0F6370"/>
    <w:rsid w:val="7D280A11"/>
    <w:rsid w:val="7DD97027"/>
    <w:rsid w:val="7E67063E"/>
    <w:rsid w:val="7ED62538"/>
    <w:rsid w:val="7EF87AAA"/>
    <w:rsid w:val="7F0E1C0E"/>
    <w:rsid w:val="7FAF2878"/>
    <w:rsid w:val="7FDB0DD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3"/>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4"/>
    <w:qFormat/>
    <w:uiPriority w:val="0"/>
    <w:pPr>
      <w:keepNext/>
      <w:keepLines/>
      <w:spacing w:before="260" w:after="260" w:line="416" w:lineRule="auto"/>
      <w:outlineLvl w:val="1"/>
    </w:pPr>
    <w:rPr>
      <w:rFonts w:ascii="Arial" w:hAnsi="Arial" w:eastAsia="黑体"/>
      <w:b/>
      <w:bCs/>
      <w:sz w:val="32"/>
      <w:szCs w:val="32"/>
    </w:rPr>
  </w:style>
  <w:style w:type="character" w:default="1" w:styleId="16">
    <w:name w:val="Default Paragraph Font"/>
    <w:semiHidden/>
    <w:unhideWhenUsed/>
    <w:qFormat/>
    <w:uiPriority w:val="1"/>
  </w:style>
  <w:style w:type="table" w:default="1" w:styleId="21">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subject"/>
    <w:basedOn w:val="5"/>
    <w:next w:val="5"/>
    <w:link w:val="34"/>
    <w:qFormat/>
    <w:uiPriority w:val="0"/>
    <w:pPr>
      <w:spacing w:line="240" w:lineRule="auto"/>
      <w:ind w:firstLine="0" w:firstLineChars="0"/>
    </w:pPr>
    <w:rPr>
      <w:b/>
      <w:bCs/>
    </w:rPr>
  </w:style>
  <w:style w:type="paragraph" w:styleId="5">
    <w:name w:val="annotation text"/>
    <w:basedOn w:val="1"/>
    <w:link w:val="31"/>
    <w:qFormat/>
    <w:uiPriority w:val="0"/>
    <w:pPr>
      <w:spacing w:line="360" w:lineRule="auto"/>
      <w:ind w:firstLine="200" w:firstLineChars="200"/>
      <w:jc w:val="left"/>
    </w:pPr>
    <w:rPr>
      <w:rFonts w:asciiTheme="minorHAnsi" w:hAnsiTheme="minorHAnsi" w:eastAsiaTheme="minorEastAsia" w:cstheme="minorBidi"/>
    </w:rPr>
  </w:style>
  <w:style w:type="paragraph" w:styleId="6">
    <w:name w:val="Document Map"/>
    <w:basedOn w:val="1"/>
    <w:link w:val="41"/>
    <w:semiHidden/>
    <w:qFormat/>
    <w:uiPriority w:val="0"/>
    <w:pPr>
      <w:shd w:val="clear" w:color="auto" w:fill="000080"/>
    </w:pPr>
  </w:style>
  <w:style w:type="paragraph" w:styleId="7">
    <w:name w:val="toc 3"/>
    <w:basedOn w:val="1"/>
    <w:next w:val="1"/>
    <w:semiHidden/>
    <w:qFormat/>
    <w:uiPriority w:val="0"/>
    <w:pPr>
      <w:ind w:left="840" w:leftChars="400"/>
    </w:pPr>
  </w:style>
  <w:style w:type="paragraph" w:styleId="8">
    <w:name w:val="Date"/>
    <w:basedOn w:val="1"/>
    <w:next w:val="1"/>
    <w:link w:val="42"/>
    <w:qFormat/>
    <w:uiPriority w:val="0"/>
    <w:pPr>
      <w:ind w:left="100" w:leftChars="2500"/>
    </w:pPr>
  </w:style>
  <w:style w:type="paragraph" w:styleId="9">
    <w:name w:val="Balloon Text"/>
    <w:basedOn w:val="1"/>
    <w:link w:val="32"/>
    <w:semiHidden/>
    <w:qFormat/>
    <w:uiPriority w:val="0"/>
    <w:rPr>
      <w:rFonts w:asciiTheme="minorHAnsi" w:hAnsiTheme="minorHAnsi" w:cstheme="minorBidi"/>
      <w:sz w:val="18"/>
      <w:szCs w:val="18"/>
    </w:rPr>
  </w:style>
  <w:style w:type="paragraph" w:styleId="10">
    <w:name w:val="footer"/>
    <w:basedOn w:val="1"/>
    <w:link w:val="26"/>
    <w:unhideWhenUsed/>
    <w:qFormat/>
    <w:uiPriority w:val="99"/>
    <w:pPr>
      <w:tabs>
        <w:tab w:val="center" w:pos="4153"/>
        <w:tab w:val="right" w:pos="8306"/>
      </w:tabs>
      <w:snapToGrid w:val="0"/>
      <w:jc w:val="left"/>
    </w:pPr>
    <w:rPr>
      <w:sz w:val="18"/>
      <w:szCs w:val="18"/>
    </w:rPr>
  </w:style>
  <w:style w:type="paragraph" w:styleId="11">
    <w:name w:val="header"/>
    <w:basedOn w:val="1"/>
    <w:link w:val="25"/>
    <w:unhideWhenUsed/>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9628"/>
      </w:tabs>
      <w:spacing w:line="360" w:lineRule="auto"/>
    </w:pPr>
    <w:rPr>
      <w:sz w:val="24"/>
    </w:rPr>
  </w:style>
  <w:style w:type="paragraph" w:styleId="13">
    <w:name w:val="toc 2"/>
    <w:basedOn w:val="1"/>
    <w:next w:val="1"/>
    <w:qFormat/>
    <w:uiPriority w:val="39"/>
    <w:pPr>
      <w:ind w:left="420" w:leftChars="200"/>
    </w:p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5">
    <w:name w:val="Title"/>
    <w:basedOn w:val="1"/>
    <w:link w:val="35"/>
    <w:qFormat/>
    <w:uiPriority w:val="0"/>
    <w:pPr>
      <w:spacing w:before="240" w:after="60" w:line="360" w:lineRule="auto"/>
      <w:jc w:val="center"/>
      <w:outlineLvl w:val="0"/>
    </w:pPr>
    <w:rPr>
      <w:rFonts w:ascii="Arial" w:hAnsi="Arial" w:eastAsia="黑体" w:cs="Arial"/>
      <w:bCs/>
      <w:sz w:val="28"/>
      <w:szCs w:val="32"/>
    </w:rPr>
  </w:style>
  <w:style w:type="character" w:styleId="17">
    <w:name w:val="page number"/>
    <w:basedOn w:val="16"/>
    <w:qFormat/>
    <w:uiPriority w:val="0"/>
  </w:style>
  <w:style w:type="character" w:styleId="18">
    <w:name w:val="FollowedHyperlink"/>
    <w:qFormat/>
    <w:uiPriority w:val="0"/>
    <w:rPr>
      <w:color w:val="954F72"/>
      <w:u w:val="single"/>
    </w:rPr>
  </w:style>
  <w:style w:type="character" w:styleId="19">
    <w:name w:val="Hyperlink"/>
    <w:qFormat/>
    <w:uiPriority w:val="99"/>
    <w:rPr>
      <w:color w:val="0000FF"/>
      <w:u w:val="single"/>
    </w:rPr>
  </w:style>
  <w:style w:type="character" w:styleId="20">
    <w:name w:val="annotation reference"/>
    <w:qFormat/>
    <w:uiPriority w:val="0"/>
    <w:rPr>
      <w:sz w:val="21"/>
      <w:szCs w:val="21"/>
    </w:rPr>
  </w:style>
  <w:style w:type="table" w:styleId="22">
    <w:name w:val="Table Grid"/>
    <w:basedOn w:val="2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3">
    <w:name w:val="标题 1 Char"/>
    <w:basedOn w:val="16"/>
    <w:link w:val="2"/>
    <w:qFormat/>
    <w:uiPriority w:val="0"/>
    <w:rPr>
      <w:rFonts w:ascii="Times New Roman" w:hAnsi="Times New Roman" w:eastAsia="宋体" w:cs="Times New Roman"/>
      <w:b/>
      <w:bCs/>
      <w:kern w:val="44"/>
      <w:sz w:val="44"/>
      <w:szCs w:val="44"/>
    </w:rPr>
  </w:style>
  <w:style w:type="character" w:customStyle="1" w:styleId="24">
    <w:name w:val="标题 2 Char1"/>
    <w:link w:val="3"/>
    <w:qFormat/>
    <w:uiPriority w:val="0"/>
    <w:rPr>
      <w:rFonts w:ascii="Arial" w:hAnsi="Arial" w:eastAsia="黑体" w:cs="Times New Roman"/>
      <w:b/>
      <w:bCs/>
      <w:sz w:val="32"/>
      <w:szCs w:val="32"/>
    </w:rPr>
  </w:style>
  <w:style w:type="character" w:customStyle="1" w:styleId="25">
    <w:name w:val="页眉 Char"/>
    <w:basedOn w:val="16"/>
    <w:link w:val="11"/>
    <w:qFormat/>
    <w:uiPriority w:val="99"/>
    <w:rPr>
      <w:sz w:val="18"/>
      <w:szCs w:val="18"/>
    </w:rPr>
  </w:style>
  <w:style w:type="character" w:customStyle="1" w:styleId="26">
    <w:name w:val="页脚 Char"/>
    <w:basedOn w:val="16"/>
    <w:link w:val="10"/>
    <w:qFormat/>
    <w:uiPriority w:val="99"/>
    <w:rPr>
      <w:sz w:val="18"/>
      <w:szCs w:val="18"/>
    </w:rPr>
  </w:style>
  <w:style w:type="character" w:customStyle="1" w:styleId="27">
    <w:name w:val="标题 2 Char"/>
    <w:basedOn w:val="16"/>
    <w:qFormat/>
    <w:uiPriority w:val="0"/>
    <w:rPr>
      <w:rFonts w:asciiTheme="majorHAnsi" w:hAnsiTheme="majorHAnsi" w:eastAsiaTheme="majorEastAsia" w:cstheme="majorBidi"/>
      <w:b/>
      <w:bCs/>
      <w:sz w:val="32"/>
      <w:szCs w:val="32"/>
    </w:rPr>
  </w:style>
  <w:style w:type="character" w:customStyle="1" w:styleId="28">
    <w:name w:val="页眉 字符"/>
    <w:semiHidden/>
    <w:qFormat/>
    <w:locked/>
    <w:uiPriority w:val="0"/>
    <w:rPr>
      <w:rFonts w:eastAsia="宋体"/>
      <w:kern w:val="2"/>
      <w:sz w:val="18"/>
      <w:szCs w:val="18"/>
      <w:lang w:val="en-US" w:eastAsia="zh-CN" w:bidi="ar-SA"/>
    </w:rPr>
  </w:style>
  <w:style w:type="character" w:customStyle="1" w:styleId="29">
    <w:name w:val="段 Char"/>
    <w:link w:val="30"/>
    <w:qFormat/>
    <w:uiPriority w:val="0"/>
    <w:rPr>
      <w:rFonts w:ascii="宋体"/>
    </w:rPr>
  </w:style>
  <w:style w:type="paragraph" w:customStyle="1" w:styleId="30">
    <w:name w:val="段"/>
    <w:link w:val="29"/>
    <w:qFormat/>
    <w:uiPriority w:val="0"/>
    <w:pPr>
      <w:autoSpaceDE w:val="0"/>
      <w:autoSpaceDN w:val="0"/>
      <w:ind w:firstLine="200" w:firstLineChars="200"/>
      <w:jc w:val="both"/>
    </w:pPr>
    <w:rPr>
      <w:rFonts w:ascii="宋体" w:hAnsiTheme="minorHAnsi" w:eastAsiaTheme="minorEastAsia" w:cstheme="minorBidi"/>
      <w:kern w:val="2"/>
      <w:sz w:val="21"/>
      <w:szCs w:val="22"/>
      <w:lang w:val="en-US" w:eastAsia="zh-CN" w:bidi="ar-SA"/>
    </w:rPr>
  </w:style>
  <w:style w:type="character" w:customStyle="1" w:styleId="31">
    <w:name w:val="批注文字 Char1"/>
    <w:link w:val="5"/>
    <w:qFormat/>
    <w:uiPriority w:val="0"/>
    <w:rPr>
      <w:szCs w:val="24"/>
    </w:rPr>
  </w:style>
  <w:style w:type="character" w:customStyle="1" w:styleId="32">
    <w:name w:val="批注框文本 Char1"/>
    <w:link w:val="9"/>
    <w:semiHidden/>
    <w:qFormat/>
    <w:locked/>
    <w:uiPriority w:val="0"/>
    <w:rPr>
      <w:rFonts w:eastAsia="宋体"/>
      <w:sz w:val="18"/>
      <w:szCs w:val="18"/>
    </w:rPr>
  </w:style>
  <w:style w:type="character" w:customStyle="1" w:styleId="33">
    <w:name w:val="页脚 字符"/>
    <w:qFormat/>
    <w:locked/>
    <w:uiPriority w:val="99"/>
    <w:rPr>
      <w:rFonts w:eastAsia="宋体"/>
      <w:kern w:val="2"/>
      <w:sz w:val="18"/>
      <w:szCs w:val="18"/>
      <w:lang w:val="en-US" w:eastAsia="zh-CN" w:bidi="ar-SA"/>
    </w:rPr>
  </w:style>
  <w:style w:type="character" w:customStyle="1" w:styleId="34">
    <w:name w:val="批注主题 Char1"/>
    <w:link w:val="4"/>
    <w:qFormat/>
    <w:uiPriority w:val="0"/>
    <w:rPr>
      <w:b/>
      <w:bCs/>
      <w:szCs w:val="24"/>
    </w:rPr>
  </w:style>
  <w:style w:type="character" w:customStyle="1" w:styleId="35">
    <w:name w:val="标题 Char1"/>
    <w:link w:val="15"/>
    <w:qFormat/>
    <w:uiPriority w:val="0"/>
    <w:rPr>
      <w:rFonts w:ascii="Arial" w:hAnsi="Arial" w:eastAsia="黑体" w:cs="Arial"/>
      <w:bCs/>
      <w:sz w:val="28"/>
      <w:szCs w:val="32"/>
    </w:rPr>
  </w:style>
  <w:style w:type="character" w:customStyle="1" w:styleId="36">
    <w:name w:val="high-light-bg"/>
    <w:qFormat/>
    <w:uiPriority w:val="0"/>
  </w:style>
  <w:style w:type="character" w:customStyle="1" w:styleId="37">
    <w:name w:val="分条 Char"/>
    <w:link w:val="38"/>
    <w:qFormat/>
    <w:uiPriority w:val="0"/>
    <w:rPr>
      <w:rFonts w:eastAsia="宋体"/>
      <w:sz w:val="24"/>
      <w:szCs w:val="24"/>
    </w:rPr>
  </w:style>
  <w:style w:type="paragraph" w:customStyle="1" w:styleId="38">
    <w:name w:val="分条"/>
    <w:basedOn w:val="1"/>
    <w:link w:val="37"/>
    <w:qFormat/>
    <w:uiPriority w:val="0"/>
    <w:pPr>
      <w:spacing w:line="360" w:lineRule="auto"/>
      <w:ind w:firstLine="200" w:firstLineChars="200"/>
    </w:pPr>
    <w:rPr>
      <w:rFonts w:asciiTheme="minorHAnsi" w:hAnsiTheme="minorHAnsi" w:cstheme="minorBidi"/>
      <w:sz w:val="24"/>
    </w:rPr>
  </w:style>
  <w:style w:type="character" w:customStyle="1" w:styleId="39">
    <w:name w:val="发布"/>
    <w:qFormat/>
    <w:uiPriority w:val="0"/>
    <w:rPr>
      <w:rFonts w:ascii="黑体" w:eastAsia="黑体"/>
      <w:spacing w:val="22"/>
      <w:w w:val="100"/>
      <w:position w:val="3"/>
      <w:sz w:val="28"/>
    </w:rPr>
  </w:style>
  <w:style w:type="character" w:customStyle="1" w:styleId="40">
    <w:name w:val="批注框文本 Char"/>
    <w:basedOn w:val="16"/>
    <w:semiHidden/>
    <w:qFormat/>
    <w:uiPriority w:val="99"/>
    <w:rPr>
      <w:rFonts w:ascii="Times New Roman" w:hAnsi="Times New Roman" w:eastAsia="宋体" w:cs="Times New Roman"/>
      <w:sz w:val="18"/>
      <w:szCs w:val="18"/>
    </w:rPr>
  </w:style>
  <w:style w:type="character" w:customStyle="1" w:styleId="41">
    <w:name w:val="文档结构图 Char"/>
    <w:basedOn w:val="16"/>
    <w:link w:val="6"/>
    <w:semiHidden/>
    <w:qFormat/>
    <w:uiPriority w:val="0"/>
    <w:rPr>
      <w:rFonts w:ascii="Times New Roman" w:hAnsi="Times New Roman" w:eastAsia="宋体" w:cs="Times New Roman"/>
      <w:szCs w:val="24"/>
      <w:shd w:val="clear" w:color="auto" w:fill="000080"/>
    </w:rPr>
  </w:style>
  <w:style w:type="character" w:customStyle="1" w:styleId="42">
    <w:name w:val="日期 Char"/>
    <w:basedOn w:val="16"/>
    <w:link w:val="8"/>
    <w:qFormat/>
    <w:uiPriority w:val="0"/>
    <w:rPr>
      <w:rFonts w:ascii="Times New Roman" w:hAnsi="Times New Roman" w:eastAsia="宋体" w:cs="Times New Roman"/>
      <w:szCs w:val="24"/>
    </w:rPr>
  </w:style>
  <w:style w:type="character" w:customStyle="1" w:styleId="43">
    <w:name w:val="批注文字 Char"/>
    <w:basedOn w:val="16"/>
    <w:semiHidden/>
    <w:qFormat/>
    <w:uiPriority w:val="99"/>
    <w:rPr>
      <w:rFonts w:ascii="Times New Roman" w:hAnsi="Times New Roman" w:eastAsia="宋体" w:cs="Times New Roman"/>
      <w:szCs w:val="24"/>
    </w:rPr>
  </w:style>
  <w:style w:type="character" w:customStyle="1" w:styleId="44">
    <w:name w:val="批注主题 Char"/>
    <w:basedOn w:val="43"/>
    <w:semiHidden/>
    <w:qFormat/>
    <w:uiPriority w:val="99"/>
    <w:rPr>
      <w:rFonts w:ascii="Times New Roman" w:hAnsi="Times New Roman" w:eastAsia="宋体" w:cs="Times New Roman"/>
      <w:b/>
      <w:bCs/>
      <w:szCs w:val="24"/>
    </w:rPr>
  </w:style>
  <w:style w:type="character" w:customStyle="1" w:styleId="45">
    <w:name w:val="标题 Char"/>
    <w:basedOn w:val="16"/>
    <w:qFormat/>
    <w:uiPriority w:val="10"/>
    <w:rPr>
      <w:rFonts w:eastAsia="宋体" w:asciiTheme="majorHAnsi" w:hAnsiTheme="majorHAnsi" w:cstheme="majorBidi"/>
      <w:b/>
      <w:bCs/>
      <w:sz w:val="32"/>
      <w:szCs w:val="32"/>
    </w:rPr>
  </w:style>
  <w:style w:type="paragraph" w:customStyle="1" w:styleId="46">
    <w:name w:val="章标题"/>
    <w:next w:val="30"/>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47">
    <w:name w:val="二级条标题"/>
    <w:basedOn w:val="48"/>
    <w:next w:val="30"/>
    <w:qFormat/>
    <w:uiPriority w:val="0"/>
    <w:pPr>
      <w:ind w:left="0"/>
      <w:outlineLvl w:val="3"/>
    </w:pPr>
  </w:style>
  <w:style w:type="paragraph" w:customStyle="1" w:styleId="48">
    <w:name w:val="一级条标题"/>
    <w:next w:val="30"/>
    <w:qFormat/>
    <w:uiPriority w:val="0"/>
    <w:pPr>
      <w:ind w:left="420"/>
      <w:outlineLvl w:val="2"/>
    </w:pPr>
    <w:rPr>
      <w:rFonts w:ascii="Times New Roman" w:hAnsi="Times New Roman" w:eastAsia="黑体" w:cs="Times New Roman"/>
      <w:sz w:val="21"/>
      <w:lang w:val="en-US" w:eastAsia="zh-CN" w:bidi="ar-SA"/>
    </w:rPr>
  </w:style>
  <w:style w:type="paragraph" w:customStyle="1" w:styleId="49">
    <w:name w:val="附录标识"/>
    <w:basedOn w:val="50"/>
    <w:qFormat/>
    <w:uiPriority w:val="0"/>
    <w:pPr>
      <w:tabs>
        <w:tab w:val="left" w:pos="6405"/>
      </w:tabs>
      <w:spacing w:after="200"/>
    </w:pPr>
    <w:rPr>
      <w:sz w:val="21"/>
    </w:rPr>
  </w:style>
  <w:style w:type="paragraph" w:customStyle="1" w:styleId="50">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51">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5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53">
    <w:name w:val="发布部门"/>
    <w:next w:val="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5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styleId="55">
    <w:name w:val="List Paragraph"/>
    <w:basedOn w:val="1"/>
    <w:qFormat/>
    <w:uiPriority w:val="34"/>
    <w:pPr>
      <w:ind w:firstLine="420" w:firstLineChars="200"/>
    </w:pPr>
    <w:rPr>
      <w:rFonts w:ascii="Calibri" w:hAnsi="Calibri"/>
      <w:szCs w:val="22"/>
    </w:rPr>
  </w:style>
  <w:style w:type="paragraph" w:customStyle="1" w:styleId="56">
    <w:name w:val="附录五级条标题"/>
    <w:basedOn w:val="57"/>
    <w:next w:val="30"/>
    <w:qFormat/>
    <w:uiPriority w:val="0"/>
    <w:pPr>
      <w:outlineLvl w:val="6"/>
    </w:pPr>
  </w:style>
  <w:style w:type="paragraph" w:customStyle="1" w:styleId="57">
    <w:name w:val="附录四级条标题"/>
    <w:basedOn w:val="58"/>
    <w:next w:val="30"/>
    <w:qFormat/>
    <w:uiPriority w:val="0"/>
    <w:pPr>
      <w:outlineLvl w:val="5"/>
    </w:pPr>
  </w:style>
  <w:style w:type="paragraph" w:customStyle="1" w:styleId="58">
    <w:name w:val="附录三级条标题"/>
    <w:basedOn w:val="59"/>
    <w:next w:val="30"/>
    <w:qFormat/>
    <w:uiPriority w:val="0"/>
    <w:pPr>
      <w:outlineLvl w:val="4"/>
    </w:pPr>
  </w:style>
  <w:style w:type="paragraph" w:customStyle="1" w:styleId="59">
    <w:name w:val="附录二级条标题"/>
    <w:basedOn w:val="60"/>
    <w:next w:val="30"/>
    <w:qFormat/>
    <w:uiPriority w:val="0"/>
    <w:pPr>
      <w:outlineLvl w:val="3"/>
    </w:pPr>
  </w:style>
  <w:style w:type="paragraph" w:customStyle="1" w:styleId="60">
    <w:name w:val="附录一级条标题"/>
    <w:basedOn w:val="61"/>
    <w:next w:val="30"/>
    <w:qFormat/>
    <w:uiPriority w:val="0"/>
    <w:pPr>
      <w:autoSpaceDN w:val="0"/>
      <w:spacing w:beforeLines="0" w:afterLines="0"/>
      <w:outlineLvl w:val="2"/>
    </w:pPr>
  </w:style>
  <w:style w:type="paragraph" w:customStyle="1" w:styleId="61">
    <w:name w:val="附录章标题"/>
    <w:next w:val="3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62">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63">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64">
    <w:name w:val="三级条标题"/>
    <w:basedOn w:val="47"/>
    <w:next w:val="30"/>
    <w:qFormat/>
    <w:uiPriority w:val="0"/>
    <w:pPr>
      <w:outlineLvl w:val="4"/>
    </w:pPr>
  </w:style>
  <w:style w:type="paragraph" w:customStyle="1" w:styleId="65">
    <w:name w:val="封面标准代替信息"/>
    <w:basedOn w:val="63"/>
    <w:qFormat/>
    <w:uiPriority w:val="0"/>
    <w:pPr>
      <w:spacing w:before="57"/>
    </w:pPr>
    <w:rPr>
      <w:rFonts w:ascii="宋体"/>
      <w:sz w:val="21"/>
    </w:rPr>
  </w:style>
  <w:style w:type="paragraph" w:customStyle="1" w:styleId="66">
    <w:name w:val="实施日期"/>
    <w:basedOn w:val="54"/>
    <w:qFormat/>
    <w:uiPriority w:val="0"/>
    <w:pPr>
      <w:framePr w:hSpace="0" w:xAlign="right"/>
      <w:jc w:val="right"/>
    </w:pPr>
  </w:style>
  <w:style w:type="paragraph" w:customStyle="1" w:styleId="67">
    <w:name w:val="五级条标题"/>
    <w:basedOn w:val="68"/>
    <w:next w:val="30"/>
    <w:qFormat/>
    <w:uiPriority w:val="0"/>
    <w:pPr>
      <w:outlineLvl w:val="6"/>
    </w:pPr>
  </w:style>
  <w:style w:type="paragraph" w:customStyle="1" w:styleId="68">
    <w:name w:val="四级条标题"/>
    <w:basedOn w:val="64"/>
    <w:next w:val="30"/>
    <w:qFormat/>
    <w:uiPriority w:val="0"/>
    <w:pPr>
      <w:outlineLvl w:val="5"/>
    </w:pPr>
  </w:style>
  <w:style w:type="paragraph" w:customStyle="1" w:styleId="6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70">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71">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72">
    <w:name w:val="WPSOffice手动目录 1"/>
    <w:qFormat/>
    <w:uiPriority w:val="0"/>
    <w:rPr>
      <w:rFonts w:ascii="Times New Roman" w:hAnsi="Times New Roman" w:eastAsia="宋体" w:cs="Times New Roman"/>
      <w:lang w:val="en-US" w:eastAsia="zh-CN" w:bidi="ar-SA"/>
    </w:rPr>
  </w:style>
  <w:style w:type="paragraph" w:customStyle="1" w:styleId="73">
    <w:name w:val="Char"/>
    <w:basedOn w:val="1"/>
    <w:qFormat/>
    <w:uiPriority w:val="0"/>
    <w:pPr>
      <w:widowControl/>
      <w:spacing w:after="160" w:line="240" w:lineRule="exact"/>
      <w:jc w:val="left"/>
    </w:pPr>
  </w:style>
  <w:style w:type="paragraph" w:customStyle="1" w:styleId="74">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5">
    <w:name w:val="章"/>
    <w:basedOn w:val="1"/>
    <w:qFormat/>
    <w:uiPriority w:val="0"/>
    <w:pPr>
      <w:spacing w:beforeLines="100" w:afterLines="100" w:line="300" w:lineRule="auto"/>
      <w:jc w:val="center"/>
      <w:outlineLvl w:val="0"/>
    </w:pPr>
    <w:rPr>
      <w:b/>
      <w:bCs/>
      <w:sz w:val="28"/>
      <w:szCs w:val="28"/>
    </w:rPr>
  </w:style>
  <w:style w:type="character" w:customStyle="1" w:styleId="76">
    <w:name w:val="CIE_Body Char"/>
    <w:basedOn w:val="16"/>
    <w:link w:val="77"/>
    <w:qFormat/>
    <w:uiPriority w:val="0"/>
    <w:rPr>
      <w:rFonts w:ascii="Times New Roman" w:hAnsi="Times New Roman"/>
      <w:sz w:val="24"/>
      <w:szCs w:val="24"/>
    </w:rPr>
  </w:style>
  <w:style w:type="paragraph" w:customStyle="1" w:styleId="77">
    <w:name w:val="CIE_Body"/>
    <w:link w:val="76"/>
    <w:qFormat/>
    <w:uiPriority w:val="0"/>
    <w:pPr>
      <w:wordWrap w:val="0"/>
      <w:spacing w:beforeLines="25" w:afterLines="25" w:line="360" w:lineRule="auto"/>
      <w:ind w:firstLine="200" w:firstLineChars="200"/>
      <w:jc w:val="both"/>
    </w:pPr>
    <w:rPr>
      <w:rFonts w:ascii="Times New Roman" w:hAnsi="Times New Roman" w:eastAsia="宋体" w:cs="Times New Roman"/>
      <w:sz w:val="24"/>
      <w:szCs w:val="24"/>
      <w:lang w:val="en-US" w:eastAsia="zh-CN" w:bidi="ar-SA"/>
    </w:rPr>
  </w:style>
  <w:style w:type="paragraph" w:customStyle="1" w:styleId="78">
    <w:name w:val="CIE_List"/>
    <w:next w:val="1"/>
    <w:link w:val="79"/>
    <w:qFormat/>
    <w:uiPriority w:val="0"/>
    <w:pPr>
      <w:spacing w:beforeLines="15" w:afterLines="15" w:line="360" w:lineRule="auto"/>
      <w:ind w:left="200" w:leftChars="200"/>
      <w:jc w:val="both"/>
    </w:pPr>
    <w:rPr>
      <w:rFonts w:ascii="宋体" w:hAnsi="宋体" w:eastAsia="宋体" w:cs="Times New Roman"/>
      <w:kern w:val="2"/>
      <w:sz w:val="24"/>
      <w:szCs w:val="24"/>
      <w:lang w:val="en-US" w:eastAsia="zh-CN" w:bidi="ar-SA"/>
    </w:rPr>
  </w:style>
  <w:style w:type="character" w:customStyle="1" w:styleId="79">
    <w:name w:val="CIE_List Char"/>
    <w:basedOn w:val="16"/>
    <w:link w:val="78"/>
    <w:qFormat/>
    <w:uiPriority w:val="0"/>
    <w:rPr>
      <w:rFonts w:ascii="宋体" w:hAnsi="宋体"/>
      <w:kern w:val="2"/>
      <w:sz w:val="24"/>
      <w:szCs w:val="24"/>
    </w:rPr>
  </w:style>
  <w:style w:type="paragraph" w:customStyle="1" w:styleId="8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81">
    <w:name w:val="正文1"/>
    <w:qFormat/>
    <w:uiPriority w:val="0"/>
    <w:pPr>
      <w:jc w:val="both"/>
    </w:pPr>
    <w:rPr>
      <w:rFonts w:ascii="Times New Roman" w:hAnsi="Times New Roman" w:eastAsia="宋体" w:cs="Times New Roman"/>
      <w:kern w:val="2"/>
      <w:sz w:val="21"/>
      <w:szCs w:val="21"/>
      <w:lang w:val="en-US" w:eastAsia="zh-CN" w:bidi="ar-SA"/>
    </w:rPr>
  </w:style>
  <w:style w:type="character" w:customStyle="1" w:styleId="82">
    <w:name w:val="keyword1"/>
    <w:basedOn w:val="16"/>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emf"/><Relationship Id="rId21" Type="http://schemas.openxmlformats.org/officeDocument/2006/relationships/theme" Target="theme/theme1.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footer" Target="footer10.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2056"/>
    <customShpInfo spid="_x0000_s2057"/>
    <customShpInfo spid="_x0000_s2054"/>
    <customShpInfo spid="_x0000_s2055"/>
    <customShpInfo spid="_x0000_s2069"/>
    <customShpInfo spid="_x0000_s2070"/>
    <customShpInfo spid="_x0000_s2052"/>
    <customShpInfo spid="_x0000_s2053"/>
    <customShpInfo spid="_x0000_s2049"/>
    <customShpInfo spid="_x0000_s1036"/>
    <customShpInfo spid="_x0000_s1035"/>
    <customShpInfo spid="_x0000_s1034"/>
    <customShpInfo spid="_x0000_s1033"/>
    <customShpInfo spid="_x0000_s1032"/>
    <customShpInfo spid="_x0000_s1031"/>
    <customShpInfo spid="_x0000_s1030"/>
    <customShpInfo spid="_x0000_s1029"/>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680807-AC36-40C1-AB86-97829F5A3898}">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28</Pages>
  <Words>2326</Words>
  <Characters>13261</Characters>
  <Lines>110</Lines>
  <Paragraphs>31</Paragraphs>
  <TotalTime>70</TotalTime>
  <ScaleCrop>false</ScaleCrop>
  <LinksUpToDate>false</LinksUpToDate>
  <CharactersWithSpaces>15556</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2022-04-28T02:17:00Z</dcterms:created>
  <dc:creator>李俊杰</dc:creator>
  <cp:lastModifiedBy>李国政</cp:lastModifiedBy>
  <cp:lastPrinted>2022-01-08T13:18:00Z</cp:lastPrinted>
  <dcterms:modified xsi:type="dcterms:W3CDTF">2022-05-06T12:44:33Z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