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atLeast"/>
        <w:outlineLvl w:val="2"/>
        <w:rPr>
          <w:rFonts w:ascii="Times New Roman" w:hAnsi="Times New Roman" w:eastAsia="黑体" w:cs="Times New Roman"/>
          <w:b/>
          <w:sz w:val="24"/>
          <w:szCs w:val="24"/>
        </w:rPr>
      </w:pPr>
      <w:bookmarkStart w:id="0" w:name="_Toc469846343"/>
      <w:bookmarkStart w:id="1" w:name="_Toc482405520"/>
      <w:bookmarkStart w:id="2" w:name="_Toc472163562"/>
      <w:bookmarkStart w:id="3" w:name="_Toc484364291"/>
      <w:bookmarkStart w:id="4" w:name="_Toc482375389"/>
      <w:bookmarkStart w:id="5" w:name="_Toc525330783"/>
      <w:bookmarkStart w:id="6" w:name="_Toc484880464"/>
      <w:bookmarkStart w:id="7" w:name="_Toc482405613"/>
      <w:bookmarkStart w:id="8" w:name="_Toc30335"/>
      <w:bookmarkStart w:id="9" w:name="_Toc31159"/>
      <w:bookmarkStart w:id="10" w:name="_Toc484883307"/>
      <w:bookmarkStart w:id="11" w:name="_Hlk525330182"/>
      <w:r>
        <w:rPr>
          <w:rFonts w:ascii="Times New Roman" w:hAnsi="Times New Roman" w:eastAsia="黑体" w:cs="Times New Roman"/>
          <w:b/>
          <w:sz w:val="24"/>
          <w:szCs w:val="24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ascii="Times New Roman" w:hAnsi="Times New Roman" w:eastAsia="黑体" w:cs="Times New Roman"/>
          <w:b/>
          <w:sz w:val="24"/>
          <w:szCs w:val="24"/>
        </w:rPr>
        <w:instrText xml:space="preserve">ADDIN CNKISM.UserStyle</w:instrText>
      </w:r>
      <w:r>
        <w:rPr>
          <w:rFonts w:ascii="Times New Roman" w:hAnsi="Times New Roman" w:eastAsia="黑体" w:cs="Times New Roman"/>
          <w:b/>
          <w:sz w:val="24"/>
          <w:szCs w:val="24"/>
        </w:rPr>
        <w:fldChar w:fldCharType="end"/>
      </w:r>
      <w:bookmarkStart w:id="12" w:name="_Toc62762797"/>
      <w:r>
        <w:rPr>
          <w:rFonts w:ascii="Times New Roman" w:hAnsi="Times New Roman" w:eastAsia="黑体" w:cs="Times New Roman"/>
          <w:b/>
          <w:sz w:val="24"/>
          <w:szCs w:val="24"/>
        </w:rPr>
        <w:t>UDC</w:t>
      </w:r>
      <w:bookmarkEnd w:id="12"/>
    </w:p>
    <w:p>
      <w:pPr>
        <w:spacing w:line="440" w:lineRule="atLeast"/>
        <w:jc w:val="center"/>
        <w:outlineLvl w:val="2"/>
        <w:rPr>
          <w:rFonts w:ascii="Times New Roman" w:hAnsi="Times New Roman" w:eastAsia="黑体" w:cs="Times New Roman"/>
          <w:b/>
          <w:sz w:val="36"/>
          <w:szCs w:val="36"/>
        </w:rPr>
      </w:pPr>
      <w:bookmarkStart w:id="13" w:name="_Toc62762798"/>
      <w:r>
        <w:rPr>
          <w:rFonts w:ascii="Times New Roman" w:hAnsi="Times New Roman" w:eastAsia="黑体" w:cs="Times New Roman"/>
          <w:b/>
          <w:sz w:val="36"/>
          <w:szCs w:val="36"/>
        </w:rPr>
        <w:t>团 体 标 准</w:t>
      </w:r>
      <w:bookmarkEnd w:id="13"/>
    </w:p>
    <w:p>
      <w:pPr>
        <w:spacing w:line="330" w:lineRule="exact"/>
        <w:rPr>
          <w:rFonts w:ascii="Times New Roman" w:hAnsi="Times New Roman" w:eastAsia="宋体" w:cs="Times New Roman"/>
          <w:b/>
          <w:bCs/>
          <w:sz w:val="24"/>
          <w:szCs w:val="24"/>
        </w:rPr>
      </w:pPr>
      <w:r>
        <w:rPr>
          <w:rFonts w:ascii="Times New Roman" w:hAnsi="Times New Roman" w:eastAsia="宋体" w:cs="Times New Roman"/>
          <w:b/>
          <w:bCs/>
          <w:sz w:val="24"/>
          <w:szCs w:val="24"/>
        </w:rPr>
        <w:t xml:space="preserve">P              </w:t>
      </w:r>
      <w:r>
        <w:rPr>
          <w:rFonts w:hint="eastAsia" w:ascii="Times New Roman" w:hAnsi="Times New Roman" w:eastAsia="宋体" w:cs="Times New Roman"/>
          <w:b/>
          <w:bCs/>
          <w:sz w:val="24"/>
          <w:szCs w:val="24"/>
          <w:lang w:val="en-US" w:eastAsia="zh-CN"/>
        </w:rPr>
        <w:t xml:space="preserve"> </w:t>
      </w:r>
      <w:bookmarkStart w:id="222" w:name="_GoBack"/>
      <w:bookmarkEnd w:id="222"/>
      <w:r>
        <w:rPr>
          <w:rFonts w:ascii="Times New Roman" w:hAnsi="Times New Roman" w:eastAsia="宋体" w:cs="Times New Roman"/>
          <w:b/>
          <w:bCs/>
          <w:sz w:val="24"/>
          <w:szCs w:val="24"/>
        </w:rPr>
        <w:t xml:space="preserve">               T/CMCA 400</w:t>
      </w:r>
      <w:r>
        <w:rPr>
          <w:rFonts w:hint="eastAsia" w:ascii="Times New Roman" w:hAnsi="Times New Roman" w:eastAsia="宋体" w:cs="Times New Roman"/>
          <w:b/>
          <w:bCs/>
          <w:sz w:val="24"/>
          <w:szCs w:val="24"/>
        </w:rPr>
        <w:t>X</w:t>
      </w:r>
      <w:r>
        <w:rPr>
          <w:rFonts w:ascii="Times New Roman" w:hAnsi="Times New Roman" w:eastAsia="宋体" w:cs="Times New Roman"/>
          <w:b/>
          <w:bCs/>
          <w:sz w:val="24"/>
          <w:szCs w:val="24"/>
        </w:rPr>
        <w:t>─</w:t>
      </w:r>
      <w:r>
        <w:rPr>
          <w:rFonts w:hint="eastAsia" w:ascii="Times New Roman" w:hAnsi="Times New Roman" w:eastAsia="宋体" w:cs="Times New Roman"/>
          <w:b/>
          <w:bCs/>
          <w:sz w:val="24"/>
          <w:szCs w:val="24"/>
          <w:lang w:val="en-US" w:eastAsia="zh-CN"/>
        </w:rPr>
        <w:t>202</w:t>
      </w:r>
      <w:r>
        <w:rPr>
          <w:rFonts w:hint="eastAsia" w:ascii="Times New Roman" w:hAnsi="Times New Roman" w:eastAsia="宋体" w:cs="Times New Roman"/>
          <w:b/>
          <w:bCs/>
          <w:sz w:val="24"/>
          <w:szCs w:val="24"/>
        </w:rPr>
        <w:t>X</w:t>
      </w:r>
    </w:p>
    <w:p>
      <w:pPr>
        <w:spacing w:line="330" w:lineRule="exact"/>
        <w:rPr>
          <w:rFonts w:ascii="Times New Roman" w:hAnsi="Times New Roman" w:eastAsia="宋体" w:cs="Times New Roman"/>
          <w:b/>
          <w:kern w:val="44"/>
          <w:sz w:val="36"/>
          <w:szCs w:val="24"/>
        </w:rPr>
      </w:pPr>
      <w:r>
        <w:rPr>
          <w:rFonts w:ascii="Times New Roman" w:hAnsi="Times New Roman" w:eastAsia="宋体" w:cs="Times New Roman"/>
          <w:szCs w:val="24"/>
        </w:rPr>
        <w:t>__________________________________________________________</w:t>
      </w:r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eastAsia="宋体" w:cs="Times New Roman"/>
          <w:b/>
          <w:kern w:val="44"/>
          <w:sz w:val="36"/>
          <w:szCs w:val="24"/>
        </w:rPr>
      </w:pPr>
      <w:bookmarkStart w:id="14" w:name="_Toc62762799"/>
      <w:r>
        <w:rPr>
          <w:rFonts w:ascii="Times New Roman" w:hAnsi="Times New Roman" w:eastAsia="宋体" w:cs="Times New Roman"/>
          <w:b/>
          <w:kern w:val="44"/>
          <w:sz w:val="36"/>
          <w:szCs w:val="24"/>
        </w:rPr>
        <w:t>旧工业厂区空间开发适宜性评价标准</w:t>
      </w:r>
      <w:bookmarkEnd w:id="14"/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eastAsia="宋体" w:cs="Times New Roman"/>
          <w:b/>
          <w:kern w:val="44"/>
          <w:sz w:val="28"/>
          <w:szCs w:val="28"/>
        </w:rPr>
      </w:pPr>
      <w:bookmarkStart w:id="15" w:name="_Toc62762800"/>
      <w:r>
        <w:rPr>
          <w:rFonts w:ascii="Times New Roman" w:hAnsi="Times New Roman" w:eastAsia="宋体" w:cs="Times New Roman"/>
          <w:b/>
          <w:kern w:val="44"/>
          <w:sz w:val="28"/>
          <w:szCs w:val="28"/>
        </w:rPr>
        <w:t>Evaluation criteria for suitability of space development in old industrial plants</w:t>
      </w:r>
      <w:bookmarkEnd w:id="15"/>
    </w:p>
    <w:p>
      <w:pPr>
        <w:spacing w:line="330" w:lineRule="exact"/>
        <w:jc w:val="center"/>
        <w:rPr>
          <w:rFonts w:ascii="Times New Roman" w:hAnsi="Times New Roman" w:eastAsia="宋体" w:cs="Times New Roman"/>
          <w:b/>
          <w:kern w:val="44"/>
          <w:sz w:val="28"/>
          <w:szCs w:val="28"/>
        </w:rPr>
      </w:pPr>
      <w:r>
        <w:rPr>
          <w:rFonts w:hint="eastAsia" w:ascii="Times New Roman" w:hAnsi="Times New Roman" w:eastAsia="宋体" w:cs="Times New Roman"/>
          <w:b/>
          <w:kern w:val="44"/>
          <w:sz w:val="28"/>
          <w:szCs w:val="28"/>
        </w:rPr>
        <w:t>（</w:t>
      </w:r>
      <w:r>
        <w:rPr>
          <w:rFonts w:hint="eastAsia" w:ascii="Times New Roman" w:hAnsi="Times New Roman" w:eastAsia="宋体" w:cs="Times New Roman"/>
          <w:b/>
          <w:kern w:val="44"/>
          <w:sz w:val="28"/>
          <w:szCs w:val="28"/>
          <w:lang w:eastAsia="zh-CN"/>
        </w:rPr>
        <w:t>征求意见</w:t>
      </w:r>
      <w:r>
        <w:rPr>
          <w:rFonts w:hint="eastAsia" w:ascii="Times New Roman" w:hAnsi="Times New Roman" w:eastAsia="宋体" w:cs="Times New Roman"/>
          <w:b/>
          <w:kern w:val="44"/>
          <w:sz w:val="28"/>
          <w:szCs w:val="28"/>
        </w:rPr>
        <w:t>稿）</w:t>
      </w:r>
    </w:p>
    <w:p>
      <w:pPr>
        <w:spacing w:line="330" w:lineRule="exact"/>
        <w:rPr>
          <w:rFonts w:ascii="Times New Roman" w:hAnsi="Times New Roman" w:eastAsia="宋体" w:cs="Times New Roman"/>
          <w:b/>
          <w:bCs/>
          <w:sz w:val="28"/>
          <w:szCs w:val="28"/>
        </w:rPr>
      </w:pPr>
    </w:p>
    <w:p>
      <w:pPr>
        <w:spacing w:line="330" w:lineRule="exact"/>
        <w:rPr>
          <w:rFonts w:ascii="Times New Roman" w:hAnsi="Times New Roman" w:eastAsia="宋体" w:cs="Times New Roman"/>
          <w:b/>
          <w:kern w:val="44"/>
          <w:sz w:val="30"/>
          <w:szCs w:val="24"/>
        </w:rPr>
      </w:pP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pBdr>
          <w:bottom w:val="single" w:color="2F5496" w:themeColor="accent5" w:themeShade="BF" w:sz="4" w:space="1"/>
        </w:pBdr>
        <w:spacing w:line="330" w:lineRule="exact"/>
        <w:rPr>
          <w:rFonts w:ascii="Times New Roman" w:hAnsi="Times New Roman" w:eastAsia="黑体" w:cs="Times New Roman"/>
          <w:b/>
          <w:sz w:val="24"/>
          <w:szCs w:val="24"/>
        </w:rPr>
      </w:pPr>
      <w:r>
        <w:rPr>
          <w:rFonts w:ascii="Times New Roman" w:hAnsi="Times New Roman" w:eastAsia="宋体" w:cs="Times New Roman"/>
          <w:sz w:val="24"/>
          <w:szCs w:val="24"/>
        </w:rPr>
        <w:t>××××－××－××</w:t>
      </w:r>
      <w:r>
        <w:rPr>
          <w:rFonts w:ascii="Times New Roman" w:hAnsi="Times New Roman" w:eastAsia="黑体" w:cs="Times New Roman"/>
          <w:b/>
          <w:sz w:val="24"/>
          <w:szCs w:val="24"/>
        </w:rPr>
        <w:t xml:space="preserve">发布                </w:t>
      </w:r>
      <w:r>
        <w:rPr>
          <w:rFonts w:ascii="Times New Roman" w:hAnsi="Times New Roman" w:eastAsia="宋体" w:cs="Times New Roman"/>
          <w:sz w:val="24"/>
          <w:szCs w:val="24"/>
        </w:rPr>
        <w:t>××××－××－××</w:t>
      </w:r>
      <w:r>
        <w:rPr>
          <w:rFonts w:ascii="Times New Roman" w:hAnsi="Times New Roman" w:eastAsia="黑体" w:cs="Times New Roman"/>
          <w:b/>
          <w:sz w:val="24"/>
          <w:szCs w:val="24"/>
        </w:rPr>
        <w:t>实施</w:t>
      </w: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</w:p>
    <w:p>
      <w:pPr>
        <w:spacing w:line="330" w:lineRule="exact"/>
        <w:jc w:val="center"/>
        <w:rPr>
          <w:rFonts w:ascii="Times New Roman" w:hAnsi="Times New Roman" w:eastAsia="黑体" w:cs="Times New Roman"/>
          <w:b/>
          <w:bCs/>
          <w:sz w:val="24"/>
          <w:szCs w:val="24"/>
        </w:rPr>
      </w:pPr>
      <w:r>
        <w:rPr>
          <w:rFonts w:ascii="Times New Roman" w:hAnsi="Times New Roman" w:eastAsia="黑体" w:cs="Times New Roman"/>
          <w:b/>
          <w:bCs/>
          <w:sz w:val="24"/>
          <w:szCs w:val="24"/>
        </w:rPr>
        <w:t>中国冶金建设协会    发布</w:t>
      </w:r>
    </w:p>
    <w:p>
      <w:pPr>
        <w:spacing w:line="330" w:lineRule="exact"/>
        <w:rPr>
          <w:rFonts w:ascii="Times New Roman" w:hAnsi="Times New Roman" w:cs="Times New Roman"/>
          <w:szCs w:val="24"/>
        </w:rPr>
      </w:pPr>
    </w:p>
    <w:p>
      <w:pPr>
        <w:keepNext/>
        <w:keepLines/>
        <w:spacing w:after="100" w:line="440" w:lineRule="exact"/>
        <w:jc w:val="center"/>
        <w:outlineLvl w:val="0"/>
        <w:rPr>
          <w:rFonts w:ascii="Times New Roman" w:hAnsi="Times New Roman" w:cs="Times New Roman"/>
          <w:b/>
          <w:kern w:val="44"/>
          <w:sz w:val="30"/>
          <w:szCs w:val="24"/>
        </w:rPr>
        <w:sectPr>
          <w:footerReference r:id="rId3" w:type="default"/>
          <w:footerReference r:id="rId4" w:type="even"/>
          <w:pgSz w:w="8335" w:h="11850"/>
          <w:pgMar w:top="1083" w:right="1083" w:bottom="1083" w:left="1083" w:header="851" w:footer="992" w:gutter="0"/>
          <w:pgNumType w:fmt="upperRoman"/>
          <w:cols w:space="720" w:num="1"/>
          <w:docGrid w:type="linesAndChars" w:linePitch="312" w:charSpace="0"/>
        </w:sectPr>
      </w:pPr>
      <w:bookmarkStart w:id="16" w:name="_Toc30841"/>
      <w:bookmarkStart w:id="17" w:name="_Toc484880458"/>
      <w:bookmarkStart w:id="18" w:name="_Toc482405607"/>
      <w:bookmarkStart w:id="19" w:name="_Toc483476840"/>
      <w:bookmarkStart w:id="20" w:name="_Toc511598074"/>
      <w:bookmarkStart w:id="21" w:name="_Toc483476423"/>
      <w:bookmarkStart w:id="22" w:name="_Toc513806522"/>
      <w:bookmarkStart w:id="23" w:name="_Toc520289870"/>
      <w:bookmarkStart w:id="24" w:name="_Toc517963328"/>
      <w:bookmarkStart w:id="25" w:name="_Toc480380749"/>
      <w:bookmarkStart w:id="26" w:name="_Toc484364410"/>
      <w:bookmarkStart w:id="27" w:name="_Toc469697275"/>
      <w:bookmarkStart w:id="28" w:name="_Toc514075616"/>
      <w:bookmarkStart w:id="29" w:name="_Toc520301067"/>
      <w:bookmarkStart w:id="30" w:name="_Toc27585"/>
      <w:bookmarkStart w:id="31" w:name="_Toc482375384"/>
      <w:bookmarkStart w:id="32" w:name="_Toc511597441"/>
      <w:bookmarkStart w:id="33" w:name="_Toc469697337"/>
      <w:bookmarkStart w:id="34" w:name="_Toc480485776"/>
      <w:bookmarkStart w:id="35" w:name="_Toc513806477"/>
      <w:bookmarkStart w:id="36" w:name="_Toc482405514"/>
      <w:bookmarkStart w:id="37" w:name="_Toc484364285"/>
      <w:bookmarkStart w:id="38" w:name="_Toc484883301"/>
    </w:p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p>
      <w:pPr>
        <w:keepNext/>
        <w:keepLines/>
        <w:spacing w:after="100" w:line="440" w:lineRule="exact"/>
        <w:jc w:val="center"/>
        <w:outlineLvl w:val="0"/>
        <w:rPr>
          <w:rFonts w:ascii="Times New Roman" w:hAnsi="Times New Roman" w:eastAsia="宋体" w:cs="Times New Roman"/>
          <w:b/>
          <w:kern w:val="44"/>
          <w:sz w:val="30"/>
          <w:szCs w:val="24"/>
        </w:rPr>
      </w:pPr>
      <w:bookmarkStart w:id="39" w:name="_Toc62762801"/>
      <w:r>
        <w:rPr>
          <w:rFonts w:hint="eastAsia" w:ascii="Times New Roman" w:hAnsi="Times New Roman" w:eastAsia="宋体" w:cs="Times New Roman"/>
          <w:b/>
          <w:kern w:val="44"/>
          <w:sz w:val="30"/>
          <w:szCs w:val="24"/>
        </w:rPr>
        <w:t>前言</w:t>
      </w:r>
      <w:bookmarkEnd w:id="39"/>
    </w:p>
    <w:p>
      <w:pPr>
        <w:spacing w:line="330" w:lineRule="exact"/>
        <w:ind w:firstLine="420" w:firstLineChars="200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宋体" w:cs="Times New Roman"/>
          <w:szCs w:val="24"/>
        </w:rPr>
        <w:t>本标准是根据中国冶金建设协会《关于印发2020年工程建设标准</w:t>
      </w:r>
      <w:r>
        <w:rPr>
          <w:rFonts w:hint="eastAsia" w:ascii="Times New Roman" w:hAnsi="Times New Roman" w:eastAsia="宋体" w:cs="Times New Roman"/>
          <w:szCs w:val="24"/>
        </w:rPr>
        <w:t>规范</w:t>
      </w:r>
      <w:r>
        <w:rPr>
          <w:rFonts w:ascii="Times New Roman" w:hAnsi="Times New Roman" w:eastAsia="宋体" w:cs="Times New Roman"/>
          <w:szCs w:val="24"/>
        </w:rPr>
        <w:t>制定</w:t>
      </w:r>
      <w:r>
        <w:rPr>
          <w:rFonts w:hint="eastAsia" w:ascii="Times New Roman" w:hAnsi="Times New Roman" w:eastAsia="宋体" w:cs="Times New Roman"/>
          <w:szCs w:val="24"/>
        </w:rPr>
        <w:t>修订</w:t>
      </w:r>
      <w:r>
        <w:rPr>
          <w:rFonts w:ascii="Times New Roman" w:hAnsi="Times New Roman" w:eastAsia="宋体" w:cs="Times New Roman"/>
          <w:szCs w:val="24"/>
        </w:rPr>
        <w:t>计划的通知》（冶建协[2020] 26号）的要求，由</w:t>
      </w:r>
      <w:r>
        <w:rPr>
          <w:rFonts w:hint="eastAsia" w:ascii="Times New Roman" w:hAnsi="Times New Roman" w:eastAsia="宋体" w:cs="Times New Roman"/>
          <w:szCs w:val="24"/>
        </w:rPr>
        <w:t>西安建筑科技</w:t>
      </w:r>
      <w:r>
        <w:rPr>
          <w:rFonts w:ascii="Times New Roman" w:hAnsi="Times New Roman" w:eastAsia="宋体" w:cs="Times New Roman"/>
          <w:szCs w:val="24"/>
        </w:rPr>
        <w:t>大学会同有关单位共同完成。</w:t>
      </w:r>
    </w:p>
    <w:p>
      <w:pPr>
        <w:spacing w:line="330" w:lineRule="exact"/>
        <w:ind w:firstLine="420" w:firstLineChars="200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宋体" w:cs="Times New Roman"/>
          <w:szCs w:val="24"/>
        </w:rPr>
        <w:t>在制定过程中，编制组深入调查研究，认真总结实践经验，参考国内外相关</w:t>
      </w:r>
      <w:r>
        <w:rPr>
          <w:rFonts w:hint="eastAsia" w:ascii="Times New Roman" w:hAnsi="Times New Roman" w:eastAsia="宋体" w:cs="Times New Roman"/>
          <w:szCs w:val="24"/>
        </w:rPr>
        <w:t>规范</w:t>
      </w:r>
      <w:r>
        <w:rPr>
          <w:rFonts w:ascii="Times New Roman" w:hAnsi="Times New Roman" w:eastAsia="宋体" w:cs="Times New Roman"/>
          <w:szCs w:val="24"/>
        </w:rPr>
        <w:t>，并与相关标准相互协调，在广泛征求意见的基础上，对具体内容反复讨论、</w:t>
      </w:r>
      <w:r>
        <w:rPr>
          <w:rFonts w:hint="eastAsia" w:ascii="Times New Roman" w:hAnsi="Times New Roman" w:eastAsia="宋体" w:cs="Times New Roman"/>
          <w:szCs w:val="24"/>
        </w:rPr>
        <w:t>研究</w:t>
      </w:r>
      <w:r>
        <w:rPr>
          <w:rFonts w:ascii="Times New Roman" w:hAnsi="Times New Roman" w:eastAsia="宋体" w:cs="Times New Roman"/>
          <w:szCs w:val="24"/>
        </w:rPr>
        <w:t>和修改，最后经审查定稿。</w:t>
      </w:r>
    </w:p>
    <w:p>
      <w:pPr>
        <w:spacing w:line="330" w:lineRule="exact"/>
        <w:ind w:firstLine="420" w:firstLineChars="200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宋体" w:cs="Times New Roman"/>
          <w:szCs w:val="24"/>
        </w:rPr>
        <w:t>本标准涵盖旧工业</w:t>
      </w:r>
      <w:r>
        <w:rPr>
          <w:rFonts w:hint="eastAsia" w:ascii="Times New Roman" w:hAnsi="Times New Roman" w:eastAsia="宋体" w:cs="Times New Roman"/>
          <w:szCs w:val="24"/>
        </w:rPr>
        <w:t>厂区空间开发适宜性评价</w:t>
      </w:r>
      <w:r>
        <w:rPr>
          <w:rFonts w:ascii="Times New Roman" w:hAnsi="Times New Roman" w:eastAsia="宋体" w:cs="Times New Roman"/>
          <w:szCs w:val="24"/>
        </w:rPr>
        <w:t>的</w:t>
      </w:r>
      <w:r>
        <w:rPr>
          <w:rFonts w:hint="eastAsia" w:ascii="Times New Roman" w:hAnsi="Times New Roman" w:eastAsia="宋体" w:cs="Times New Roman"/>
          <w:szCs w:val="24"/>
        </w:rPr>
        <w:t>关键技术问题</w:t>
      </w:r>
      <w:r>
        <w:rPr>
          <w:rFonts w:ascii="Times New Roman" w:hAnsi="Times New Roman" w:eastAsia="宋体" w:cs="Times New Roman"/>
          <w:szCs w:val="24"/>
        </w:rPr>
        <w:t>。主要内容包括：总则、术语、基本规定、环境安全评价、区位</w:t>
      </w:r>
      <w:r>
        <w:rPr>
          <w:rFonts w:hint="eastAsia" w:ascii="Times New Roman" w:hAnsi="Times New Roman" w:eastAsia="宋体" w:cs="Times New Roman"/>
          <w:szCs w:val="24"/>
        </w:rPr>
        <w:t>基础</w:t>
      </w:r>
      <w:r>
        <w:rPr>
          <w:rFonts w:ascii="Times New Roman" w:hAnsi="Times New Roman" w:eastAsia="宋体" w:cs="Times New Roman"/>
          <w:szCs w:val="24"/>
        </w:rPr>
        <w:t>评价、资源</w:t>
      </w:r>
      <w:r>
        <w:rPr>
          <w:rFonts w:hint="eastAsia" w:ascii="Times New Roman" w:hAnsi="Times New Roman" w:eastAsia="宋体" w:cs="Times New Roman"/>
          <w:szCs w:val="24"/>
        </w:rPr>
        <w:t>潜</w:t>
      </w:r>
      <w:r>
        <w:rPr>
          <w:rFonts w:ascii="Times New Roman" w:hAnsi="Times New Roman" w:eastAsia="宋体" w:cs="Times New Roman"/>
          <w:szCs w:val="24"/>
        </w:rPr>
        <w:t>力评价、空间设计评价。</w:t>
      </w:r>
    </w:p>
    <w:p>
      <w:pPr>
        <w:spacing w:line="330" w:lineRule="exact"/>
        <w:ind w:firstLine="420" w:firstLineChars="200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宋体" w:cs="Times New Roman"/>
          <w:szCs w:val="24"/>
        </w:rPr>
        <w:t>本标准由中国冶金建设协会负责管理，</w:t>
      </w:r>
      <w:r>
        <w:rPr>
          <w:rFonts w:hint="eastAsia" w:ascii="Times New Roman" w:hAnsi="Times New Roman" w:eastAsia="宋体" w:cs="Times New Roman"/>
          <w:szCs w:val="24"/>
        </w:rPr>
        <w:t>西安建筑科技</w:t>
      </w:r>
      <w:r>
        <w:rPr>
          <w:rFonts w:ascii="Times New Roman" w:hAnsi="Times New Roman" w:eastAsia="宋体" w:cs="Times New Roman"/>
          <w:szCs w:val="24"/>
        </w:rPr>
        <w:t>大学</w:t>
      </w:r>
      <w:r>
        <w:rPr>
          <w:rFonts w:hint="eastAsia" w:ascii="Times New Roman" w:hAnsi="Times New Roman" w:eastAsia="宋体" w:cs="Times New Roman"/>
          <w:szCs w:val="24"/>
        </w:rPr>
        <w:t>编制课题组</w:t>
      </w:r>
      <w:r>
        <w:rPr>
          <w:rFonts w:ascii="Times New Roman" w:hAnsi="Times New Roman" w:eastAsia="宋体" w:cs="Times New Roman"/>
          <w:szCs w:val="24"/>
        </w:rPr>
        <w:t>负责具体技术内容的解释。执行过程中如有意见或建议，请寄送至</w:t>
      </w:r>
      <w:r>
        <w:rPr>
          <w:rFonts w:hint="eastAsia" w:ascii="Times New Roman" w:hAnsi="Times New Roman" w:eastAsia="宋体" w:cs="Times New Roman"/>
          <w:szCs w:val="24"/>
        </w:rPr>
        <w:t>西安建筑科技</w:t>
      </w:r>
      <w:r>
        <w:rPr>
          <w:rFonts w:ascii="Times New Roman" w:hAnsi="Times New Roman" w:eastAsia="宋体" w:cs="Times New Roman"/>
          <w:szCs w:val="24"/>
        </w:rPr>
        <w:t>大学（地址：</w:t>
      </w:r>
      <w:r>
        <w:rPr>
          <w:rFonts w:hint="eastAsia" w:ascii="Times New Roman" w:hAnsi="Times New Roman" w:eastAsia="宋体" w:cs="Times New Roman"/>
          <w:szCs w:val="24"/>
        </w:rPr>
        <w:t>陕西省西安市碑林区雁塔路1</w:t>
      </w:r>
      <w:r>
        <w:rPr>
          <w:rFonts w:ascii="Times New Roman" w:hAnsi="Times New Roman" w:eastAsia="宋体" w:cs="Times New Roman"/>
          <w:szCs w:val="24"/>
        </w:rPr>
        <w:t>3</w:t>
      </w:r>
      <w:r>
        <w:rPr>
          <w:rFonts w:hint="eastAsia" w:ascii="Times New Roman" w:hAnsi="Times New Roman" w:eastAsia="宋体" w:cs="Times New Roman"/>
          <w:szCs w:val="24"/>
        </w:rPr>
        <w:t>号</w:t>
      </w:r>
      <w:r>
        <w:rPr>
          <w:rFonts w:ascii="Times New Roman" w:hAnsi="Times New Roman" w:eastAsia="宋体" w:cs="Times New Roman"/>
          <w:szCs w:val="24"/>
        </w:rPr>
        <w:t>；邮编：710055）。</w:t>
      </w:r>
    </w:p>
    <w:p>
      <w:pPr>
        <w:spacing w:line="330" w:lineRule="exact"/>
        <w:ind w:firstLine="420" w:firstLineChars="200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宋体" w:cs="Times New Roman"/>
          <w:szCs w:val="24"/>
        </w:rPr>
        <w:t>本标准主编单位、参编单位、主要起草人和主要审查人：</w:t>
      </w:r>
    </w:p>
    <w:p>
      <w:pPr>
        <w:spacing w:line="330" w:lineRule="exact"/>
        <w:ind w:firstLine="422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>主编单位</w:t>
      </w:r>
      <w:r>
        <w:rPr>
          <w:rFonts w:ascii="Times New Roman" w:hAnsi="Times New Roman" w:cs="Times New Roman"/>
          <w:szCs w:val="24"/>
        </w:rPr>
        <w:t>：</w:t>
      </w:r>
      <w:r>
        <w:rPr>
          <w:rFonts w:hint="eastAsia" w:ascii="Times New Roman" w:hAnsi="Times New Roman" w:cs="Times New Roman"/>
          <w:szCs w:val="24"/>
        </w:rPr>
        <w:t xml:space="preserve"> </w:t>
      </w:r>
    </w:p>
    <w:p>
      <w:pPr>
        <w:spacing w:line="330" w:lineRule="exact"/>
        <w:ind w:firstLine="420" w:firstLineChars="20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>参编单位</w:t>
      </w:r>
      <w:r>
        <w:rPr>
          <w:rFonts w:ascii="Times New Roman" w:hAnsi="Times New Roman" w:cs="Times New Roman"/>
          <w:szCs w:val="24"/>
        </w:rPr>
        <w:t xml:space="preserve">： </w:t>
      </w:r>
    </w:p>
    <w:p>
      <w:pPr>
        <w:spacing w:line="330" w:lineRule="exact"/>
        <w:ind w:firstLine="422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>主要起草人</w:t>
      </w:r>
      <w:r>
        <w:rPr>
          <w:rFonts w:ascii="Times New Roman" w:hAnsi="Times New Roman" w:cs="Times New Roman"/>
          <w:szCs w:val="24"/>
        </w:rPr>
        <w:t>：</w:t>
      </w:r>
    </w:p>
    <w:p>
      <w:pPr>
        <w:spacing w:line="330" w:lineRule="exact"/>
        <w:ind w:firstLine="420" w:firstLineChars="200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主要审查人：</w:t>
      </w:r>
    </w:p>
    <w:p>
      <w:pPr>
        <w:rPr>
          <w:rFonts w:ascii="Times New Roman" w:hAnsi="Times New Roman" w:cs="Times New Roman"/>
          <w:szCs w:val="24"/>
        </w:rPr>
      </w:pPr>
    </w:p>
    <w:p>
      <w:pPr>
        <w:rPr>
          <w:rFonts w:ascii="Times New Roman" w:hAnsi="Times New Roman" w:cs="Times New Roman"/>
          <w:szCs w:val="24"/>
        </w:rPr>
      </w:pPr>
    </w:p>
    <w:p>
      <w:pPr>
        <w:rPr>
          <w:rFonts w:ascii="Times New Roman" w:hAnsi="Times New Roman" w:cs="Times New Roman"/>
          <w:szCs w:val="24"/>
        </w:rPr>
      </w:pPr>
    </w:p>
    <w:p>
      <w:pPr>
        <w:rPr>
          <w:rFonts w:ascii="Times New Roman" w:hAnsi="Times New Roman" w:cs="Times New Roman"/>
          <w:szCs w:val="24"/>
        </w:rPr>
      </w:pPr>
    </w:p>
    <w:p>
      <w:pPr>
        <w:rPr>
          <w:rFonts w:ascii="Times New Roman" w:hAnsi="Times New Roman" w:cs="Times New Roman"/>
          <w:szCs w:val="24"/>
        </w:rPr>
      </w:pPr>
    </w:p>
    <w:p>
      <w:pPr>
        <w:rPr>
          <w:rFonts w:ascii="Times New Roman" w:hAnsi="Times New Roman" w:cs="Times New Roman"/>
          <w:szCs w:val="24"/>
        </w:rPr>
      </w:pPr>
    </w:p>
    <w:p>
      <w:pPr>
        <w:rPr>
          <w:rFonts w:ascii="Times New Roman" w:hAnsi="Times New Roman" w:cs="Times New Roman"/>
          <w:szCs w:val="24"/>
        </w:rPr>
      </w:pPr>
    </w:p>
    <w:p>
      <w:pPr>
        <w:jc w:val="right"/>
        <w:rPr>
          <w:rFonts w:ascii="Times New Roman" w:hAnsi="Times New Roman" w:cs="Times New Roman"/>
          <w:szCs w:val="24"/>
        </w:rPr>
      </w:pPr>
    </w:p>
    <w:p>
      <w:pPr>
        <w:rPr>
          <w:rFonts w:ascii="Times New Roman" w:hAnsi="Times New Roman" w:cs="Times New Roman"/>
          <w:szCs w:val="24"/>
        </w:rPr>
      </w:pPr>
    </w:p>
    <w:p>
      <w:pPr>
        <w:rPr>
          <w:rFonts w:ascii="Times New Roman" w:hAnsi="Times New Roman" w:cs="Times New Roman"/>
          <w:szCs w:val="24"/>
        </w:rPr>
      </w:pPr>
    </w:p>
    <w:p>
      <w:pPr>
        <w:rPr>
          <w:rFonts w:ascii="Times New Roman" w:hAnsi="Times New Roman" w:cs="Times New Roman"/>
          <w:szCs w:val="24"/>
        </w:rPr>
        <w:sectPr>
          <w:footerReference r:id="rId5" w:type="default"/>
          <w:footerReference r:id="rId6" w:type="even"/>
          <w:pgSz w:w="8335" w:h="11850"/>
          <w:pgMar w:top="1083" w:right="1083" w:bottom="1083" w:left="1083" w:header="851" w:footer="992" w:gutter="0"/>
          <w:pgNumType w:fmt="upperRoman" w:start="1"/>
          <w:cols w:space="720" w:num="1"/>
          <w:docGrid w:type="linesAndChars" w:linePitch="312" w:charSpace="0"/>
        </w:sectPr>
      </w:pPr>
    </w:p>
    <w:bookmarkEnd w:id="0"/>
    <w:sdt>
      <w:sdtPr>
        <w:rPr>
          <w:rFonts w:ascii="Times New Roman" w:hAnsi="Times New Roman" w:cs="Times New Roman" w:eastAsiaTheme="minorEastAsia"/>
          <w:color w:val="auto"/>
          <w:kern w:val="2"/>
          <w:sz w:val="21"/>
          <w:szCs w:val="22"/>
          <w:lang w:val="zh-CN"/>
        </w:rPr>
        <w:id w:val="960540891"/>
        <w:docPartObj>
          <w:docPartGallery w:val="Table of Contents"/>
          <w:docPartUnique/>
        </w:docPartObj>
      </w:sdtPr>
      <w:sdtEndPr>
        <w:rPr>
          <w:rFonts w:ascii="Times New Roman" w:hAnsi="Times New Roman" w:eastAsia="宋体" w:cs="Times New Roman"/>
          <w:b/>
          <w:bCs/>
          <w:color w:val="auto"/>
          <w:kern w:val="2"/>
          <w:sz w:val="21"/>
          <w:szCs w:val="24"/>
          <w:lang w:val="zh-CN"/>
        </w:rPr>
      </w:sdtEndPr>
      <w:sdtContent>
        <w:p>
          <w:pPr>
            <w:pStyle w:val="77"/>
            <w:jc w:val="center"/>
          </w:pPr>
          <w:r>
            <w:rPr>
              <w:rFonts w:ascii="Times New Roman" w:hAnsi="Times New Roman" w:cs="Times New Roman" w:eastAsiaTheme="minorEastAsia"/>
              <w:color w:val="auto"/>
              <w:lang w:val="zh-CN"/>
            </w:rPr>
            <w:t>目 次</w:t>
          </w:r>
          <w:r>
            <w:rPr>
              <w:rFonts w:ascii="Times New Roman" w:hAnsi="Times New Roman" w:cs="Times New Roman" w:eastAsiaTheme="minorEastAsia"/>
            </w:rPr>
            <w:fldChar w:fldCharType="begin"/>
          </w:r>
          <w:r>
            <w:rPr>
              <w:rFonts w:ascii="Times New Roman" w:hAnsi="Times New Roman" w:cs="Times New Roman" w:eastAsiaTheme="minorEastAsia"/>
            </w:rPr>
            <w:instrText xml:space="preserve"> TOC \o "1-3" \h \z \u </w:instrText>
          </w:r>
          <w:r>
            <w:rPr>
              <w:rFonts w:ascii="Times New Roman" w:hAnsi="Times New Roman" w:cs="Times New Roman" w:eastAsiaTheme="minorEastAsia"/>
            </w:rPr>
            <w:fldChar w:fldCharType="separate"/>
          </w:r>
        </w:p>
        <w:p>
          <w:pPr>
            <w:pStyle w:val="17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"_Toc62762802" </w:instrText>
          </w:r>
          <w:r>
            <w:fldChar w:fldCharType="separate"/>
          </w:r>
          <w:r>
            <w:rPr>
              <w:rStyle w:val="28"/>
              <w:kern w:val="44"/>
            </w:rPr>
            <w:t>1 总则</w:t>
          </w:r>
          <w:r>
            <w:tab/>
          </w:r>
          <w:r>
            <w:fldChar w:fldCharType="begin"/>
          </w:r>
          <w:r>
            <w:instrText xml:space="preserve"> PAGEREF _Toc62762802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"_Toc62762803" </w:instrText>
          </w:r>
          <w:r>
            <w:fldChar w:fldCharType="separate"/>
          </w:r>
          <w:r>
            <w:rPr>
              <w:rStyle w:val="28"/>
              <w:kern w:val="44"/>
            </w:rPr>
            <w:t>2 术语</w:t>
          </w:r>
          <w:r>
            <w:tab/>
          </w:r>
          <w:r>
            <w:fldChar w:fldCharType="begin"/>
          </w:r>
          <w:r>
            <w:instrText xml:space="preserve"> PAGEREF _Toc62762803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"_Toc62762804" </w:instrText>
          </w:r>
          <w:r>
            <w:fldChar w:fldCharType="separate"/>
          </w:r>
          <w:r>
            <w:rPr>
              <w:rStyle w:val="28"/>
              <w:kern w:val="44"/>
            </w:rPr>
            <w:t>3 基本规定</w:t>
          </w:r>
          <w:r>
            <w:tab/>
          </w:r>
          <w:r>
            <w:fldChar w:fldCharType="begin"/>
          </w:r>
          <w:r>
            <w:instrText xml:space="preserve"> PAGEREF _Toc62762804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"_Toc62762805" </w:instrText>
          </w:r>
          <w:r>
            <w:fldChar w:fldCharType="separate"/>
          </w:r>
          <w:r>
            <w:rPr>
              <w:rStyle w:val="28"/>
              <w:kern w:val="44"/>
            </w:rPr>
            <w:t>4 环境安全评价</w:t>
          </w:r>
          <w:r>
            <w:tab/>
          </w:r>
          <w:r>
            <w:fldChar w:fldCharType="begin"/>
          </w:r>
          <w:r>
            <w:instrText xml:space="preserve"> PAGEREF _Toc62762805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"_Toc62762806" </w:instrText>
          </w:r>
          <w:r>
            <w:fldChar w:fldCharType="separate"/>
          </w:r>
          <w:r>
            <w:rPr>
              <w:rStyle w:val="28"/>
            </w:rPr>
            <w:t>4.1 一般规定</w:t>
          </w:r>
          <w:r>
            <w:tab/>
          </w:r>
          <w:r>
            <w:fldChar w:fldCharType="begin"/>
          </w:r>
          <w:r>
            <w:instrText xml:space="preserve"> PAGEREF _Toc62762806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"_Toc62762807" </w:instrText>
          </w:r>
          <w:r>
            <w:fldChar w:fldCharType="separate"/>
          </w:r>
          <w:r>
            <w:rPr>
              <w:rStyle w:val="28"/>
            </w:rPr>
            <w:t>4.2 污染危害性评价</w:t>
          </w:r>
          <w:r>
            <w:tab/>
          </w:r>
          <w:r>
            <w:fldChar w:fldCharType="begin"/>
          </w:r>
          <w:r>
            <w:instrText xml:space="preserve"> PAGEREF _Toc62762807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"_Toc62762808" </w:instrText>
          </w:r>
          <w:r>
            <w:fldChar w:fldCharType="separate"/>
          </w:r>
          <w:r>
            <w:rPr>
              <w:rStyle w:val="28"/>
            </w:rPr>
            <w:t>4.3 生态适宜性评价</w:t>
          </w:r>
          <w:r>
            <w:tab/>
          </w:r>
          <w:r>
            <w:fldChar w:fldCharType="begin"/>
          </w:r>
          <w:r>
            <w:instrText xml:space="preserve"> PAGEREF _Toc62762808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"_Toc62762809" </w:instrText>
          </w:r>
          <w:r>
            <w:fldChar w:fldCharType="separate"/>
          </w:r>
          <w:r>
            <w:rPr>
              <w:rStyle w:val="28"/>
              <w:kern w:val="44"/>
            </w:rPr>
            <w:t>5 区位</w:t>
          </w:r>
          <w:r>
            <w:rPr>
              <w:rStyle w:val="28"/>
              <w:rFonts w:hint="eastAsia"/>
              <w:kern w:val="44"/>
            </w:rPr>
            <w:t>基础</w:t>
          </w:r>
          <w:r>
            <w:rPr>
              <w:rStyle w:val="28"/>
              <w:kern w:val="44"/>
            </w:rPr>
            <w:t>评价</w:t>
          </w:r>
          <w:r>
            <w:tab/>
          </w:r>
          <w:r>
            <w:fldChar w:fldCharType="begin"/>
          </w:r>
          <w:r>
            <w:instrText xml:space="preserve"> PAGEREF _Toc62762809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"_Toc62762810" </w:instrText>
          </w:r>
          <w:r>
            <w:fldChar w:fldCharType="separate"/>
          </w:r>
          <w:r>
            <w:rPr>
              <w:rStyle w:val="28"/>
            </w:rPr>
            <w:t>5.1 一般规定</w:t>
          </w:r>
          <w:r>
            <w:tab/>
          </w:r>
          <w:r>
            <w:fldChar w:fldCharType="begin"/>
          </w:r>
          <w:r>
            <w:instrText xml:space="preserve"> PAGEREF _Toc62762810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"_Toc62762811" </w:instrText>
          </w:r>
          <w:r>
            <w:fldChar w:fldCharType="separate"/>
          </w:r>
          <w:r>
            <w:rPr>
              <w:rStyle w:val="28"/>
            </w:rPr>
            <w:t>5.2 经济</w:t>
          </w:r>
          <w:r>
            <w:rPr>
              <w:rStyle w:val="28"/>
              <w:rFonts w:hint="eastAsia"/>
            </w:rPr>
            <w:t>条件</w:t>
          </w:r>
          <w:r>
            <w:rPr>
              <w:rStyle w:val="28"/>
            </w:rPr>
            <w:t>评价</w:t>
          </w:r>
          <w:r>
            <w:tab/>
          </w:r>
          <w:r>
            <w:fldChar w:fldCharType="begin"/>
          </w:r>
          <w:r>
            <w:instrText xml:space="preserve"> PAGEREF _Toc62762811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"_Toc62762812" </w:instrText>
          </w:r>
          <w:r>
            <w:fldChar w:fldCharType="separate"/>
          </w:r>
          <w:r>
            <w:rPr>
              <w:rStyle w:val="28"/>
            </w:rPr>
            <w:t>5.3 交通条件评价</w:t>
          </w:r>
          <w:r>
            <w:tab/>
          </w:r>
          <w:r>
            <w:fldChar w:fldCharType="begin"/>
          </w:r>
          <w:r>
            <w:instrText xml:space="preserve"> PAGEREF _Toc62762812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"_Toc62762813" </w:instrText>
          </w:r>
          <w:r>
            <w:fldChar w:fldCharType="separate"/>
          </w:r>
          <w:r>
            <w:rPr>
              <w:rStyle w:val="28"/>
              <w:kern w:val="44"/>
            </w:rPr>
            <w:t>6 资源潜力评价</w:t>
          </w:r>
          <w:r>
            <w:tab/>
          </w:r>
          <w:r>
            <w:fldChar w:fldCharType="begin"/>
          </w:r>
          <w:r>
            <w:instrText xml:space="preserve"> PAGEREF _Toc62762813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"_Toc62762814" </w:instrText>
          </w:r>
          <w:r>
            <w:fldChar w:fldCharType="separate"/>
          </w:r>
          <w:r>
            <w:rPr>
              <w:rStyle w:val="28"/>
            </w:rPr>
            <w:t>6.1 一般规定</w:t>
          </w:r>
          <w:r>
            <w:tab/>
          </w:r>
          <w:r>
            <w:fldChar w:fldCharType="begin"/>
          </w:r>
          <w:r>
            <w:instrText xml:space="preserve"> PAGEREF _Toc62762814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"_Toc62762815" </w:instrText>
          </w:r>
          <w:r>
            <w:fldChar w:fldCharType="separate"/>
          </w:r>
          <w:r>
            <w:rPr>
              <w:rStyle w:val="28"/>
            </w:rPr>
            <w:t>6.2 人文资源评价</w:t>
          </w:r>
          <w:r>
            <w:tab/>
          </w:r>
          <w:r>
            <w:fldChar w:fldCharType="begin"/>
          </w:r>
          <w:r>
            <w:instrText xml:space="preserve"> PAGEREF _Toc62762815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"_Toc62762816" </w:instrText>
          </w:r>
          <w:r>
            <w:fldChar w:fldCharType="separate"/>
          </w:r>
          <w:r>
            <w:rPr>
              <w:rStyle w:val="28"/>
            </w:rPr>
            <w:t>6.3 建筑资源评价</w:t>
          </w:r>
          <w:r>
            <w:tab/>
          </w:r>
          <w:r>
            <w:fldChar w:fldCharType="begin"/>
          </w:r>
          <w:r>
            <w:instrText xml:space="preserve"> PAGEREF _Toc62762816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"_Toc62762817" </w:instrText>
          </w:r>
          <w:r>
            <w:fldChar w:fldCharType="separate"/>
          </w:r>
          <w:r>
            <w:rPr>
              <w:rStyle w:val="28"/>
            </w:rPr>
            <w:t>6.4 设施资源评价</w:t>
          </w:r>
          <w:r>
            <w:tab/>
          </w:r>
          <w:r>
            <w:fldChar w:fldCharType="begin"/>
          </w:r>
          <w:r>
            <w:instrText xml:space="preserve"> PAGEREF _Toc62762817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"_Toc62762818" </w:instrText>
          </w:r>
          <w:r>
            <w:fldChar w:fldCharType="separate"/>
          </w:r>
          <w:r>
            <w:rPr>
              <w:rStyle w:val="28"/>
              <w:kern w:val="44"/>
            </w:rPr>
            <w:t>7 空间设计评价</w:t>
          </w:r>
          <w:r>
            <w:tab/>
          </w:r>
          <w:r>
            <w:fldChar w:fldCharType="begin"/>
          </w:r>
          <w:r>
            <w:instrText xml:space="preserve"> PAGEREF _Toc62762818 \h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"_Toc62762819" </w:instrText>
          </w:r>
          <w:r>
            <w:fldChar w:fldCharType="separate"/>
          </w:r>
          <w:r>
            <w:rPr>
              <w:rStyle w:val="28"/>
            </w:rPr>
            <w:t>7.1 一般规定</w:t>
          </w:r>
          <w:r>
            <w:tab/>
          </w:r>
          <w:r>
            <w:fldChar w:fldCharType="begin"/>
          </w:r>
          <w:r>
            <w:instrText xml:space="preserve"> PAGEREF _Toc62762819 \h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"_Toc62762820" </w:instrText>
          </w:r>
          <w:r>
            <w:fldChar w:fldCharType="separate"/>
          </w:r>
          <w:r>
            <w:rPr>
              <w:rStyle w:val="28"/>
            </w:rPr>
            <w:t>7.2 空间适配性评价</w:t>
          </w:r>
          <w:r>
            <w:tab/>
          </w:r>
          <w:r>
            <w:fldChar w:fldCharType="begin"/>
          </w:r>
          <w:r>
            <w:instrText xml:space="preserve"> PAGEREF _Toc62762820 \h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"_Toc62762821" </w:instrText>
          </w:r>
          <w:r>
            <w:fldChar w:fldCharType="separate"/>
          </w:r>
          <w:r>
            <w:rPr>
              <w:rStyle w:val="28"/>
            </w:rPr>
            <w:t>7.3 空间灵活性评价</w:t>
          </w:r>
          <w:r>
            <w:tab/>
          </w:r>
          <w:r>
            <w:fldChar w:fldCharType="begin"/>
          </w:r>
          <w:r>
            <w:instrText xml:space="preserve"> PAGEREF _Toc62762821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"_Toc62762822" </w:instrText>
          </w:r>
          <w:r>
            <w:fldChar w:fldCharType="separate"/>
          </w:r>
          <w:r>
            <w:rPr>
              <w:rStyle w:val="28"/>
            </w:rPr>
            <w:t>7.4 空间舒适度评价</w:t>
          </w:r>
          <w:r>
            <w:tab/>
          </w:r>
          <w:r>
            <w:fldChar w:fldCharType="begin"/>
          </w:r>
          <w:r>
            <w:instrText xml:space="preserve"> PAGEREF _Toc62762822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"_Toc62762823" </w:instrText>
          </w:r>
          <w:r>
            <w:fldChar w:fldCharType="separate"/>
          </w:r>
          <w:r>
            <w:rPr>
              <w:rStyle w:val="28"/>
              <w:kern w:val="44"/>
            </w:rPr>
            <w:t>8 适宜性综合评价</w:t>
          </w:r>
          <w:r>
            <w:tab/>
          </w:r>
          <w:r>
            <w:fldChar w:fldCharType="begin"/>
          </w:r>
          <w:r>
            <w:instrText xml:space="preserve"> PAGEREF _Toc62762823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"_Toc62762824" </w:instrText>
          </w:r>
          <w:r>
            <w:fldChar w:fldCharType="separate"/>
          </w:r>
          <w:r>
            <w:rPr>
              <w:rStyle w:val="28"/>
            </w:rPr>
            <w:t>8.1 评价内容及程序</w:t>
          </w:r>
          <w:r>
            <w:tab/>
          </w:r>
          <w:r>
            <w:fldChar w:fldCharType="begin"/>
          </w:r>
          <w:r>
            <w:instrText xml:space="preserve"> PAGEREF _Toc62762824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fldChar w:fldCharType="end"/>
          </w:r>
        </w:p>
        <w:p>
          <w:pPr>
            <w:pStyle w:val="19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"_Toc62762825" </w:instrText>
          </w:r>
          <w:r>
            <w:fldChar w:fldCharType="separate"/>
          </w:r>
          <w:r>
            <w:rPr>
              <w:rStyle w:val="28"/>
            </w:rPr>
            <w:t>8.2 评价方法</w:t>
          </w:r>
          <w:r>
            <w:tab/>
          </w:r>
          <w:r>
            <w:fldChar w:fldCharType="begin"/>
          </w:r>
          <w:r>
            <w:instrText xml:space="preserve"> PAGEREF _Toc62762825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right" w:leader="dot" w:pos="6159"/>
            </w:tabs>
            <w:rPr>
              <w:rFonts w:asciiTheme="minorHAnsi" w:hAnsiTheme="minorHAnsi" w:eastAsiaTheme="minorEastAsia" w:cstheme="minorBidi"/>
              <w:szCs w:val="22"/>
            </w:rPr>
          </w:pPr>
          <w:r>
            <w:fldChar w:fldCharType="begin"/>
          </w:r>
          <w:r>
            <w:instrText xml:space="preserve"> HYPERLINK \l "_Toc62762826" </w:instrText>
          </w:r>
          <w:r>
            <w:fldChar w:fldCharType="separate"/>
          </w:r>
          <w:r>
            <w:rPr>
              <w:rStyle w:val="28"/>
              <w:kern w:val="44"/>
            </w:rPr>
            <w:t>本标准用词说明</w:t>
          </w:r>
          <w:r>
            <w:tab/>
          </w:r>
          <w:r>
            <w:fldChar w:fldCharType="begin"/>
          </w:r>
          <w:r>
            <w:instrText xml:space="preserve"> PAGEREF _Toc62762826 \h </w:instrText>
          </w:r>
          <w:r>
            <w:fldChar w:fldCharType="separate"/>
          </w:r>
          <w:r>
            <w:t>18</w:t>
          </w:r>
          <w:r>
            <w:fldChar w:fldCharType="end"/>
          </w:r>
          <w:r>
            <w:fldChar w:fldCharType="end"/>
          </w:r>
        </w:p>
        <w:p>
          <w:pPr>
            <w:pStyle w:val="17"/>
            <w:tabs>
              <w:tab w:val="right" w:leader="dot" w:pos="6159"/>
            </w:tabs>
            <w:rPr>
              <w:b/>
              <w:bCs/>
              <w:lang w:val="zh-CN"/>
            </w:rPr>
          </w:pPr>
          <w:r>
            <w:fldChar w:fldCharType="begin"/>
          </w:r>
          <w:r>
            <w:instrText xml:space="preserve"> HYPERLINK \l "_Toc62762827" </w:instrText>
          </w:r>
          <w:r>
            <w:fldChar w:fldCharType="separate"/>
          </w:r>
          <w:r>
            <w:rPr>
              <w:rStyle w:val="28"/>
            </w:rPr>
            <w:t>引用标准名录</w:t>
          </w:r>
          <w:bookmarkStart w:id="40" w:name="_Hlk62763339"/>
          <w:r>
            <w:tab/>
          </w:r>
          <w:r>
            <w:fldChar w:fldCharType="begin"/>
          </w:r>
          <w:r>
            <w:instrText xml:space="preserve"> PAGEREF _Toc62762827 \h </w:instrText>
          </w:r>
          <w:r>
            <w:fldChar w:fldCharType="separate"/>
          </w:r>
          <w:r>
            <w:t>19</w:t>
          </w:r>
          <w:r>
            <w:fldChar w:fldCharType="end"/>
          </w:r>
          <w:bookmarkEnd w:id="40"/>
          <w:r>
            <w:fldChar w:fldCharType="end"/>
          </w:r>
          <w:r>
            <w:rPr>
              <w:b/>
              <w:bCs/>
              <w:lang w:val="zh-CN"/>
            </w:rPr>
            <w:fldChar w:fldCharType="end"/>
          </w:r>
        </w:p>
        <w:p>
          <w:pPr>
            <w:pStyle w:val="17"/>
            <w:tabs>
              <w:tab w:val="right" w:leader="dot" w:pos="6159"/>
            </w:tabs>
          </w:pPr>
          <w:r>
            <w:fldChar w:fldCharType="begin"/>
          </w:r>
          <w:r>
            <w:instrText xml:space="preserve"> HYPERLINK \l "_Toc62762827" </w:instrText>
          </w:r>
          <w:r>
            <w:fldChar w:fldCharType="separate"/>
          </w:r>
          <w:r>
            <w:rPr>
              <w:rFonts w:hint="eastAsia"/>
            </w:rPr>
            <w:t>附：条文说明</w:t>
          </w:r>
          <w:r>
            <w:tab/>
          </w:r>
          <w:r>
            <w:t>21</w:t>
          </w:r>
          <w:r>
            <w:fldChar w:fldCharType="end"/>
          </w:r>
        </w:p>
      </w:sdtContent>
    </w:sdt>
    <w:p>
      <w:pPr>
        <w:widowControl/>
        <w:jc w:val="left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br w:type="page"/>
      </w:r>
    </w:p>
    <w:p>
      <w:pPr>
        <w:jc w:val="center"/>
        <w:rPr>
          <w:rFonts w:ascii="Times New Roman" w:hAnsi="Times New Roman" w:cs="Times New Roman"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</w:rPr>
        <w:t>Contents</w:t>
      </w:r>
    </w:p>
    <w:p>
      <w:pPr>
        <w:pStyle w:val="17"/>
        <w:tabs>
          <w:tab w:val="right" w:leader="dot" w:pos="6169"/>
        </w:tabs>
        <w:rPr>
          <w:rFonts w:eastAsiaTheme="minorEastAsia"/>
        </w:rPr>
      </w:pPr>
      <w:r>
        <w:fldChar w:fldCharType="begin"/>
      </w:r>
      <w:r>
        <w:instrText xml:space="preserve"> HYPERLINK \l "_Toc27160" </w:instrText>
      </w:r>
      <w:r>
        <w:fldChar w:fldCharType="separate"/>
      </w:r>
      <w:r>
        <w:rPr>
          <w:rFonts w:eastAsiaTheme="minorEastAsia"/>
          <w:kern w:val="44"/>
        </w:rPr>
        <w:t xml:space="preserve">1 </w:t>
      </w:r>
      <w:r>
        <w:rPr>
          <w:rStyle w:val="28"/>
          <w:rFonts w:eastAsiaTheme="minorEastAsia"/>
          <w:color w:val="auto"/>
          <w:kern w:val="44"/>
          <w:u w:val="none"/>
        </w:rPr>
        <w:t>General Provisions</w:t>
      </w:r>
      <w:r>
        <w:rPr>
          <w:rFonts w:eastAsiaTheme="minorEastAsia"/>
        </w:rPr>
        <w:tab/>
      </w:r>
      <w:r>
        <w:rPr>
          <w:rFonts w:eastAsiaTheme="minorEastAsia"/>
        </w:rPr>
        <w:fldChar w:fldCharType="end"/>
      </w:r>
      <w:r>
        <w:rPr>
          <w:rFonts w:eastAsiaTheme="minorEastAsia"/>
        </w:rPr>
        <w:t>1</w:t>
      </w:r>
    </w:p>
    <w:p>
      <w:pPr>
        <w:pStyle w:val="17"/>
        <w:tabs>
          <w:tab w:val="right" w:leader="dot" w:pos="6169"/>
        </w:tabs>
        <w:rPr>
          <w:rFonts w:eastAsiaTheme="minorEastAsia"/>
        </w:rPr>
      </w:pPr>
      <w:r>
        <w:fldChar w:fldCharType="begin"/>
      </w:r>
      <w:r>
        <w:instrText xml:space="preserve"> HYPERLINK \l "_Toc14116" </w:instrText>
      </w:r>
      <w:r>
        <w:fldChar w:fldCharType="separate"/>
      </w:r>
      <w:r>
        <w:rPr>
          <w:rFonts w:eastAsiaTheme="minorEastAsia"/>
          <w:kern w:val="44"/>
        </w:rPr>
        <w:t xml:space="preserve">2 </w:t>
      </w:r>
      <w:r>
        <w:rPr>
          <w:rStyle w:val="28"/>
          <w:rFonts w:eastAsiaTheme="minorEastAsia"/>
          <w:color w:val="auto"/>
          <w:u w:val="none"/>
        </w:rPr>
        <w:t>Terms</w:t>
      </w:r>
      <w:r>
        <w:rPr>
          <w:rFonts w:eastAsiaTheme="minorEastAsia"/>
        </w:rPr>
        <w:tab/>
      </w:r>
      <w:r>
        <w:rPr>
          <w:rFonts w:eastAsiaTheme="minorEastAsia"/>
        </w:rPr>
        <w:fldChar w:fldCharType="end"/>
      </w:r>
      <w:r>
        <w:rPr>
          <w:rFonts w:eastAsiaTheme="minorEastAsia"/>
        </w:rPr>
        <w:t>2</w:t>
      </w:r>
    </w:p>
    <w:p>
      <w:pPr>
        <w:pStyle w:val="17"/>
        <w:tabs>
          <w:tab w:val="right" w:leader="dot" w:pos="6169"/>
        </w:tabs>
        <w:rPr>
          <w:rFonts w:eastAsiaTheme="minorEastAsia"/>
        </w:rPr>
      </w:pPr>
      <w:r>
        <w:fldChar w:fldCharType="begin"/>
      </w:r>
      <w:r>
        <w:instrText xml:space="preserve"> HYPERLINK \l "_Toc20667" </w:instrText>
      </w:r>
      <w:r>
        <w:fldChar w:fldCharType="separate"/>
      </w:r>
      <w:r>
        <w:rPr>
          <w:rFonts w:eastAsiaTheme="minorEastAsia"/>
          <w:kern w:val="44"/>
        </w:rPr>
        <w:t xml:space="preserve">3 </w:t>
      </w:r>
      <w:r>
        <w:rPr>
          <w:rStyle w:val="28"/>
          <w:rFonts w:eastAsiaTheme="minorEastAsia"/>
          <w:color w:val="auto"/>
          <w:kern w:val="44"/>
          <w:u w:val="none"/>
        </w:rPr>
        <w:t>Basic Requirements</w:t>
      </w:r>
      <w:r>
        <w:rPr>
          <w:rFonts w:eastAsiaTheme="minorEastAsia"/>
        </w:rPr>
        <w:tab/>
      </w:r>
      <w:r>
        <w:rPr>
          <w:rFonts w:eastAsiaTheme="minorEastAsia"/>
        </w:rPr>
        <w:fldChar w:fldCharType="end"/>
      </w:r>
      <w:r>
        <w:rPr>
          <w:rFonts w:eastAsiaTheme="minorEastAsia"/>
        </w:rPr>
        <w:t>3</w:t>
      </w:r>
    </w:p>
    <w:p>
      <w:pPr>
        <w:pStyle w:val="17"/>
        <w:tabs>
          <w:tab w:val="right" w:leader="dot" w:pos="6169"/>
        </w:tabs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"_Toc3700"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4 Environmental safety assessment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4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"_Toc20414"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4.1 General provisions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4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"_Toc3757"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4.2 Pollution hazard assessment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4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"_Toc13038"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4.3 Ecological suitability evaluation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5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"_Toc9907"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5 Evaluation of location advantage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6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"_Toc24251"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5.1 General provisions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6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"_Toc26650"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5.2 Evaluation of economic conditions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6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"_Toc9844"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5.3 Traffic condition evaluation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7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"_Toc24641"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6 Evaluation of resource carrying capacity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8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"_Toc31485"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6.1 General provisions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8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"_Toc7763"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6.2 Evaluation of human resources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8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"_Toc13797"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6.3 Evaluation of building resources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9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"_Toc5600"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6.4 Evaluation of equipment and facilities resources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9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"_Toc16260"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7 Evaluation of spatial design scheme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11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"_Toc27850"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7.1 General provisions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11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"_Toc4502"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7.2 Evaluation of spatial adaptability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11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"_Toc23498"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7.3 Evaluation of spatial flexibility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12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"_Toc22547"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7.4 Evaluation of space comfort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12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"_Toc1149"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8 Evaluate suitability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14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"_Toc17825"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8.1 Evaluation contents and procedures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14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ind w:firstLine="420" w:firstLineChars="200"/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"_Toc28798"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8.2 Evaluation method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14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</w:p>
    <w:p>
      <w:pPr>
        <w:pStyle w:val="17"/>
        <w:tabs>
          <w:tab w:val="right" w:leader="dot" w:pos="6169"/>
        </w:tabs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"_Toc30373"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Explanation of Wording in This Standard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1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8</w:t>
      </w:r>
    </w:p>
    <w:p>
      <w:pPr>
        <w:pStyle w:val="17"/>
        <w:tabs>
          <w:tab w:val="right" w:leader="dot" w:pos="6169"/>
        </w:tabs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fldChar w:fldCharType="begin"/>
      </w:r>
      <w:r>
        <w:instrText xml:space="preserve"> HYPERLINK \l "_Toc10737" </w:instrText>
      </w:r>
      <w:r>
        <w:fldChar w:fldCharType="separate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List of cited standards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1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fldChar w:fldCharType="end"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9</w:t>
      </w:r>
    </w:p>
    <w:p>
      <w:pPr>
        <w:pStyle w:val="17"/>
        <w:tabs>
          <w:tab w:val="right" w:leader="dot" w:pos="6159"/>
        </w:tabs>
        <w:rPr>
          <w:rStyle w:val="28"/>
          <w:rFonts w:eastAsiaTheme="minorEastAsia"/>
          <w:color w:val="auto"/>
          <w:kern w:val="44"/>
          <w:szCs w:val="22"/>
          <w:u w:val="none"/>
        </w:rPr>
      </w:pPr>
      <w:r>
        <w:rPr>
          <w:rStyle w:val="28"/>
          <w:rFonts w:eastAsiaTheme="minorEastAsia"/>
          <w:color w:val="auto"/>
          <w:kern w:val="44"/>
          <w:szCs w:val="22"/>
          <w:u w:val="none"/>
        </w:rPr>
        <w:t>Addition</w:t>
      </w:r>
      <w:r>
        <w:rPr>
          <w:rStyle w:val="28"/>
          <w:rFonts w:hint="eastAsia" w:eastAsiaTheme="minorEastAsia"/>
          <w:color w:val="auto"/>
          <w:kern w:val="44"/>
          <w:szCs w:val="22"/>
          <w:u w:val="none"/>
        </w:rPr>
        <w:t>：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Explanation of Provisions</w:t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ab/>
      </w:r>
      <w:r>
        <w:rPr>
          <w:rStyle w:val="28"/>
          <w:rFonts w:eastAsiaTheme="minorEastAsia"/>
          <w:color w:val="auto"/>
          <w:kern w:val="44"/>
          <w:szCs w:val="22"/>
          <w:u w:val="none"/>
        </w:rPr>
        <w:t>21</w:t>
      </w:r>
    </w:p>
    <w:p>
      <w:pPr>
        <w:rPr>
          <w:highlight w:val="yellow"/>
        </w:rPr>
      </w:pPr>
    </w:p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p>
      <w:pPr>
        <w:rPr>
          <w:rFonts w:ascii="Times New Roman" w:hAnsi="Times New Roman" w:cs="Times New Roman"/>
        </w:rPr>
        <w:sectPr>
          <w:footerReference r:id="rId7" w:type="default"/>
          <w:footerReference r:id="rId8" w:type="even"/>
          <w:pgSz w:w="8335" w:h="11850"/>
          <w:pgMar w:top="1083" w:right="1083" w:bottom="1083" w:left="1083" w:header="851" w:footer="992" w:gutter="0"/>
          <w:pgNumType w:fmt="upperRoman" w:start="1" w:chapSep="period"/>
          <w:cols w:space="720" w:num="1"/>
          <w:docGrid w:type="linesAndChars" w:linePitch="312" w:charSpace="0"/>
        </w:sectPr>
      </w:pPr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cs="Times New Roman"/>
          <w:b/>
          <w:kern w:val="44"/>
          <w:sz w:val="30"/>
          <w:szCs w:val="24"/>
        </w:rPr>
      </w:pPr>
      <w:bookmarkStart w:id="41" w:name="_Toc8242"/>
      <w:bookmarkEnd w:id="41"/>
      <w:bookmarkStart w:id="42" w:name="_Toc3550176"/>
      <w:bookmarkEnd w:id="42"/>
      <w:bookmarkStart w:id="43" w:name="_Toc3550038"/>
      <w:bookmarkEnd w:id="43"/>
      <w:bookmarkStart w:id="44" w:name="_Toc525330785"/>
      <w:bookmarkEnd w:id="44"/>
      <w:bookmarkStart w:id="45" w:name="_Toc3546950"/>
      <w:bookmarkEnd w:id="45"/>
      <w:bookmarkStart w:id="46" w:name="_Toc3550048"/>
      <w:bookmarkStart w:id="47" w:name="_Toc3550186"/>
      <w:bookmarkStart w:id="48" w:name="_Toc3546960"/>
      <w:bookmarkStart w:id="49" w:name="_Toc1752"/>
      <w:r>
        <w:rPr>
          <w:rFonts w:ascii="Times New Roman" w:hAnsi="Times New Roman" w:cs="Times New Roman"/>
          <w:b/>
          <w:kern w:val="44"/>
          <w:sz w:val="30"/>
          <w:szCs w:val="24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ascii="Times New Roman" w:hAnsi="Times New Roman" w:cs="Times New Roman"/>
          <w:b/>
          <w:kern w:val="44"/>
          <w:sz w:val="30"/>
          <w:szCs w:val="24"/>
        </w:rPr>
        <w:instrText xml:space="preserve">ADDIN CNKISM.UserStyle</w:instrText>
      </w:r>
      <w:r>
        <w:rPr>
          <w:rFonts w:ascii="Times New Roman" w:hAnsi="Times New Roman" w:cs="Times New Roman"/>
          <w:b/>
          <w:kern w:val="44"/>
          <w:sz w:val="30"/>
          <w:szCs w:val="24"/>
        </w:rPr>
        <w:fldChar w:fldCharType="end"/>
      </w:r>
      <w:bookmarkStart w:id="50" w:name="_Toc3546947"/>
      <w:bookmarkStart w:id="51" w:name="_Toc3550035"/>
      <w:bookmarkStart w:id="52" w:name="_Toc3550173"/>
      <w:bookmarkStart w:id="53" w:name="_Toc62762802"/>
      <w:r>
        <w:rPr>
          <w:rFonts w:ascii="Times New Roman" w:hAnsi="Times New Roman" w:cs="Times New Roman"/>
          <w:b/>
          <w:kern w:val="44"/>
          <w:sz w:val="30"/>
          <w:szCs w:val="24"/>
        </w:rPr>
        <w:t xml:space="preserve">1 </w:t>
      </w:r>
      <w:bookmarkEnd w:id="50"/>
      <w:bookmarkEnd w:id="51"/>
      <w:bookmarkEnd w:id="52"/>
      <w:r>
        <w:rPr>
          <w:rFonts w:ascii="Times New Roman" w:hAnsi="Times New Roman" w:cs="Times New Roman"/>
          <w:b/>
          <w:kern w:val="44"/>
          <w:sz w:val="30"/>
          <w:szCs w:val="24"/>
        </w:rPr>
        <w:t>总则</w:t>
      </w:r>
      <w:bookmarkEnd w:id="53"/>
    </w:p>
    <w:p>
      <w:pPr>
        <w:spacing w:line="330" w:lineRule="exact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1.0.1  </w:t>
      </w:r>
      <w:r>
        <w:rPr>
          <w:rFonts w:ascii="Times New Roman" w:hAnsi="Times New Roman" w:cs="Times New Roman"/>
          <w:szCs w:val="24"/>
        </w:rPr>
        <w:t>为贯彻国家技术经济政策，</w:t>
      </w:r>
      <w:r>
        <w:rPr>
          <w:rFonts w:hint="eastAsia" w:ascii="Times New Roman" w:hAnsi="Times New Roman" w:cs="Times New Roman"/>
          <w:szCs w:val="24"/>
        </w:rPr>
        <w:t>建设</w:t>
      </w:r>
      <w:r>
        <w:rPr>
          <w:rFonts w:ascii="Times New Roman" w:hAnsi="Times New Roman" w:cs="Times New Roman"/>
          <w:szCs w:val="24"/>
        </w:rPr>
        <w:t>资源节约型社会，促进旧工业厂区空间的科学开发、合理布局、高效利用及均衡管理，实现区域协调</w:t>
      </w:r>
      <w:r>
        <w:rPr>
          <w:rFonts w:hint="eastAsia" w:ascii="Times New Roman" w:hAnsi="Times New Roman" w:cs="Times New Roman"/>
          <w:szCs w:val="24"/>
        </w:rPr>
        <w:t>和</w:t>
      </w:r>
      <w:r>
        <w:rPr>
          <w:rFonts w:ascii="Times New Roman" w:hAnsi="Times New Roman" w:cs="Times New Roman"/>
          <w:szCs w:val="24"/>
        </w:rPr>
        <w:t>可持续发展，制定本标准。</w:t>
      </w:r>
    </w:p>
    <w:p>
      <w:pPr>
        <w:spacing w:line="330" w:lineRule="exact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1.0.2  </w:t>
      </w:r>
      <w:r>
        <w:rPr>
          <w:rFonts w:ascii="Times New Roman" w:hAnsi="Times New Roman" w:cs="Times New Roman"/>
          <w:szCs w:val="24"/>
        </w:rPr>
        <w:t>旧工业厂区空间开发适宜性应遵循“合理保护、充分利用、</w:t>
      </w:r>
      <w:r>
        <w:rPr>
          <w:rFonts w:hint="eastAsia" w:ascii="Times New Roman" w:hAnsi="Times New Roman" w:cs="Times New Roman"/>
          <w:szCs w:val="24"/>
        </w:rPr>
        <w:t>协调发展、经济适用</w:t>
      </w:r>
      <w:r>
        <w:rPr>
          <w:rFonts w:ascii="Times New Roman" w:hAnsi="Times New Roman" w:cs="Times New Roman"/>
          <w:szCs w:val="24"/>
        </w:rPr>
        <w:t>”的</w:t>
      </w:r>
      <w:r>
        <w:rPr>
          <w:rFonts w:hint="eastAsia" w:ascii="Times New Roman" w:hAnsi="Times New Roman" w:cs="Times New Roman"/>
          <w:szCs w:val="24"/>
        </w:rPr>
        <w:t>评价</w:t>
      </w:r>
      <w:r>
        <w:rPr>
          <w:rFonts w:ascii="Times New Roman" w:hAnsi="Times New Roman" w:cs="Times New Roman"/>
          <w:szCs w:val="24"/>
        </w:rPr>
        <w:t>原则，充分发挥旧工业厂区</w:t>
      </w:r>
      <w:r>
        <w:rPr>
          <w:rFonts w:hint="eastAsia" w:ascii="Times New Roman" w:hAnsi="Times New Roman" w:cs="Times New Roman"/>
          <w:szCs w:val="24"/>
        </w:rPr>
        <w:t>空间再生利用基础条件</w:t>
      </w:r>
      <w:r>
        <w:rPr>
          <w:rFonts w:ascii="Times New Roman" w:hAnsi="Times New Roman" w:cs="Times New Roman"/>
          <w:szCs w:val="24"/>
        </w:rPr>
        <w:t>的综合价值。</w:t>
      </w:r>
    </w:p>
    <w:p>
      <w:pPr>
        <w:spacing w:line="330" w:lineRule="exact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>1.0.3</w:t>
      </w:r>
      <w:r>
        <w:rPr>
          <w:rFonts w:ascii="Times New Roman" w:hAnsi="Times New Roman" w:cs="Times New Roman"/>
          <w:szCs w:val="24"/>
        </w:rPr>
        <w:t xml:space="preserve">  旧工业厂区空间开发适宜性评价除应符合本标准的规定外，尚应符合</w:t>
      </w:r>
      <w:r>
        <w:rPr>
          <w:rFonts w:hint="eastAsia" w:ascii="Times New Roman" w:hAnsi="Times New Roman" w:cs="Times New Roman"/>
          <w:szCs w:val="24"/>
        </w:rPr>
        <w:t>国家</w:t>
      </w:r>
      <w:r>
        <w:rPr>
          <w:rFonts w:ascii="Times New Roman" w:hAnsi="Times New Roman" w:cs="Times New Roman"/>
          <w:szCs w:val="24"/>
        </w:rPr>
        <w:t>现行有关标准的规定。</w:t>
      </w:r>
    </w:p>
    <w:p>
      <w:pPr>
        <w:spacing w:line="330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cs="Times New Roman"/>
          <w:b/>
          <w:kern w:val="44"/>
          <w:sz w:val="30"/>
          <w:szCs w:val="24"/>
        </w:rPr>
      </w:pPr>
      <w:bookmarkStart w:id="54" w:name="_Toc62762803"/>
      <w:r>
        <w:rPr>
          <w:rFonts w:ascii="Times New Roman" w:hAnsi="Times New Roman" w:cs="Times New Roman"/>
          <w:b/>
          <w:kern w:val="44"/>
          <w:sz w:val="30"/>
          <w:szCs w:val="24"/>
        </w:rPr>
        <w:t>2 术语</w:t>
      </w:r>
      <w:bookmarkEnd w:id="54"/>
    </w:p>
    <w:p>
      <w:pPr>
        <w:rPr>
          <w:rFonts w:ascii="Times New Roman" w:hAnsi="Times New Roman" w:cs="Times New Roman"/>
        </w:rPr>
      </w:pPr>
      <w:r>
        <w:rPr>
          <w:rFonts w:hint="eastAsia" w:ascii="Times New Roman" w:hAnsi="Times New Roman" w:cs="Times New Roman"/>
          <w:b/>
          <w:bCs/>
        </w:rPr>
        <w:t>2</w:t>
      </w:r>
      <w:r>
        <w:rPr>
          <w:rFonts w:ascii="Times New Roman" w:hAnsi="Times New Roman" w:cs="Times New Roman"/>
          <w:b/>
          <w:bCs/>
        </w:rPr>
        <w:t xml:space="preserve">.0.1  </w:t>
      </w:r>
      <w:r>
        <w:rPr>
          <w:rFonts w:hint="eastAsia" w:ascii="Times New Roman" w:hAnsi="Times New Roman" w:cs="Times New Roman"/>
        </w:rPr>
        <w:t xml:space="preserve">空间开发适宜性  </w:t>
      </w:r>
      <w:r>
        <w:rPr>
          <w:rFonts w:ascii="Times New Roman" w:hAnsi="Times New Roman" w:cs="Times New Roman"/>
        </w:rPr>
        <w:t>suitability</w:t>
      </w:r>
      <w:r>
        <w:rPr>
          <w:rFonts w:hint="eastAsia" w:ascii="Times New Roman" w:hAnsi="Times New Roman" w:cs="Times New Roman"/>
        </w:rPr>
        <w:t xml:space="preserve"> of</w:t>
      </w:r>
      <w:r>
        <w:rPr>
          <w:rFonts w:ascii="Times New Roman" w:hAnsi="Times New Roman" w:cs="Times New Roman"/>
        </w:rPr>
        <w:t xml:space="preserve"> </w:t>
      </w:r>
      <w:r>
        <w:rPr>
          <w:rFonts w:hint="eastAsia"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pace development scheme</w:t>
      </w:r>
    </w:p>
    <w:p>
      <w:pPr>
        <w:ind w:firstLine="420"/>
        <w:rPr>
          <w:rFonts w:ascii="Times New Roman" w:hAnsi="Times New Roman" w:cs="Times New Roman"/>
        </w:rPr>
      </w:pPr>
      <w:r>
        <w:rPr>
          <w:rFonts w:hint="eastAsia" w:ascii="Times New Roman" w:hAnsi="Times New Roman" w:cs="Times New Roman"/>
        </w:rPr>
        <w:t>旧工业厂区在环境安全、区位优势、资源潜力及空间设计方面，对再生模式定位是否适宜开发以及适宜开发的程度。</w:t>
      </w:r>
    </w:p>
    <w:p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2.0.2</w:t>
      </w:r>
      <w:r>
        <w:rPr>
          <w:rFonts w:ascii="Times New Roman" w:hAnsi="Times New Roman" w:cs="Times New Roman"/>
        </w:rPr>
        <w:t xml:space="preserve">  环境安全评价  </w:t>
      </w:r>
      <w:r>
        <w:rPr>
          <w:rFonts w:hint="eastAsia" w:ascii="Times New Roman" w:hAnsi="Times New Roman" w:cs="Times New Roman"/>
        </w:rPr>
        <w:t>assessment</w:t>
      </w:r>
      <w:r>
        <w:rPr>
          <w:rFonts w:ascii="Times New Roman" w:hAnsi="Times New Roman" w:cs="Times New Roman"/>
        </w:rPr>
        <w:t xml:space="preserve"> of plant environmental safety </w:t>
      </w:r>
    </w:p>
    <w:p>
      <w:pPr>
        <w:ind w:firstLine="420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根据现场调查与检测，分析旧工业厂区残留污染</w:t>
      </w:r>
      <w:r>
        <w:rPr>
          <w:rFonts w:hint="eastAsia" w:ascii="Times New Roman" w:hAnsi="Times New Roman" w:cs="Times New Roman"/>
        </w:rPr>
        <w:t>物</w:t>
      </w:r>
      <w:r>
        <w:rPr>
          <w:rFonts w:ascii="Times New Roman" w:hAnsi="Times New Roman" w:cs="Times New Roman"/>
        </w:rPr>
        <w:t>的危害</w:t>
      </w:r>
      <w:r>
        <w:rPr>
          <w:rFonts w:hint="eastAsia" w:ascii="Times New Roman" w:hAnsi="Times New Roman" w:cs="Times New Roman"/>
        </w:rPr>
        <w:t>性与既有环境的</w:t>
      </w:r>
      <w:r>
        <w:rPr>
          <w:rFonts w:ascii="Times New Roman" w:hAnsi="Times New Roman" w:cs="Times New Roman"/>
        </w:rPr>
        <w:t>生态</w:t>
      </w:r>
      <w:r>
        <w:rPr>
          <w:rFonts w:hint="eastAsia" w:ascii="Times New Roman" w:hAnsi="Times New Roman" w:cs="Times New Roman"/>
        </w:rPr>
        <w:t>性</w:t>
      </w:r>
      <w:r>
        <w:rPr>
          <w:rFonts w:ascii="Times New Roman" w:hAnsi="Times New Roman" w:cs="Times New Roman"/>
        </w:rPr>
        <w:t>，对厂区环境</w:t>
      </w:r>
      <w:r>
        <w:rPr>
          <w:rFonts w:hint="eastAsia" w:ascii="Times New Roman" w:hAnsi="Times New Roman" w:cs="Times New Roman"/>
        </w:rPr>
        <w:t>安全状况综合</w:t>
      </w:r>
      <w:r>
        <w:rPr>
          <w:rFonts w:ascii="Times New Roman" w:hAnsi="Times New Roman" w:cs="Times New Roman"/>
        </w:rPr>
        <w:t>评价的过程。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2.0.3</w:t>
      </w:r>
      <w:r>
        <w:rPr>
          <w:rFonts w:ascii="Times New Roman" w:hAnsi="Times New Roman" w:cs="Times New Roman"/>
          <w:szCs w:val="21"/>
        </w:rPr>
        <w:t xml:space="preserve">  区位</w:t>
      </w:r>
      <w:r>
        <w:rPr>
          <w:rFonts w:hint="eastAsia" w:ascii="Times New Roman" w:hAnsi="Times New Roman" w:cs="Times New Roman"/>
          <w:szCs w:val="21"/>
        </w:rPr>
        <w:t>基础</w:t>
      </w:r>
      <w:r>
        <w:rPr>
          <w:rFonts w:ascii="Times New Roman" w:hAnsi="Times New Roman" w:cs="Times New Roman"/>
          <w:szCs w:val="21"/>
        </w:rPr>
        <w:t xml:space="preserve">评价  </w:t>
      </w:r>
      <w:r>
        <w:rPr>
          <w:rFonts w:hint="eastAsia" w:ascii="Times New Roman" w:hAnsi="Times New Roman" w:cs="Times New Roman"/>
        </w:rPr>
        <w:t>assessment</w:t>
      </w:r>
      <w:r>
        <w:rPr>
          <w:rFonts w:ascii="Times New Roman" w:hAnsi="Times New Roman" w:cs="Times New Roman"/>
          <w:szCs w:val="21"/>
        </w:rPr>
        <w:t xml:space="preserve"> of </w:t>
      </w:r>
      <w:r>
        <w:rPr>
          <w:rFonts w:hint="eastAsia" w:ascii="Times New Roman" w:hAnsi="Times New Roman" w:cs="Times New Roman"/>
          <w:szCs w:val="21"/>
        </w:rPr>
        <w:t>plant</w:t>
      </w:r>
      <w:r>
        <w:rPr>
          <w:rFonts w:ascii="Times New Roman" w:hAnsi="Times New Roman" w:cs="Times New Roman"/>
          <w:szCs w:val="21"/>
        </w:rPr>
        <w:t xml:space="preserve"> regional advantages</w:t>
      </w:r>
    </w:p>
    <w:p>
      <w:pPr>
        <w:spacing w:line="330" w:lineRule="exact"/>
        <w:ind w:firstLine="420" w:firstLineChars="200"/>
        <w:rPr>
          <w:rFonts w:ascii="Times New Roman" w:hAnsi="Times New Roman" w:cs="Times New Roman"/>
          <w:szCs w:val="21"/>
        </w:rPr>
      </w:pPr>
      <w:r>
        <w:rPr>
          <w:rFonts w:hint="eastAsia" w:ascii="Times New Roman" w:hAnsi="Times New Roman" w:cs="Times New Roman"/>
          <w:szCs w:val="21"/>
        </w:rPr>
        <w:t>根据</w:t>
      </w:r>
      <w:r>
        <w:rPr>
          <w:rFonts w:ascii="Times New Roman" w:hAnsi="Times New Roman" w:cs="Times New Roman"/>
          <w:szCs w:val="21"/>
        </w:rPr>
        <w:t>再生模式定位，</w:t>
      </w:r>
      <w:r>
        <w:rPr>
          <w:rFonts w:hint="eastAsia" w:ascii="Times New Roman" w:hAnsi="Times New Roman" w:cs="Times New Roman"/>
          <w:szCs w:val="21"/>
        </w:rPr>
        <w:t>分析旧工业厂区所属</w:t>
      </w:r>
      <w:r>
        <w:rPr>
          <w:rFonts w:ascii="Times New Roman" w:hAnsi="Times New Roman" w:cs="Times New Roman"/>
          <w:szCs w:val="21"/>
        </w:rPr>
        <w:t>区位</w:t>
      </w:r>
      <w:r>
        <w:rPr>
          <w:rFonts w:hint="eastAsia" w:ascii="Times New Roman" w:hAnsi="Times New Roman" w:cs="Times New Roman"/>
          <w:szCs w:val="21"/>
        </w:rPr>
        <w:t>对再生模式开发的支持程度，对厂区区位基础综合评价</w:t>
      </w:r>
      <w:r>
        <w:rPr>
          <w:rFonts w:ascii="Times New Roman" w:hAnsi="Times New Roman" w:cs="Times New Roman"/>
          <w:szCs w:val="21"/>
        </w:rPr>
        <w:t>的过程。</w:t>
      </w:r>
    </w:p>
    <w:p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2.0.4</w:t>
      </w:r>
      <w:r>
        <w:rPr>
          <w:rFonts w:ascii="Times New Roman" w:hAnsi="Times New Roman" w:cs="Times New Roman"/>
        </w:rPr>
        <w:t xml:space="preserve">  资源</w:t>
      </w:r>
      <w:r>
        <w:rPr>
          <w:rFonts w:hint="eastAsia" w:ascii="Times New Roman" w:hAnsi="Times New Roman" w:cs="Times New Roman"/>
        </w:rPr>
        <w:t>潜力评价</w:t>
      </w:r>
      <w:r>
        <w:rPr>
          <w:rFonts w:ascii="Times New Roman" w:hAnsi="Times New Roman" w:cs="Times New Roman"/>
        </w:rPr>
        <w:t xml:space="preserve">  </w:t>
      </w:r>
      <w:r>
        <w:rPr>
          <w:rFonts w:hint="eastAsia" w:ascii="Times New Roman" w:hAnsi="Times New Roman" w:cs="Times New Roman"/>
        </w:rPr>
        <w:t>assessment</w:t>
      </w:r>
      <w:r>
        <w:rPr>
          <w:rFonts w:ascii="Times New Roman" w:hAnsi="Times New Roman" w:cs="Times New Roman"/>
          <w:szCs w:val="21"/>
        </w:rPr>
        <w:t xml:space="preserve"> of </w:t>
      </w:r>
      <w:r>
        <w:rPr>
          <w:rFonts w:hint="eastAsia" w:ascii="Times New Roman" w:hAnsi="Times New Roman" w:cs="Times New Roman"/>
          <w:szCs w:val="21"/>
        </w:rPr>
        <w:t>plant</w:t>
      </w:r>
      <w:r>
        <w:rPr>
          <w:rFonts w:ascii="Times New Roman" w:hAnsi="Times New Roman" w:cs="Times New Roman"/>
          <w:szCs w:val="21"/>
        </w:rPr>
        <w:t xml:space="preserve"> </w:t>
      </w:r>
      <w:r>
        <w:rPr>
          <w:rFonts w:ascii="Times New Roman" w:hAnsi="Times New Roman" w:cs="Times New Roman"/>
        </w:rPr>
        <w:t xml:space="preserve">resource potentiality </w:t>
      </w:r>
    </w:p>
    <w:p>
      <w:pPr>
        <w:ind w:firstLine="420" w:firstLineChars="200"/>
        <w:rPr>
          <w:rFonts w:ascii="Times New Roman" w:hAnsi="Times New Roman" w:cs="Times New Roman"/>
        </w:rPr>
      </w:pPr>
      <w:r>
        <w:rPr>
          <w:rFonts w:hint="eastAsia" w:ascii="Times New Roman" w:hAnsi="Times New Roman" w:cs="Times New Roman"/>
          <w:szCs w:val="21"/>
        </w:rPr>
        <w:t>根据</w:t>
      </w:r>
      <w:r>
        <w:rPr>
          <w:rFonts w:ascii="Times New Roman" w:hAnsi="Times New Roman" w:cs="Times New Roman"/>
          <w:szCs w:val="21"/>
        </w:rPr>
        <w:t>再生模式定位，</w:t>
      </w:r>
      <w:r>
        <w:rPr>
          <w:rFonts w:hint="eastAsia" w:ascii="Times New Roman" w:hAnsi="Times New Roman" w:cs="Times New Roman"/>
          <w:szCs w:val="21"/>
        </w:rPr>
        <w:t>分析旧工业厂区</w:t>
      </w:r>
      <w:r>
        <w:rPr>
          <w:rFonts w:ascii="Times New Roman" w:hAnsi="Times New Roman" w:cs="Times New Roman"/>
        </w:rPr>
        <w:t>适于再生模式开发的既有资源总和，</w:t>
      </w:r>
      <w:r>
        <w:rPr>
          <w:rFonts w:hint="eastAsia" w:ascii="Times New Roman" w:hAnsi="Times New Roman" w:cs="Times New Roman"/>
        </w:rPr>
        <w:t>对厂区既有资源可利用性综合评价的过程。</w:t>
      </w:r>
    </w:p>
    <w:p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2.0.5</w:t>
      </w:r>
      <w:r>
        <w:rPr>
          <w:rFonts w:ascii="Times New Roman" w:hAnsi="Times New Roman" w:cs="Times New Roman"/>
        </w:rPr>
        <w:t xml:space="preserve">  </w:t>
      </w:r>
      <w:r>
        <w:rPr>
          <w:rFonts w:hint="eastAsia" w:ascii="Times New Roman" w:hAnsi="Times New Roman" w:cs="Times New Roman"/>
        </w:rPr>
        <w:t>空间设计评价</w:t>
      </w:r>
      <w:r>
        <w:rPr>
          <w:rFonts w:ascii="Times New Roman" w:hAnsi="Times New Roman" w:cs="Times New Roman"/>
        </w:rPr>
        <w:t xml:space="preserve">  </w:t>
      </w:r>
      <w:r>
        <w:rPr>
          <w:rFonts w:hint="eastAsia" w:ascii="Times New Roman" w:hAnsi="Times New Roman" w:cs="Times New Roman"/>
        </w:rPr>
        <w:t>assessment</w:t>
      </w:r>
      <w:r>
        <w:rPr>
          <w:rFonts w:ascii="Times New Roman" w:hAnsi="Times New Roman" w:cs="Times New Roman"/>
        </w:rPr>
        <w:t xml:space="preserve"> of </w:t>
      </w:r>
      <w:r>
        <w:rPr>
          <w:rFonts w:hint="eastAsia" w:ascii="Times New Roman" w:hAnsi="Times New Roman" w:cs="Times New Roman"/>
        </w:rPr>
        <w:t>plant</w:t>
      </w:r>
      <w:r>
        <w:rPr>
          <w:rFonts w:ascii="Times New Roman" w:hAnsi="Times New Roman" w:cs="Times New Roman"/>
        </w:rPr>
        <w:t xml:space="preserve"> space design</w:t>
      </w:r>
    </w:p>
    <w:p>
      <w:pPr>
        <w:ind w:firstLine="420" w:firstLineChars="200"/>
        <w:rPr>
          <w:rFonts w:ascii="Times New Roman" w:hAnsi="Times New Roman" w:cs="Times New Roman"/>
          <w:szCs w:val="21"/>
        </w:rPr>
      </w:pPr>
      <w:r>
        <w:rPr>
          <w:rFonts w:hint="eastAsia" w:ascii="Times New Roman" w:hAnsi="Times New Roman" w:cs="Times New Roman"/>
          <w:szCs w:val="21"/>
        </w:rPr>
        <w:t>根据再生模式定位与旧工业厂区实际，分析旧工业厂区空间设计的合理性，对功能布局系统性、空间组织高效性及区域空间协调性综合评价的过程。</w:t>
      </w:r>
    </w:p>
    <w:p>
      <w:pPr>
        <w:ind w:firstLine="600" w:firstLineChars="200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kern w:val="44"/>
          <w:sz w:val="30"/>
          <w:szCs w:val="30"/>
        </w:rPr>
        <w:br w:type="page"/>
      </w:r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cs="Times New Roman"/>
          <w:b/>
          <w:kern w:val="44"/>
          <w:sz w:val="30"/>
          <w:szCs w:val="24"/>
        </w:rPr>
      </w:pPr>
      <w:bookmarkStart w:id="55" w:name="_Toc3546949"/>
      <w:bookmarkStart w:id="56" w:name="_Toc3550175"/>
      <w:bookmarkStart w:id="57" w:name="_Toc62762804"/>
      <w:bookmarkStart w:id="58" w:name="_Toc525330784"/>
      <w:bookmarkStart w:id="59" w:name="_Toc10207"/>
      <w:bookmarkStart w:id="60" w:name="_Toc3550037"/>
      <w:r>
        <w:rPr>
          <w:rFonts w:ascii="Times New Roman" w:hAnsi="Times New Roman" w:cs="Times New Roman"/>
          <w:b/>
          <w:kern w:val="44"/>
          <w:sz w:val="30"/>
          <w:szCs w:val="24"/>
        </w:rPr>
        <w:t>3 基本规定</w:t>
      </w:r>
      <w:bookmarkEnd w:id="55"/>
      <w:bookmarkEnd w:id="56"/>
      <w:bookmarkEnd w:id="57"/>
      <w:bookmarkEnd w:id="58"/>
      <w:bookmarkEnd w:id="59"/>
      <w:bookmarkEnd w:id="60"/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szCs w:val="24"/>
        </w:rPr>
        <w:t xml:space="preserve">3.0.1  </w:t>
      </w:r>
      <w:r>
        <w:rPr>
          <w:rFonts w:ascii="Times New Roman" w:hAnsi="Times New Roman" w:cs="Times New Roman"/>
          <w:szCs w:val="21"/>
        </w:rPr>
        <w:t>旧工业厂区空间开发适宜性评价应在项目立项决策之前有序开展。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szCs w:val="24"/>
        </w:rPr>
        <w:t xml:space="preserve">3.0.2  </w:t>
      </w:r>
      <w:r>
        <w:rPr>
          <w:rFonts w:ascii="Times New Roman" w:hAnsi="Times New Roman" w:cs="Times New Roman"/>
          <w:szCs w:val="21"/>
        </w:rPr>
        <w:t>旧工业厂区空间开发适宜性评价指标体系由环境安全、区位</w:t>
      </w:r>
      <w:r>
        <w:rPr>
          <w:rFonts w:hint="eastAsia" w:ascii="Times New Roman" w:hAnsi="Times New Roman" w:cs="Times New Roman"/>
          <w:szCs w:val="21"/>
        </w:rPr>
        <w:t>基础</w:t>
      </w:r>
      <w:r>
        <w:rPr>
          <w:rFonts w:ascii="Times New Roman" w:hAnsi="Times New Roman" w:cs="Times New Roman"/>
          <w:szCs w:val="21"/>
        </w:rPr>
        <w:t>、资源</w:t>
      </w:r>
      <w:r>
        <w:rPr>
          <w:rFonts w:hint="eastAsia" w:ascii="Times New Roman" w:hAnsi="Times New Roman" w:cs="Times New Roman"/>
          <w:szCs w:val="21"/>
        </w:rPr>
        <w:t>潜</w:t>
      </w:r>
      <w:r>
        <w:rPr>
          <w:rFonts w:ascii="Times New Roman" w:hAnsi="Times New Roman" w:cs="Times New Roman"/>
          <w:szCs w:val="21"/>
        </w:rPr>
        <w:t>力、空间设计4个分项组成，每个分项均为评分项。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szCs w:val="24"/>
        </w:rPr>
        <w:t xml:space="preserve">3.0.3  </w:t>
      </w:r>
      <w:r>
        <w:rPr>
          <w:rFonts w:ascii="Times New Roman" w:hAnsi="Times New Roman" w:cs="Times New Roman"/>
          <w:szCs w:val="21"/>
        </w:rPr>
        <w:t>旧工业厂区空间开发适宜性评价各单项指标应结合</w:t>
      </w:r>
      <w:r>
        <w:rPr>
          <w:rFonts w:hint="eastAsia" w:ascii="Times New Roman" w:hAnsi="Times New Roman" w:cs="Times New Roman"/>
          <w:szCs w:val="21"/>
        </w:rPr>
        <w:t>再生模式定位、厂区实际及空间设计方案</w:t>
      </w:r>
      <w:r>
        <w:rPr>
          <w:rFonts w:ascii="Times New Roman" w:hAnsi="Times New Roman" w:cs="Times New Roman"/>
          <w:szCs w:val="21"/>
        </w:rPr>
        <w:t>，采用</w:t>
      </w:r>
      <w:r>
        <w:rPr>
          <w:rFonts w:hint="eastAsia" w:ascii="Times New Roman" w:hAnsi="Times New Roman" w:cs="Times New Roman"/>
          <w:szCs w:val="21"/>
        </w:rPr>
        <w:t>直接</w:t>
      </w:r>
      <w:r>
        <w:rPr>
          <w:rFonts w:ascii="Times New Roman" w:hAnsi="Times New Roman" w:cs="Times New Roman"/>
          <w:szCs w:val="21"/>
        </w:rPr>
        <w:t>打分法给出分值。</w:t>
      </w:r>
    </w:p>
    <w:p>
      <w:pPr>
        <w:spacing w:line="330" w:lineRule="exact"/>
        <w:rPr>
          <w:rFonts w:ascii="Times New Roman" w:hAnsi="Times New Roman" w:cs="Times New Roman"/>
          <w:bCs/>
          <w:szCs w:val="21"/>
        </w:rPr>
      </w:pPr>
      <w:r>
        <w:rPr>
          <w:rFonts w:ascii="Times New Roman" w:hAnsi="Times New Roman" w:cs="Times New Roman"/>
          <w:b/>
          <w:szCs w:val="24"/>
        </w:rPr>
        <w:t>3.0.4</w:t>
      </w:r>
      <w:r>
        <w:rPr>
          <w:rFonts w:ascii="Times New Roman" w:hAnsi="Times New Roman" w:cs="Times New Roman"/>
          <w:szCs w:val="24"/>
        </w:rPr>
        <w:t xml:space="preserve">  </w:t>
      </w:r>
      <w:r>
        <w:rPr>
          <w:rFonts w:ascii="Times New Roman" w:hAnsi="Times New Roman" w:cs="Times New Roman"/>
          <w:szCs w:val="21"/>
        </w:rPr>
        <w:t>旧工业厂区空间开发适宜性</w:t>
      </w:r>
      <w:r>
        <w:rPr>
          <w:rFonts w:hint="eastAsia" w:ascii="Times New Roman" w:hAnsi="Times New Roman" w:cs="Times New Roman"/>
          <w:szCs w:val="21"/>
        </w:rPr>
        <w:t>评价结果</w:t>
      </w:r>
      <w:r>
        <w:rPr>
          <w:rFonts w:ascii="Times New Roman" w:hAnsi="Times New Roman" w:cs="Times New Roman"/>
          <w:szCs w:val="21"/>
        </w:rPr>
        <w:t>用分值表示，按总得分A确定评</w:t>
      </w:r>
      <w:r>
        <w:rPr>
          <w:rFonts w:hint="eastAsia" w:ascii="Times New Roman" w:hAnsi="Times New Roman" w:cs="Times New Roman"/>
          <w:szCs w:val="21"/>
        </w:rPr>
        <w:t>价</w:t>
      </w:r>
      <w:r>
        <w:rPr>
          <w:rFonts w:ascii="Times New Roman" w:hAnsi="Times New Roman" w:cs="Times New Roman"/>
          <w:szCs w:val="21"/>
        </w:rPr>
        <w:t>结果</w:t>
      </w:r>
      <w:r>
        <w:rPr>
          <w:rFonts w:hint="eastAsia" w:ascii="Times New Roman" w:hAnsi="Times New Roman" w:cs="Times New Roman"/>
          <w:szCs w:val="21"/>
        </w:rPr>
        <w:t>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szCs w:val="24"/>
        </w:rPr>
        <w:t xml:space="preserve">3.0.5  </w:t>
      </w:r>
      <w:r>
        <w:rPr>
          <w:rFonts w:ascii="Times New Roman" w:hAnsi="Times New Roman" w:cs="Times New Roman"/>
          <w:szCs w:val="21"/>
        </w:rPr>
        <w:t>旧工业厂区空间开发适宜性评价的总得分A按式（3.0.5）进行计算。</w:t>
      </w:r>
    </w:p>
    <w:p>
      <w:pPr>
        <w:spacing w:line="330" w:lineRule="exact"/>
        <w:ind w:firstLine="1260" w:firstLineChars="600"/>
        <w:rPr>
          <w:rFonts w:ascii="Times New Roman" w:hAnsi="Times New Roman" w:cs="Times New Roman"/>
          <w:szCs w:val="21"/>
          <w:vertAlign w:val="subscript"/>
        </w:rPr>
      </w:pPr>
      <w:r>
        <w:rPr>
          <w:rFonts w:ascii="Times New Roman" w:hAnsi="Times New Roman" w:cs="Times New Roman"/>
          <w:szCs w:val="21"/>
        </w:rPr>
        <w:t>A=</w:t>
      </w:r>
      <w:r>
        <w:rPr>
          <w:rFonts w:ascii="Times New Roman" w:hAnsi="Times New Roman" w:cs="Times New Roman"/>
          <w:bCs/>
          <w:szCs w:val="21"/>
        </w:rPr>
        <w:sym w:font="UniversalMath1 BT" w:char="F076"/>
      </w:r>
      <w:r>
        <w:rPr>
          <w:rFonts w:ascii="Times New Roman" w:hAnsi="Times New Roman" w:cs="Times New Roman"/>
          <w:bCs/>
          <w:szCs w:val="21"/>
          <w:vertAlign w:val="subscript"/>
        </w:rPr>
        <w:t>1</w:t>
      </w:r>
      <w:r>
        <w:rPr>
          <w:rFonts w:ascii="Times New Roman" w:hAnsi="Times New Roman" w:cs="Times New Roman"/>
          <w:szCs w:val="21"/>
        </w:rPr>
        <w:t xml:space="preserve"> A</w:t>
      </w:r>
      <w:r>
        <w:rPr>
          <w:rFonts w:ascii="Times New Roman" w:hAnsi="Times New Roman" w:cs="Times New Roman"/>
          <w:szCs w:val="21"/>
          <w:vertAlign w:val="subscript"/>
        </w:rPr>
        <w:t>1+</w:t>
      </w:r>
      <w:r>
        <w:rPr>
          <w:rFonts w:ascii="Times New Roman" w:hAnsi="Times New Roman" w:cs="Times New Roman"/>
          <w:szCs w:val="21"/>
        </w:rPr>
        <w:sym w:font="UniversalMath1 BT" w:char="F076"/>
      </w:r>
      <w:r>
        <w:rPr>
          <w:rFonts w:ascii="Times New Roman" w:hAnsi="Times New Roman" w:cs="Times New Roman"/>
          <w:szCs w:val="21"/>
          <w:vertAlign w:val="subscript"/>
        </w:rPr>
        <w:t>2</w:t>
      </w:r>
      <w:r>
        <w:rPr>
          <w:rFonts w:ascii="Times New Roman" w:hAnsi="Times New Roman" w:cs="Times New Roman"/>
          <w:szCs w:val="21"/>
        </w:rPr>
        <w:t xml:space="preserve"> A</w:t>
      </w:r>
      <w:r>
        <w:rPr>
          <w:rFonts w:ascii="Times New Roman" w:hAnsi="Times New Roman" w:cs="Times New Roman"/>
          <w:szCs w:val="21"/>
          <w:vertAlign w:val="subscript"/>
        </w:rPr>
        <w:t>2</w:t>
      </w:r>
      <w:r>
        <w:rPr>
          <w:rFonts w:ascii="Times New Roman" w:hAnsi="Times New Roman" w:cs="Times New Roman"/>
          <w:szCs w:val="21"/>
        </w:rPr>
        <w:t>+</w:t>
      </w:r>
      <w:r>
        <w:rPr>
          <w:rFonts w:ascii="Times New Roman" w:hAnsi="Times New Roman" w:cs="Times New Roman"/>
          <w:szCs w:val="21"/>
        </w:rPr>
        <w:sym w:font="UniversalMath1 BT" w:char="F076"/>
      </w:r>
      <w:r>
        <w:rPr>
          <w:rFonts w:ascii="Times New Roman" w:hAnsi="Times New Roman" w:cs="Times New Roman"/>
          <w:szCs w:val="21"/>
          <w:vertAlign w:val="subscript"/>
        </w:rPr>
        <w:t>3</w:t>
      </w:r>
      <w:r>
        <w:rPr>
          <w:rFonts w:ascii="Times New Roman" w:hAnsi="Times New Roman" w:cs="Times New Roman"/>
          <w:szCs w:val="21"/>
        </w:rPr>
        <w:t xml:space="preserve"> A</w:t>
      </w:r>
      <w:r>
        <w:rPr>
          <w:rFonts w:ascii="Times New Roman" w:hAnsi="Times New Roman" w:cs="Times New Roman"/>
          <w:szCs w:val="21"/>
          <w:vertAlign w:val="subscript"/>
        </w:rPr>
        <w:t>3</w:t>
      </w:r>
      <w:r>
        <w:rPr>
          <w:rFonts w:ascii="Times New Roman" w:hAnsi="Times New Roman" w:cs="Times New Roman"/>
          <w:szCs w:val="21"/>
        </w:rPr>
        <w:t>+</w:t>
      </w:r>
      <w:r>
        <w:rPr>
          <w:rFonts w:ascii="Times New Roman" w:hAnsi="Times New Roman" w:cs="Times New Roman"/>
          <w:szCs w:val="21"/>
        </w:rPr>
        <w:sym w:font="UniversalMath1 BT" w:char="F076"/>
      </w:r>
      <w:r>
        <w:rPr>
          <w:rFonts w:ascii="Times New Roman" w:hAnsi="Times New Roman" w:cs="Times New Roman"/>
          <w:szCs w:val="21"/>
          <w:vertAlign w:val="subscript"/>
        </w:rPr>
        <w:t>4</w:t>
      </w:r>
      <w:r>
        <w:rPr>
          <w:rFonts w:ascii="Times New Roman" w:hAnsi="Times New Roman" w:cs="Times New Roman"/>
          <w:szCs w:val="21"/>
        </w:rPr>
        <w:t xml:space="preserve"> A</w:t>
      </w:r>
      <w:r>
        <w:rPr>
          <w:rFonts w:ascii="Times New Roman" w:hAnsi="Times New Roman" w:cs="Times New Roman"/>
          <w:szCs w:val="21"/>
          <w:vertAlign w:val="subscript"/>
        </w:rPr>
        <w:t xml:space="preserve">4 </w:t>
      </w:r>
      <w:r>
        <w:rPr>
          <w:rFonts w:ascii="Times New Roman" w:hAnsi="Times New Roman" w:cs="Times New Roman"/>
          <w:szCs w:val="21"/>
        </w:rPr>
        <w:t xml:space="preserve">               （3.0.5）</w:t>
      </w:r>
    </w:p>
    <w:p>
      <w:pPr>
        <w:spacing w:line="330" w:lineRule="exact"/>
        <w:ind w:firstLine="630" w:firstLineChars="300"/>
        <w:jc w:val="left"/>
        <w:rPr>
          <w:rFonts w:ascii="Times New Roman" w:hAnsi="Times New Roman" w:cs="Times New Roman"/>
          <w:bCs/>
          <w:szCs w:val="21"/>
        </w:rPr>
      </w:pPr>
      <w:r>
        <w:rPr>
          <w:rFonts w:ascii="Times New Roman" w:hAnsi="Times New Roman" w:cs="Times New Roman"/>
          <w:bCs/>
          <w:szCs w:val="21"/>
        </w:rPr>
        <w:t>式中，A——旧工业厂区空间开发适宜性评价的总得分；</w:t>
      </w:r>
    </w:p>
    <w:p>
      <w:pPr>
        <w:spacing w:line="330" w:lineRule="exact"/>
        <w:ind w:left="3150" w:leftChars="600" w:hanging="1890" w:hangingChars="900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Cs/>
          <w:szCs w:val="21"/>
        </w:rPr>
        <w:sym w:font="UniversalMath1 BT" w:char="F076"/>
      </w:r>
      <w:r>
        <w:rPr>
          <w:rFonts w:ascii="Times New Roman" w:hAnsi="Times New Roman" w:cs="Times New Roman"/>
          <w:bCs/>
          <w:szCs w:val="21"/>
          <w:vertAlign w:val="subscript"/>
        </w:rPr>
        <w:t>1</w:t>
      </w:r>
      <w:r>
        <w:rPr>
          <w:rFonts w:ascii="Times New Roman" w:hAnsi="Times New Roman" w:cs="Times New Roman"/>
          <w:bCs/>
          <w:szCs w:val="21"/>
        </w:rPr>
        <w:t>、</w:t>
      </w:r>
      <w:r>
        <w:rPr>
          <w:rFonts w:ascii="Times New Roman" w:hAnsi="Times New Roman" w:cs="Times New Roman"/>
          <w:bCs/>
          <w:szCs w:val="21"/>
        </w:rPr>
        <w:sym w:font="UniversalMath1 BT" w:char="F076"/>
      </w:r>
      <w:r>
        <w:rPr>
          <w:rFonts w:ascii="Times New Roman" w:hAnsi="Times New Roman" w:cs="Times New Roman"/>
          <w:bCs/>
          <w:szCs w:val="21"/>
          <w:vertAlign w:val="subscript"/>
        </w:rPr>
        <w:t>2</w:t>
      </w:r>
      <w:r>
        <w:rPr>
          <w:rFonts w:ascii="Times New Roman" w:hAnsi="Times New Roman" w:cs="Times New Roman"/>
          <w:bCs/>
          <w:szCs w:val="21"/>
        </w:rPr>
        <w:t>、</w:t>
      </w:r>
      <w:r>
        <w:rPr>
          <w:rFonts w:ascii="Times New Roman" w:hAnsi="Times New Roman" w:cs="Times New Roman"/>
          <w:szCs w:val="21"/>
        </w:rPr>
        <w:sym w:font="UniversalMath1 BT" w:char="F076"/>
      </w:r>
      <w:r>
        <w:rPr>
          <w:rFonts w:ascii="Times New Roman" w:hAnsi="Times New Roman" w:cs="Times New Roman"/>
          <w:szCs w:val="21"/>
          <w:vertAlign w:val="subscript"/>
        </w:rPr>
        <w:t>3</w:t>
      </w:r>
      <w:r>
        <w:rPr>
          <w:rFonts w:ascii="Times New Roman" w:hAnsi="Times New Roman" w:cs="Times New Roman"/>
          <w:szCs w:val="21"/>
        </w:rPr>
        <w:t>、</w:t>
      </w:r>
      <w:r>
        <w:rPr>
          <w:rFonts w:ascii="Times New Roman" w:hAnsi="Times New Roman" w:cs="Times New Roman"/>
          <w:szCs w:val="21"/>
        </w:rPr>
        <w:sym w:font="UniversalMath1 BT" w:char="F076"/>
      </w:r>
      <w:r>
        <w:rPr>
          <w:rFonts w:ascii="Times New Roman" w:hAnsi="Times New Roman" w:cs="Times New Roman"/>
          <w:szCs w:val="21"/>
          <w:vertAlign w:val="subscript"/>
        </w:rPr>
        <w:t>4</w:t>
      </w:r>
      <w:r>
        <w:rPr>
          <w:rFonts w:ascii="Times New Roman" w:hAnsi="Times New Roman" w:cs="Times New Roman"/>
          <w:szCs w:val="21"/>
        </w:rPr>
        <w:t>——分项指标权重值，</w:t>
      </w:r>
      <w:r>
        <w:rPr>
          <w:rFonts w:hint="eastAsia" w:ascii="Times New Roman" w:hAnsi="Times New Roman" w:cs="Times New Roman"/>
          <w:szCs w:val="21"/>
        </w:rPr>
        <w:t>相应</w:t>
      </w:r>
      <w:r>
        <w:rPr>
          <w:rFonts w:ascii="Times New Roman" w:hAnsi="Times New Roman" w:cs="Times New Roman"/>
          <w:szCs w:val="21"/>
        </w:rPr>
        <w:t>取值</w:t>
      </w:r>
      <w:r>
        <w:rPr>
          <w:rFonts w:hint="eastAsia" w:ascii="Times New Roman" w:hAnsi="Times New Roman" w:cs="Times New Roman"/>
          <w:szCs w:val="21"/>
        </w:rPr>
        <w:t>应</w:t>
      </w:r>
      <w:r>
        <w:rPr>
          <w:rFonts w:ascii="Times New Roman" w:hAnsi="Times New Roman" w:cs="Times New Roman"/>
          <w:szCs w:val="21"/>
        </w:rPr>
        <w:t>符合表3.0.5的规定；</w:t>
      </w:r>
    </w:p>
    <w:p>
      <w:pPr>
        <w:spacing w:line="330" w:lineRule="exact"/>
        <w:ind w:firstLine="1260" w:firstLineChars="60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Cs w:val="21"/>
        </w:rPr>
        <w:t>A</w:t>
      </w:r>
      <w:r>
        <w:rPr>
          <w:rFonts w:ascii="Times New Roman" w:hAnsi="Times New Roman" w:cs="Times New Roman"/>
          <w:szCs w:val="21"/>
          <w:vertAlign w:val="subscript"/>
        </w:rPr>
        <w:t>1</w:t>
      </w:r>
      <w:r>
        <w:rPr>
          <w:rFonts w:ascii="Times New Roman" w:hAnsi="Times New Roman" w:cs="Times New Roman"/>
          <w:bCs/>
          <w:szCs w:val="21"/>
        </w:rPr>
        <w:t>、A</w:t>
      </w:r>
      <w:r>
        <w:rPr>
          <w:rFonts w:ascii="Times New Roman" w:hAnsi="Times New Roman" w:cs="Times New Roman"/>
          <w:bCs/>
          <w:szCs w:val="21"/>
          <w:vertAlign w:val="subscript"/>
        </w:rPr>
        <w:t>2</w:t>
      </w:r>
      <w:r>
        <w:rPr>
          <w:rFonts w:ascii="Times New Roman" w:hAnsi="Times New Roman" w:cs="Times New Roman"/>
          <w:bCs/>
          <w:szCs w:val="21"/>
        </w:rPr>
        <w:t>、A</w:t>
      </w:r>
      <w:r>
        <w:rPr>
          <w:rFonts w:ascii="Times New Roman" w:hAnsi="Times New Roman" w:cs="Times New Roman"/>
          <w:bCs/>
          <w:szCs w:val="21"/>
          <w:vertAlign w:val="subscript"/>
        </w:rPr>
        <w:t>3</w:t>
      </w:r>
      <w:r>
        <w:rPr>
          <w:rFonts w:ascii="Times New Roman" w:hAnsi="Times New Roman" w:cs="Times New Roman"/>
          <w:bCs/>
          <w:szCs w:val="21"/>
        </w:rPr>
        <w:t>、A</w:t>
      </w:r>
      <w:r>
        <w:rPr>
          <w:rFonts w:ascii="Times New Roman" w:hAnsi="Times New Roman" w:cs="Times New Roman"/>
          <w:bCs/>
          <w:szCs w:val="21"/>
          <w:vertAlign w:val="subscript"/>
        </w:rPr>
        <w:t>4</w:t>
      </w:r>
      <w:r>
        <w:rPr>
          <w:rFonts w:ascii="Times New Roman" w:hAnsi="Times New Roman" w:cs="Times New Roman"/>
          <w:bCs/>
          <w:szCs w:val="21"/>
        </w:rPr>
        <w:t>——</w:t>
      </w:r>
      <w:r>
        <w:rPr>
          <w:rFonts w:ascii="Times New Roman" w:hAnsi="Times New Roman" w:cs="Times New Roman"/>
          <w:szCs w:val="21"/>
        </w:rPr>
        <w:t>分项指标得分值。</w:t>
      </w:r>
    </w:p>
    <w:p>
      <w:pPr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表3.0.5 旧工业厂区空间开发适宜性评价指标权重</w:t>
      </w:r>
    </w:p>
    <w:tbl>
      <w:tblPr>
        <w:tblStyle w:val="2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0"/>
        <w:gridCol w:w="928"/>
        <w:gridCol w:w="956"/>
        <w:gridCol w:w="857"/>
        <w:gridCol w:w="11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50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评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价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指标</w:t>
            </w:r>
          </w:p>
        </w:tc>
        <w:tc>
          <w:tcPr>
            <w:tcW w:w="928" w:type="dxa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环境</w:t>
            </w:r>
          </w:p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安全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sym w:font="UniversalMath1 BT" w:char="F076"/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</w:rPr>
              <w:t>1</w:t>
            </w:r>
          </w:p>
        </w:tc>
        <w:tc>
          <w:tcPr>
            <w:tcW w:w="956" w:type="dxa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区位</w:t>
            </w:r>
          </w:p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bCs/>
                <w:sz w:val="18"/>
                <w:szCs w:val="18"/>
              </w:rPr>
              <w:t>基础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sym w:font="UniversalMath1 BT" w:char="F076"/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857" w:type="dxa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资源</w:t>
            </w:r>
          </w:p>
          <w:p>
            <w:pPr>
              <w:spacing w:line="33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bCs/>
                <w:sz w:val="18"/>
                <w:szCs w:val="18"/>
              </w:rPr>
              <w:t>潜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力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sym w:font="UniversalMath1 BT" w:char="F076"/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1168" w:type="dxa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空间</w:t>
            </w:r>
          </w:p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设计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sym w:font="UniversalMath1 BT" w:char="F076"/>
            </w:r>
            <w:r>
              <w:rPr>
                <w:rFonts w:ascii="Times New Roman" w:hAnsi="Times New Roman" w:cs="Times New Roman"/>
                <w:bCs/>
                <w:sz w:val="18"/>
                <w:szCs w:val="18"/>
                <w:vertAlign w:val="subscript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0" w:type="dxa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旧工业厂区再生利用项目</w:t>
            </w:r>
          </w:p>
        </w:tc>
        <w:tc>
          <w:tcPr>
            <w:tcW w:w="928" w:type="dxa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0.3</w:t>
            </w:r>
          </w:p>
        </w:tc>
        <w:tc>
          <w:tcPr>
            <w:tcW w:w="956" w:type="dxa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0.2</w:t>
            </w:r>
          </w:p>
        </w:tc>
        <w:tc>
          <w:tcPr>
            <w:tcW w:w="857" w:type="dxa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0.2</w:t>
            </w:r>
          </w:p>
        </w:tc>
        <w:tc>
          <w:tcPr>
            <w:tcW w:w="1168" w:type="dxa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0.3</w:t>
            </w:r>
          </w:p>
        </w:tc>
      </w:tr>
    </w:tbl>
    <w:p>
      <w:pPr>
        <w:spacing w:line="330" w:lineRule="exact"/>
        <w:rPr>
          <w:rFonts w:ascii="Times New Roman" w:hAnsi="Times New Roman" w:cs="Times New Roman"/>
          <w:bCs/>
          <w:szCs w:val="24"/>
        </w:rPr>
      </w:pPr>
    </w:p>
    <w:p>
      <w:pPr>
        <w:spacing w:line="330" w:lineRule="exact"/>
        <w:rPr>
          <w:rFonts w:ascii="Times New Roman" w:hAnsi="Times New Roman" w:cs="Times New Roman"/>
          <w:bCs/>
          <w:szCs w:val="24"/>
        </w:rPr>
      </w:pP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Cs/>
          <w:szCs w:val="24"/>
        </w:rPr>
        <w:br w:type="page"/>
      </w:r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cs="Times New Roman"/>
          <w:b/>
          <w:bCs/>
          <w:kern w:val="44"/>
          <w:sz w:val="30"/>
          <w:szCs w:val="30"/>
        </w:rPr>
      </w:pPr>
      <w:bookmarkStart w:id="61" w:name="_Toc62762805"/>
      <w:r>
        <w:rPr>
          <w:rFonts w:ascii="Times New Roman" w:hAnsi="Times New Roman" w:cs="Times New Roman"/>
          <w:b/>
          <w:bCs/>
          <w:kern w:val="44"/>
          <w:sz w:val="30"/>
          <w:szCs w:val="30"/>
        </w:rPr>
        <w:t>4 环境安全评价</w:t>
      </w:r>
      <w:bookmarkEnd w:id="61"/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bookmarkStart w:id="62" w:name="_Toc3546951"/>
      <w:bookmarkEnd w:id="62"/>
      <w:bookmarkStart w:id="63" w:name="_Toc3550177"/>
      <w:bookmarkEnd w:id="63"/>
      <w:bookmarkStart w:id="64" w:name="_Toc525330786"/>
      <w:bookmarkEnd w:id="64"/>
      <w:bookmarkStart w:id="65" w:name="_Toc29362"/>
      <w:bookmarkEnd w:id="65"/>
      <w:bookmarkStart w:id="66" w:name="_Toc3550039"/>
      <w:bookmarkEnd w:id="66"/>
      <w:bookmarkStart w:id="67" w:name="_Toc32741_WPSOffice_Level1"/>
      <w:bookmarkEnd w:id="67"/>
      <w:bookmarkStart w:id="68" w:name="_Toc62762806"/>
      <w:bookmarkStart w:id="69" w:name="_Toc24425"/>
      <w:r>
        <w:rPr>
          <w:rFonts w:ascii="Times New Roman" w:hAnsi="Times New Roman" w:cs="Times New Roman"/>
          <w:b/>
          <w:bCs/>
          <w:sz w:val="24"/>
          <w:szCs w:val="24"/>
        </w:rPr>
        <w:t>4.1 一般规定</w:t>
      </w:r>
      <w:bookmarkEnd w:id="68"/>
      <w:bookmarkEnd w:id="69"/>
    </w:p>
    <w:p>
      <w:pPr>
        <w:rPr>
          <w:rFonts w:ascii="Times New Roman" w:hAnsi="Times New Roman" w:cs="Times New Roman"/>
          <w:szCs w:val="21"/>
        </w:rPr>
      </w:pPr>
      <w:bookmarkStart w:id="70" w:name="_Hlk521071133"/>
      <w:bookmarkEnd w:id="70"/>
      <w:r>
        <w:rPr>
          <w:rFonts w:ascii="Times New Roman" w:hAnsi="Times New Roman" w:cs="Times New Roman"/>
          <w:b/>
          <w:bCs/>
          <w:szCs w:val="21"/>
        </w:rPr>
        <w:t xml:space="preserve">4.1.1  </w:t>
      </w:r>
      <w:r>
        <w:rPr>
          <w:rFonts w:ascii="Times New Roman" w:hAnsi="Times New Roman" w:cs="Times New Roman"/>
          <w:szCs w:val="21"/>
        </w:rPr>
        <w:t>环境安全评价应遵循安全第一、科学</w:t>
      </w:r>
      <w:r>
        <w:rPr>
          <w:rFonts w:hint="eastAsia" w:ascii="Times New Roman" w:hAnsi="Times New Roman" w:cs="Times New Roman"/>
          <w:szCs w:val="21"/>
        </w:rPr>
        <w:t>治理</w:t>
      </w:r>
      <w:r>
        <w:rPr>
          <w:rFonts w:ascii="Times New Roman" w:hAnsi="Times New Roman" w:cs="Times New Roman"/>
          <w:szCs w:val="21"/>
        </w:rPr>
        <w:t>、绿色生态、经济合理的原则，包括对旧工业厂区地上及地下既有环境的综合评价。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4.1.2  </w:t>
      </w:r>
      <w:bookmarkStart w:id="71" w:name="_Hlk521397812"/>
      <w:bookmarkEnd w:id="71"/>
      <w:r>
        <w:rPr>
          <w:rFonts w:ascii="Times New Roman" w:hAnsi="Times New Roman" w:cs="Times New Roman"/>
          <w:szCs w:val="21"/>
        </w:rPr>
        <w:t>环境安全评价内容应</w:t>
      </w:r>
      <w:r>
        <w:rPr>
          <w:rFonts w:hint="eastAsia" w:ascii="Times New Roman" w:hAnsi="Times New Roman" w:cs="Times New Roman"/>
          <w:szCs w:val="21"/>
        </w:rPr>
        <w:t>结合厂区</w:t>
      </w:r>
      <w:r>
        <w:rPr>
          <w:rFonts w:ascii="Times New Roman" w:hAnsi="Times New Roman" w:cs="Times New Roman"/>
          <w:szCs w:val="21"/>
        </w:rPr>
        <w:t>既有环境</w:t>
      </w:r>
      <w:r>
        <w:rPr>
          <w:rFonts w:hint="eastAsia" w:ascii="Times New Roman" w:hAnsi="Times New Roman" w:cs="Times New Roman"/>
          <w:szCs w:val="21"/>
        </w:rPr>
        <w:t>状况综合</w:t>
      </w:r>
      <w:r>
        <w:rPr>
          <w:rFonts w:ascii="Times New Roman" w:hAnsi="Times New Roman" w:cs="Times New Roman"/>
          <w:szCs w:val="21"/>
        </w:rPr>
        <w:t>制定，并应符合现行标准《旧工业建筑绿色再生技术标准》T/CMCA 4006的规定。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4.1.3  </w:t>
      </w:r>
      <w:bookmarkStart w:id="72" w:name="_Hlk522088923"/>
      <w:bookmarkEnd w:id="72"/>
      <w:r>
        <w:rPr>
          <w:rFonts w:ascii="Times New Roman" w:hAnsi="Times New Roman" w:cs="Times New Roman"/>
          <w:szCs w:val="21"/>
        </w:rPr>
        <w:t>环境安全包括污染危害性和生态适宜性2个评价项目，总分</w:t>
      </w:r>
      <w:r>
        <w:rPr>
          <w:rFonts w:hint="eastAsia" w:ascii="Times New Roman" w:hAnsi="Times New Roman" w:cs="Times New Roman"/>
          <w:szCs w:val="21"/>
        </w:rPr>
        <w:t>值</w:t>
      </w:r>
      <w:r>
        <w:rPr>
          <w:rFonts w:ascii="Times New Roman" w:hAnsi="Times New Roman" w:cs="Times New Roman"/>
          <w:szCs w:val="21"/>
        </w:rPr>
        <w:t>为100分。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4.1.4</w:t>
      </w:r>
      <w:r>
        <w:rPr>
          <w:rFonts w:ascii="Times New Roman" w:hAnsi="Times New Roman" w:cs="Times New Roman"/>
          <w:szCs w:val="21"/>
        </w:rPr>
        <w:t xml:space="preserve">  环境安全评价结果分为四个等级，具体等级划分符合表4.1.4的规定。</w:t>
      </w:r>
    </w:p>
    <w:p>
      <w:pPr>
        <w:spacing w:line="330" w:lineRule="exact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表4.1.4 环境安全评价等级划分</w:t>
      </w:r>
    </w:p>
    <w:tbl>
      <w:tblPr>
        <w:tblStyle w:val="79"/>
        <w:tblW w:w="62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3"/>
        <w:gridCol w:w="2073"/>
        <w:gridCol w:w="20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等级</w:t>
            </w:r>
          </w:p>
        </w:tc>
        <w:tc>
          <w:tcPr>
            <w:tcW w:w="2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状况描述</w:t>
            </w:r>
          </w:p>
        </w:tc>
        <w:tc>
          <w:tcPr>
            <w:tcW w:w="2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一级</w:t>
            </w:r>
          </w:p>
        </w:tc>
        <w:tc>
          <w:tcPr>
            <w:tcW w:w="2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安全</w:t>
            </w:r>
          </w:p>
        </w:tc>
        <w:tc>
          <w:tcPr>
            <w:tcW w:w="2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[90，100]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二级</w:t>
            </w:r>
          </w:p>
        </w:tc>
        <w:tc>
          <w:tcPr>
            <w:tcW w:w="2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比较安全</w:t>
            </w:r>
          </w:p>
        </w:tc>
        <w:tc>
          <w:tcPr>
            <w:tcW w:w="2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[80，89]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三级</w:t>
            </w:r>
          </w:p>
        </w:tc>
        <w:tc>
          <w:tcPr>
            <w:tcW w:w="2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基本安全</w:t>
            </w:r>
          </w:p>
        </w:tc>
        <w:tc>
          <w:tcPr>
            <w:tcW w:w="2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[60，79]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  <w:jc w:val="center"/>
        </w:trPr>
        <w:tc>
          <w:tcPr>
            <w:tcW w:w="2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四级</w:t>
            </w:r>
          </w:p>
        </w:tc>
        <w:tc>
          <w:tcPr>
            <w:tcW w:w="2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不安全</w:t>
            </w:r>
          </w:p>
        </w:tc>
        <w:tc>
          <w:tcPr>
            <w:tcW w:w="2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&lt;60</w:t>
            </w:r>
          </w:p>
        </w:tc>
      </w:tr>
    </w:tbl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bookmarkStart w:id="73" w:name="_Toc3550040"/>
      <w:bookmarkEnd w:id="73"/>
      <w:bookmarkStart w:id="74" w:name="_Toc1198"/>
      <w:bookmarkEnd w:id="74"/>
      <w:bookmarkStart w:id="75" w:name="_Toc525330788"/>
      <w:bookmarkEnd w:id="75"/>
      <w:bookmarkStart w:id="76" w:name="_Toc23509_WPSOffice_Level1"/>
      <w:bookmarkEnd w:id="76"/>
      <w:bookmarkStart w:id="77" w:name="_Toc3546952"/>
      <w:bookmarkEnd w:id="77"/>
      <w:bookmarkStart w:id="78" w:name="_Toc525330787"/>
      <w:bookmarkEnd w:id="78"/>
      <w:bookmarkStart w:id="79" w:name="_Toc21131_WPSOffice_Level1"/>
      <w:bookmarkEnd w:id="79"/>
      <w:bookmarkStart w:id="80" w:name="_Toc1083"/>
      <w:bookmarkEnd w:id="80"/>
      <w:bookmarkStart w:id="81" w:name="_Toc3550178"/>
      <w:bookmarkEnd w:id="81"/>
      <w:bookmarkStart w:id="82" w:name="_Toc30153"/>
      <w:bookmarkStart w:id="83" w:name="_Toc62762807"/>
      <w:r>
        <w:rPr>
          <w:rFonts w:ascii="Times New Roman" w:hAnsi="Times New Roman" w:cs="Times New Roman"/>
          <w:b/>
          <w:bCs/>
          <w:sz w:val="24"/>
          <w:szCs w:val="24"/>
        </w:rPr>
        <w:t xml:space="preserve">4.2 </w:t>
      </w:r>
      <w:bookmarkEnd w:id="82"/>
      <w:r>
        <w:rPr>
          <w:rFonts w:ascii="Times New Roman" w:hAnsi="Times New Roman" w:cs="Times New Roman"/>
          <w:b/>
          <w:bCs/>
          <w:sz w:val="24"/>
          <w:szCs w:val="24"/>
        </w:rPr>
        <w:t>污染危害性评价</w:t>
      </w:r>
      <w:bookmarkEnd w:id="83"/>
    </w:p>
    <w:p>
      <w:pPr>
        <w:rPr>
          <w:rFonts w:ascii="Times New Roman" w:hAnsi="Times New Roman" w:cs="Times New Roman"/>
          <w:szCs w:val="21"/>
        </w:rPr>
      </w:pPr>
      <w:bookmarkStart w:id="84" w:name="_Hlk511326511"/>
      <w:bookmarkEnd w:id="84"/>
      <w:bookmarkStart w:id="85" w:name="_Toc5289_WPSOffice_Level2"/>
      <w:r>
        <w:rPr>
          <w:rFonts w:ascii="Times New Roman" w:hAnsi="Times New Roman" w:cs="Times New Roman"/>
          <w:b/>
          <w:bCs/>
          <w:szCs w:val="21"/>
        </w:rPr>
        <w:t xml:space="preserve">4.2.1  </w:t>
      </w:r>
      <w:bookmarkEnd w:id="85"/>
      <w:r>
        <w:rPr>
          <w:rFonts w:ascii="Times New Roman" w:hAnsi="Times New Roman" w:cs="Times New Roman"/>
          <w:szCs w:val="21"/>
        </w:rPr>
        <w:t>污染危害性评价是对旧工业厂区内空气、土壤、水体</w:t>
      </w:r>
      <w:r>
        <w:rPr>
          <w:rFonts w:hint="eastAsia" w:ascii="Times New Roman" w:hAnsi="Times New Roman" w:cs="Times New Roman"/>
          <w:szCs w:val="21"/>
        </w:rPr>
        <w:t>的</w:t>
      </w:r>
      <w:r>
        <w:rPr>
          <w:rFonts w:ascii="Times New Roman" w:hAnsi="Times New Roman" w:cs="Times New Roman"/>
          <w:szCs w:val="21"/>
        </w:rPr>
        <w:t>受污染程度及潜在危害</w:t>
      </w:r>
      <w:r>
        <w:rPr>
          <w:rFonts w:hint="eastAsia" w:ascii="Times New Roman" w:hAnsi="Times New Roman" w:cs="Times New Roman"/>
          <w:szCs w:val="21"/>
        </w:rPr>
        <w:t>性</w:t>
      </w:r>
      <w:r>
        <w:rPr>
          <w:rFonts w:ascii="Times New Roman" w:hAnsi="Times New Roman" w:cs="Times New Roman"/>
          <w:szCs w:val="21"/>
        </w:rPr>
        <w:t>的综合评价，总分值为75分。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bookmarkStart w:id="86" w:name="_Hlk522102972"/>
      <w:bookmarkEnd w:id="86"/>
      <w:bookmarkStart w:id="87" w:name="_Toc21131_WPSOffice_Level2"/>
      <w:r>
        <w:rPr>
          <w:rFonts w:ascii="Times New Roman" w:hAnsi="Times New Roman" w:cs="Times New Roman"/>
          <w:b/>
          <w:bCs/>
          <w:szCs w:val="21"/>
        </w:rPr>
        <w:t>4.2.2</w:t>
      </w:r>
      <w:bookmarkEnd w:id="87"/>
      <w:r>
        <w:rPr>
          <w:rFonts w:ascii="Times New Roman" w:hAnsi="Times New Roman" w:cs="Times New Roman"/>
          <w:b/>
          <w:bCs/>
          <w:szCs w:val="21"/>
        </w:rPr>
        <w:t xml:space="preserve">  </w:t>
      </w:r>
      <w:bookmarkStart w:id="88" w:name="_Toc23509_WPSOffice_Level2"/>
      <w:bookmarkEnd w:id="88"/>
      <w:bookmarkStart w:id="89" w:name="_Hlk522103497"/>
      <w:bookmarkEnd w:id="89"/>
      <w:bookmarkStart w:id="90" w:name="_Hlk521052011"/>
      <w:r>
        <w:rPr>
          <w:rFonts w:ascii="Times New Roman" w:hAnsi="Times New Roman" w:cs="Times New Roman"/>
          <w:szCs w:val="21"/>
        </w:rPr>
        <w:t>污染危害性评价结果分为四个等级，空气、土壤、水体</w:t>
      </w:r>
      <w:r>
        <w:rPr>
          <w:rFonts w:hint="eastAsia" w:ascii="Times New Roman" w:hAnsi="Times New Roman" w:cs="Times New Roman"/>
          <w:szCs w:val="21"/>
        </w:rPr>
        <w:t>污染危害性评价</w:t>
      </w:r>
      <w:r>
        <w:rPr>
          <w:rFonts w:ascii="Times New Roman" w:hAnsi="Times New Roman" w:cs="Times New Roman"/>
          <w:szCs w:val="21"/>
        </w:rPr>
        <w:t>具体等级划分</w:t>
      </w:r>
      <w:r>
        <w:rPr>
          <w:rFonts w:hint="eastAsia" w:ascii="Times New Roman" w:hAnsi="Times New Roman" w:cs="Times New Roman"/>
          <w:szCs w:val="21"/>
        </w:rPr>
        <w:t>应</w:t>
      </w:r>
      <w:r>
        <w:rPr>
          <w:rFonts w:ascii="Times New Roman" w:hAnsi="Times New Roman" w:cs="Times New Roman"/>
          <w:szCs w:val="21"/>
        </w:rPr>
        <w:t>符合表4.2.2的规定。</w:t>
      </w:r>
      <w:bookmarkEnd w:id="90"/>
    </w:p>
    <w:p>
      <w:pPr>
        <w:spacing w:line="330" w:lineRule="exact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</w:rPr>
      </w:pPr>
      <w:r>
        <w:rPr>
          <w:rFonts w:ascii="Times New Roman" w:hAnsi="Times New Roman" w:cs="Times New Roman"/>
          <w:b/>
          <w:bCs/>
          <w:color w:val="000000"/>
          <w:sz w:val="18"/>
          <w:szCs w:val="18"/>
        </w:rPr>
        <w:t>表4.2.2 污染危害性评价等级</w:t>
      </w:r>
    </w:p>
    <w:tbl>
      <w:tblPr>
        <w:tblStyle w:val="79"/>
        <w:tblW w:w="61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7"/>
        <w:gridCol w:w="3311"/>
        <w:gridCol w:w="16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等级</w:t>
            </w:r>
          </w:p>
        </w:tc>
        <w:tc>
          <w:tcPr>
            <w:tcW w:w="33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状况描述</w:t>
            </w:r>
          </w:p>
        </w:tc>
        <w:tc>
          <w:tcPr>
            <w:tcW w:w="16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一级</w:t>
            </w:r>
          </w:p>
        </w:tc>
        <w:tc>
          <w:tcPr>
            <w:tcW w:w="33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</w:rPr>
              <w:t>轻微污染或无污染</w:t>
            </w:r>
          </w:p>
        </w:tc>
        <w:tc>
          <w:tcPr>
            <w:tcW w:w="16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[22，25]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二级</w:t>
            </w:r>
          </w:p>
        </w:tc>
        <w:tc>
          <w:tcPr>
            <w:tcW w:w="33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受污染较轻</w:t>
            </w:r>
          </w:p>
        </w:tc>
        <w:tc>
          <w:tcPr>
            <w:tcW w:w="16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[18，21]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三级</w:t>
            </w:r>
          </w:p>
        </w:tc>
        <w:tc>
          <w:tcPr>
            <w:tcW w:w="33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受污染较重，但治理成本可接受</w:t>
            </w:r>
          </w:p>
        </w:tc>
        <w:tc>
          <w:tcPr>
            <w:tcW w:w="16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[15，17]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四级</w:t>
            </w:r>
          </w:p>
        </w:tc>
        <w:tc>
          <w:tcPr>
            <w:tcW w:w="33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受污染严重，治理成本不可接受</w:t>
            </w:r>
          </w:p>
        </w:tc>
        <w:tc>
          <w:tcPr>
            <w:tcW w:w="16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&lt;15</w:t>
            </w:r>
          </w:p>
        </w:tc>
      </w:tr>
    </w:tbl>
    <w:p>
      <w:pPr>
        <w:rPr>
          <w:rFonts w:ascii="Times New Roman" w:hAnsi="Times New Roman" w:cs="Times New Roman"/>
          <w:szCs w:val="21"/>
        </w:rPr>
      </w:pPr>
      <w:bookmarkStart w:id="91" w:name="_Toc18777_WPSOffice_Level2"/>
      <w:bookmarkEnd w:id="91"/>
      <w:r>
        <w:rPr>
          <w:rFonts w:ascii="Times New Roman" w:hAnsi="Times New Roman" w:cs="Times New Roman"/>
          <w:b/>
          <w:bCs/>
          <w:szCs w:val="21"/>
        </w:rPr>
        <w:t>4.2.3</w:t>
      </w:r>
      <w:r>
        <w:rPr>
          <w:rFonts w:ascii="Times New Roman" w:hAnsi="Times New Roman" w:cs="Times New Roman"/>
          <w:szCs w:val="21"/>
        </w:rPr>
        <w:t xml:space="preserve">  </w:t>
      </w:r>
      <w:bookmarkStart w:id="92" w:name="_Hlk523745575"/>
      <w:bookmarkEnd w:id="92"/>
      <w:r>
        <w:rPr>
          <w:rFonts w:ascii="Times New Roman" w:hAnsi="Times New Roman" w:cs="Times New Roman"/>
          <w:szCs w:val="21"/>
        </w:rPr>
        <w:t>空气污染危害性评价</w:t>
      </w:r>
      <w:r>
        <w:rPr>
          <w:rFonts w:hint="eastAsia" w:ascii="Times New Roman" w:hAnsi="Times New Roman" w:cs="Times New Roman"/>
          <w:szCs w:val="21"/>
        </w:rPr>
        <w:t>应</w:t>
      </w:r>
      <w:r>
        <w:rPr>
          <w:rFonts w:ascii="Times New Roman" w:hAnsi="Times New Roman" w:cs="Times New Roman"/>
          <w:szCs w:val="21"/>
        </w:rPr>
        <w:t>注重有害气体浓度、烟尘颗粒大小及浓度等方面，</w:t>
      </w:r>
      <w:r>
        <w:rPr>
          <w:rFonts w:hint="eastAsia" w:ascii="Times New Roman" w:hAnsi="Times New Roman" w:cs="Times New Roman"/>
          <w:szCs w:val="21"/>
        </w:rPr>
        <w:t>并应明确空气污染源、危害性及污染治理成本，相关技术参数应符合现行标准</w:t>
      </w:r>
      <w:r>
        <w:rPr>
          <w:rFonts w:hint="eastAsia" w:ascii="Times New Roman" w:hAnsi="Times New Roman" w:cs="Times New Roman"/>
          <w:szCs w:val="24"/>
        </w:rPr>
        <w:t>《环境空气质量标准》</w:t>
      </w:r>
      <w:r>
        <w:rPr>
          <w:rFonts w:ascii="Times New Roman" w:hAnsi="Times New Roman" w:cs="Times New Roman"/>
          <w:szCs w:val="24"/>
        </w:rPr>
        <w:t>GB3095</w:t>
      </w:r>
      <w:r>
        <w:rPr>
          <w:rFonts w:hint="eastAsia" w:ascii="Times New Roman" w:hAnsi="Times New Roman" w:cs="Times New Roman"/>
          <w:szCs w:val="24"/>
        </w:rPr>
        <w:t>的规定</w:t>
      </w:r>
      <w:r>
        <w:rPr>
          <w:rFonts w:hint="eastAsia" w:ascii="Times New Roman" w:hAnsi="Times New Roman" w:cs="Times New Roman"/>
          <w:b/>
          <w:bCs/>
          <w:szCs w:val="24"/>
        </w:rPr>
        <w:t>，</w:t>
      </w:r>
      <w:r>
        <w:rPr>
          <w:rFonts w:ascii="Times New Roman" w:hAnsi="Times New Roman" w:cs="Times New Roman"/>
          <w:szCs w:val="21"/>
        </w:rPr>
        <w:t>评价分值为25分。</w:t>
      </w:r>
    </w:p>
    <w:p>
      <w:pPr>
        <w:rPr>
          <w:rFonts w:ascii="Times New Roman" w:hAnsi="Times New Roman" w:cs="Times New Roman"/>
          <w:b/>
          <w:bCs/>
          <w:szCs w:val="24"/>
        </w:rPr>
      </w:pPr>
      <w:bookmarkStart w:id="93" w:name="_Toc11794_WPSOffice_Level2"/>
      <w:bookmarkEnd w:id="93"/>
      <w:r>
        <w:rPr>
          <w:rFonts w:ascii="Times New Roman" w:hAnsi="Times New Roman" w:cs="Times New Roman"/>
          <w:b/>
          <w:bCs/>
          <w:szCs w:val="21"/>
        </w:rPr>
        <w:t xml:space="preserve">4.2.4  </w:t>
      </w:r>
      <w:r>
        <w:rPr>
          <w:rFonts w:ascii="Times New Roman" w:hAnsi="Times New Roman" w:cs="Times New Roman"/>
          <w:szCs w:val="21"/>
        </w:rPr>
        <w:t>土壤污染危害性评价应注重土壤pH、含盐量、重金属含量</w:t>
      </w:r>
      <w:r>
        <w:rPr>
          <w:rFonts w:hint="eastAsia" w:ascii="Times New Roman" w:hAnsi="Times New Roman" w:cs="Times New Roman"/>
          <w:szCs w:val="21"/>
        </w:rPr>
        <w:t>及污染治理成本</w:t>
      </w:r>
      <w:r>
        <w:rPr>
          <w:rFonts w:ascii="Times New Roman" w:hAnsi="Times New Roman" w:cs="Times New Roman"/>
          <w:szCs w:val="21"/>
        </w:rPr>
        <w:t>，</w:t>
      </w:r>
      <w:r>
        <w:rPr>
          <w:rFonts w:hint="eastAsia" w:ascii="Times New Roman" w:hAnsi="Times New Roman" w:cs="Times New Roman"/>
          <w:szCs w:val="21"/>
        </w:rPr>
        <w:t>相关技术参数应符合现行标准</w:t>
      </w:r>
      <w:r>
        <w:rPr>
          <w:rFonts w:hint="eastAsia" w:ascii="Times New Roman" w:hAnsi="Times New Roman" w:cs="Times New Roman"/>
          <w:b/>
          <w:bCs/>
          <w:szCs w:val="24"/>
        </w:rPr>
        <w:t>《</w:t>
      </w:r>
      <w:r>
        <w:rPr>
          <w:rFonts w:hint="eastAsia" w:ascii="Times New Roman" w:hAnsi="Times New Roman" w:cs="Times New Roman"/>
          <w:szCs w:val="24"/>
        </w:rPr>
        <w:t>建设用地土壤污染风险管控标准》</w:t>
      </w:r>
      <w:r>
        <w:rPr>
          <w:rFonts w:ascii="Times New Roman" w:hAnsi="Times New Roman" w:cs="Times New Roman"/>
          <w:szCs w:val="24"/>
        </w:rPr>
        <w:t>GB36600</w:t>
      </w:r>
      <w:r>
        <w:rPr>
          <w:rFonts w:hint="eastAsia" w:ascii="Times New Roman" w:hAnsi="Times New Roman" w:cs="Times New Roman"/>
          <w:szCs w:val="24"/>
        </w:rPr>
        <w:t>的规定，</w:t>
      </w:r>
      <w:r>
        <w:rPr>
          <w:rFonts w:ascii="Times New Roman" w:hAnsi="Times New Roman" w:cs="Times New Roman"/>
          <w:szCs w:val="21"/>
        </w:rPr>
        <w:t>评价分值为25分。</w:t>
      </w:r>
    </w:p>
    <w:p>
      <w:pPr>
        <w:rPr>
          <w:rFonts w:ascii="Times New Roman" w:hAnsi="Times New Roman" w:cs="Times New Roman"/>
          <w:szCs w:val="21"/>
        </w:rPr>
      </w:pPr>
      <w:bookmarkStart w:id="94" w:name="_Toc23498_WPSOffice_Level2"/>
      <w:bookmarkEnd w:id="94"/>
      <w:r>
        <w:rPr>
          <w:rFonts w:ascii="Times New Roman" w:hAnsi="Times New Roman" w:cs="Times New Roman"/>
          <w:b/>
          <w:bCs/>
          <w:szCs w:val="21"/>
        </w:rPr>
        <w:t>4.2.5</w:t>
      </w:r>
      <w:bookmarkStart w:id="95" w:name="_Hlk522108578"/>
      <w:bookmarkEnd w:id="95"/>
      <w:r>
        <w:rPr>
          <w:rFonts w:ascii="Times New Roman" w:hAnsi="Times New Roman" w:cs="Times New Roman"/>
          <w:b/>
          <w:bCs/>
          <w:szCs w:val="21"/>
        </w:rPr>
        <w:t xml:space="preserve">  </w:t>
      </w:r>
      <w:r>
        <w:rPr>
          <w:rFonts w:ascii="Times New Roman" w:hAnsi="Times New Roman" w:cs="Times New Roman"/>
          <w:color w:val="000000"/>
          <w:szCs w:val="21"/>
        </w:rPr>
        <w:t>水</w:t>
      </w:r>
      <w:r>
        <w:rPr>
          <w:rFonts w:ascii="Times New Roman" w:hAnsi="Times New Roman" w:cs="Times New Roman"/>
          <w:szCs w:val="21"/>
        </w:rPr>
        <w:t>体污染危害性评价</w:t>
      </w:r>
      <w:r>
        <w:rPr>
          <w:rFonts w:hint="eastAsia" w:ascii="Times New Roman" w:hAnsi="Times New Roman" w:cs="Times New Roman"/>
          <w:szCs w:val="21"/>
        </w:rPr>
        <w:t>应</w:t>
      </w:r>
      <w:r>
        <w:rPr>
          <w:rFonts w:ascii="Times New Roman" w:hAnsi="Times New Roman" w:cs="Times New Roman"/>
          <w:szCs w:val="21"/>
        </w:rPr>
        <w:t>注重水体pH、浑浊度、重金属含量、有毒化学品含量、溶解氧含量</w:t>
      </w:r>
      <w:r>
        <w:rPr>
          <w:rFonts w:hint="eastAsia" w:ascii="Times New Roman" w:hAnsi="Times New Roman" w:cs="Times New Roman"/>
          <w:szCs w:val="21"/>
        </w:rPr>
        <w:t>及污染治理成本</w:t>
      </w:r>
      <w:r>
        <w:rPr>
          <w:rFonts w:ascii="Times New Roman" w:hAnsi="Times New Roman" w:cs="Times New Roman"/>
          <w:szCs w:val="21"/>
        </w:rPr>
        <w:t>，</w:t>
      </w:r>
      <w:r>
        <w:rPr>
          <w:rFonts w:hint="eastAsia" w:ascii="Times New Roman" w:hAnsi="Times New Roman" w:cs="Times New Roman"/>
          <w:szCs w:val="21"/>
        </w:rPr>
        <w:t>相关技术参数应符合现行标准</w:t>
      </w:r>
      <w:r>
        <w:rPr>
          <w:rFonts w:hint="eastAsia" w:ascii="Times New Roman" w:hAnsi="Times New Roman" w:cs="Times New Roman"/>
          <w:szCs w:val="24"/>
        </w:rPr>
        <w:t>《地表水环境质量标准》</w:t>
      </w:r>
      <w:r>
        <w:rPr>
          <w:rFonts w:ascii="Times New Roman" w:hAnsi="Times New Roman" w:cs="Times New Roman"/>
          <w:szCs w:val="24"/>
        </w:rPr>
        <w:t>GB3838</w:t>
      </w:r>
      <w:r>
        <w:rPr>
          <w:rFonts w:hint="eastAsia" w:ascii="Times New Roman" w:hAnsi="Times New Roman" w:cs="Times New Roman"/>
          <w:szCs w:val="24"/>
        </w:rPr>
        <w:t>的规定，</w:t>
      </w:r>
      <w:r>
        <w:rPr>
          <w:rFonts w:ascii="Times New Roman" w:hAnsi="Times New Roman" w:cs="Times New Roman"/>
          <w:szCs w:val="21"/>
        </w:rPr>
        <w:t>评价分值为25分。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4.2.6  </w:t>
      </w:r>
      <w:r>
        <w:rPr>
          <w:rFonts w:hint="eastAsia" w:ascii="Times New Roman" w:hAnsi="Times New Roman" w:cs="Times New Roman"/>
          <w:szCs w:val="21"/>
        </w:rPr>
        <w:t>对于非常规性污染，应符合现行相关标准的规定，并根据污染实际状况，制定污染危害性专项评价方案</w:t>
      </w:r>
      <w:r>
        <w:rPr>
          <w:rFonts w:ascii="Times New Roman" w:hAnsi="Times New Roman" w:cs="Times New Roman"/>
          <w:szCs w:val="21"/>
        </w:rPr>
        <w:t>。</w:t>
      </w:r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bookmarkStart w:id="96" w:name="_Toc3546953"/>
      <w:bookmarkEnd w:id="96"/>
      <w:bookmarkStart w:id="97" w:name="_Toc3550041"/>
      <w:bookmarkEnd w:id="97"/>
      <w:bookmarkStart w:id="98" w:name="_Toc3550179"/>
      <w:bookmarkEnd w:id="98"/>
      <w:bookmarkStart w:id="99" w:name="_Toc16952"/>
      <w:bookmarkStart w:id="100" w:name="_Toc62762808"/>
      <w:r>
        <w:rPr>
          <w:rFonts w:ascii="Times New Roman" w:hAnsi="Times New Roman" w:cs="Times New Roman"/>
          <w:b/>
          <w:bCs/>
          <w:sz w:val="24"/>
          <w:szCs w:val="24"/>
        </w:rPr>
        <w:t xml:space="preserve">4.3 </w:t>
      </w:r>
      <w:bookmarkEnd w:id="99"/>
      <w:r>
        <w:rPr>
          <w:rFonts w:ascii="Times New Roman" w:hAnsi="Times New Roman" w:cs="Times New Roman"/>
          <w:b/>
          <w:bCs/>
          <w:sz w:val="24"/>
          <w:szCs w:val="24"/>
        </w:rPr>
        <w:t>生态适宜性评价</w:t>
      </w:r>
      <w:bookmarkEnd w:id="100"/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4.3.1</w:t>
      </w:r>
      <w:bookmarkStart w:id="101" w:name="_Hlk521403174"/>
      <w:bookmarkEnd w:id="101"/>
      <w:bookmarkStart w:id="102" w:name="_Hlk521329030"/>
      <w:r>
        <w:rPr>
          <w:rFonts w:ascii="Times New Roman" w:hAnsi="Times New Roman" w:cs="Times New Roman"/>
          <w:b/>
          <w:bCs/>
          <w:szCs w:val="21"/>
        </w:rPr>
        <w:t xml:space="preserve">  </w:t>
      </w:r>
      <w:bookmarkEnd w:id="102"/>
      <w:r>
        <w:rPr>
          <w:rFonts w:ascii="Times New Roman" w:hAnsi="Times New Roman" w:cs="Times New Roman"/>
          <w:szCs w:val="21"/>
        </w:rPr>
        <w:t>生态适宜性评价</w:t>
      </w:r>
      <w:r>
        <w:rPr>
          <w:rFonts w:hint="eastAsia" w:ascii="Times New Roman" w:hAnsi="Times New Roman" w:cs="Times New Roman"/>
          <w:szCs w:val="21"/>
        </w:rPr>
        <w:t>应以再生模式生态需求为核心，对</w:t>
      </w:r>
      <w:r>
        <w:rPr>
          <w:rFonts w:ascii="Times New Roman" w:hAnsi="Times New Roman" w:cs="Times New Roman"/>
          <w:szCs w:val="21"/>
        </w:rPr>
        <w:t>旧工业厂区</w:t>
      </w:r>
      <w:r>
        <w:rPr>
          <w:rFonts w:hint="eastAsia" w:ascii="Times New Roman" w:hAnsi="Times New Roman" w:cs="Times New Roman"/>
          <w:szCs w:val="21"/>
        </w:rPr>
        <w:t>环境状况的可利用性进行</w:t>
      </w:r>
      <w:r>
        <w:rPr>
          <w:rFonts w:ascii="Times New Roman" w:hAnsi="Times New Roman" w:cs="Times New Roman"/>
          <w:szCs w:val="21"/>
        </w:rPr>
        <w:t>综合评价，应从绿化</w:t>
      </w:r>
      <w:r>
        <w:rPr>
          <w:rFonts w:hint="eastAsia" w:ascii="Times New Roman" w:hAnsi="Times New Roman" w:cs="Times New Roman"/>
          <w:szCs w:val="21"/>
        </w:rPr>
        <w:t>适宜性</w:t>
      </w:r>
      <w:r>
        <w:rPr>
          <w:rFonts w:ascii="Times New Roman" w:hAnsi="Times New Roman" w:cs="Times New Roman"/>
          <w:szCs w:val="21"/>
        </w:rPr>
        <w:t>、</w:t>
      </w:r>
      <w:r>
        <w:rPr>
          <w:rFonts w:hint="eastAsia" w:ascii="Times New Roman" w:hAnsi="Times New Roman" w:cs="Times New Roman"/>
          <w:szCs w:val="21"/>
        </w:rPr>
        <w:t>景观适宜性、</w:t>
      </w:r>
      <w:r>
        <w:rPr>
          <w:rFonts w:ascii="Times New Roman" w:hAnsi="Times New Roman" w:cs="Times New Roman"/>
          <w:szCs w:val="21"/>
        </w:rPr>
        <w:t>环境</w:t>
      </w:r>
      <w:r>
        <w:rPr>
          <w:rFonts w:hint="eastAsia" w:ascii="Times New Roman" w:hAnsi="Times New Roman" w:cs="Times New Roman"/>
          <w:szCs w:val="21"/>
        </w:rPr>
        <w:t>承载力3个</w:t>
      </w:r>
      <w:r>
        <w:rPr>
          <w:rFonts w:ascii="Times New Roman" w:hAnsi="Times New Roman" w:cs="Times New Roman"/>
          <w:szCs w:val="21"/>
        </w:rPr>
        <w:t>方面</w:t>
      </w:r>
      <w:r>
        <w:rPr>
          <w:rFonts w:hint="eastAsia" w:ascii="Times New Roman" w:hAnsi="Times New Roman" w:cs="Times New Roman"/>
          <w:szCs w:val="21"/>
        </w:rPr>
        <w:t>综合</w:t>
      </w:r>
      <w:r>
        <w:rPr>
          <w:rFonts w:ascii="Times New Roman" w:hAnsi="Times New Roman" w:cs="Times New Roman"/>
          <w:szCs w:val="21"/>
        </w:rPr>
        <w:t>评价，总分值为25分。</w:t>
      </w:r>
    </w:p>
    <w:p>
      <w:pPr>
        <w:rPr>
          <w:rFonts w:ascii="Times New Roman" w:hAnsi="Times New Roman" w:cs="Times New Roman"/>
          <w:szCs w:val="21"/>
        </w:rPr>
      </w:pPr>
      <w:bookmarkStart w:id="103" w:name="_Hlk523832074"/>
      <w:bookmarkEnd w:id="103"/>
      <w:r>
        <w:rPr>
          <w:rFonts w:ascii="Times New Roman" w:hAnsi="Times New Roman" w:cs="Times New Roman"/>
          <w:b/>
          <w:bCs/>
          <w:szCs w:val="21"/>
        </w:rPr>
        <w:t xml:space="preserve">4.3.2  </w:t>
      </w:r>
      <w:r>
        <w:rPr>
          <w:rFonts w:ascii="Times New Roman" w:hAnsi="Times New Roman" w:cs="Times New Roman"/>
          <w:szCs w:val="21"/>
        </w:rPr>
        <w:t>绿化</w:t>
      </w:r>
      <w:r>
        <w:rPr>
          <w:rFonts w:hint="eastAsia" w:ascii="Times New Roman" w:hAnsi="Times New Roman" w:cs="Times New Roman"/>
          <w:szCs w:val="21"/>
        </w:rPr>
        <w:t>适宜性</w:t>
      </w:r>
      <w:r>
        <w:rPr>
          <w:rFonts w:ascii="Times New Roman" w:hAnsi="Times New Roman" w:cs="Times New Roman"/>
          <w:szCs w:val="21"/>
        </w:rPr>
        <w:t>评价</w:t>
      </w:r>
      <w:r>
        <w:rPr>
          <w:rFonts w:hint="eastAsia" w:ascii="Times New Roman" w:hAnsi="Times New Roman" w:cs="Times New Roman"/>
          <w:szCs w:val="21"/>
        </w:rPr>
        <w:t>是对</w:t>
      </w:r>
      <w:r>
        <w:rPr>
          <w:rFonts w:hint="eastAsia" w:ascii="Times New Roman" w:hAnsi="Times New Roman" w:cs="Times New Roman"/>
          <w:bCs/>
          <w:szCs w:val="24"/>
        </w:rPr>
        <w:t>旧工业厂区绿化改造适宜程度的综合评价，</w:t>
      </w:r>
      <w:r>
        <w:rPr>
          <w:rFonts w:ascii="Times New Roman" w:hAnsi="Times New Roman" w:cs="Times New Roman"/>
          <w:szCs w:val="21"/>
        </w:rPr>
        <w:t>应注重</w:t>
      </w:r>
      <w:r>
        <w:rPr>
          <w:rFonts w:hint="eastAsia" w:ascii="Times New Roman" w:hAnsi="Times New Roman" w:cs="Times New Roman"/>
          <w:szCs w:val="21"/>
        </w:rPr>
        <w:t>旧工业厂区的绿化覆盖面积与潜在绿化空间，</w:t>
      </w:r>
      <w:r>
        <w:rPr>
          <w:rFonts w:ascii="Times New Roman" w:hAnsi="Times New Roman" w:cs="Times New Roman"/>
          <w:szCs w:val="21"/>
        </w:rPr>
        <w:t>评价分值为12分。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4.3.3</w:t>
      </w:r>
      <w:r>
        <w:rPr>
          <w:rFonts w:ascii="Times New Roman" w:hAnsi="Times New Roman" w:cs="Times New Roman"/>
          <w:szCs w:val="21"/>
        </w:rPr>
        <w:t xml:space="preserve">  </w:t>
      </w:r>
      <w:r>
        <w:rPr>
          <w:rFonts w:hint="eastAsia" w:ascii="Times New Roman" w:hAnsi="Times New Roman" w:cs="Times New Roman"/>
          <w:szCs w:val="21"/>
        </w:rPr>
        <w:t>景观适宜性</w:t>
      </w:r>
      <w:r>
        <w:rPr>
          <w:rFonts w:ascii="Times New Roman" w:hAnsi="Times New Roman" w:cs="Times New Roman"/>
          <w:szCs w:val="21"/>
        </w:rPr>
        <w:t>评价</w:t>
      </w:r>
      <w:r>
        <w:rPr>
          <w:rFonts w:hint="eastAsia" w:ascii="Times New Roman" w:hAnsi="Times New Roman" w:cs="Times New Roman"/>
          <w:szCs w:val="21"/>
        </w:rPr>
        <w:t>是对旧工业厂区既有绿色景观资源的综合评价，</w:t>
      </w:r>
      <w:r>
        <w:rPr>
          <w:rFonts w:ascii="Times New Roman" w:hAnsi="Times New Roman" w:cs="Times New Roman"/>
          <w:szCs w:val="21"/>
        </w:rPr>
        <w:t>应注重</w:t>
      </w:r>
      <w:r>
        <w:rPr>
          <w:rFonts w:hint="eastAsia" w:ascii="Times New Roman" w:hAnsi="Times New Roman" w:cs="Times New Roman"/>
          <w:szCs w:val="21"/>
        </w:rPr>
        <w:t>旧工业厂区的植被、水体、地貌等景观元素，</w:t>
      </w:r>
      <w:r>
        <w:rPr>
          <w:rFonts w:ascii="Times New Roman" w:hAnsi="Times New Roman" w:cs="Times New Roman"/>
          <w:szCs w:val="21"/>
        </w:rPr>
        <w:t>评价分值为8分。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4.3.4  </w:t>
      </w:r>
      <w:r>
        <w:rPr>
          <w:rFonts w:ascii="Times New Roman" w:hAnsi="Times New Roman" w:cs="Times New Roman"/>
          <w:szCs w:val="21"/>
        </w:rPr>
        <w:t>环境</w:t>
      </w:r>
      <w:r>
        <w:rPr>
          <w:rFonts w:hint="eastAsia" w:ascii="Times New Roman" w:hAnsi="Times New Roman" w:cs="Times New Roman"/>
          <w:szCs w:val="21"/>
        </w:rPr>
        <w:t>承载</w:t>
      </w:r>
      <w:r>
        <w:rPr>
          <w:rFonts w:ascii="Times New Roman" w:hAnsi="Times New Roman" w:cs="Times New Roman"/>
          <w:szCs w:val="21"/>
        </w:rPr>
        <w:t>力评价</w:t>
      </w:r>
      <w:r>
        <w:rPr>
          <w:rFonts w:hint="eastAsia" w:ascii="Times New Roman" w:hAnsi="Times New Roman" w:cs="Times New Roman"/>
          <w:szCs w:val="21"/>
        </w:rPr>
        <w:t>是结合</w:t>
      </w:r>
      <w:r>
        <w:rPr>
          <w:rFonts w:ascii="Times New Roman" w:hAnsi="Times New Roman" w:cs="Times New Roman"/>
          <w:szCs w:val="21"/>
        </w:rPr>
        <w:t>再生模式</w:t>
      </w:r>
      <w:r>
        <w:rPr>
          <w:rFonts w:hint="eastAsia" w:ascii="Times New Roman" w:hAnsi="Times New Roman" w:cs="Times New Roman"/>
          <w:szCs w:val="21"/>
        </w:rPr>
        <w:t>运营的环境需求，对旧工业厂区空间支持度的综合评价，</w:t>
      </w:r>
      <w:r>
        <w:rPr>
          <w:rFonts w:ascii="Times New Roman" w:hAnsi="Times New Roman" w:cs="Times New Roman"/>
          <w:szCs w:val="21"/>
        </w:rPr>
        <w:t>应</w:t>
      </w:r>
      <w:r>
        <w:rPr>
          <w:rFonts w:hint="eastAsia" w:ascii="Times New Roman" w:hAnsi="Times New Roman" w:cs="Times New Roman"/>
          <w:szCs w:val="21"/>
        </w:rPr>
        <w:t>注重旧工业厂区潜在的环境容量与生态性能，</w:t>
      </w:r>
      <w:r>
        <w:rPr>
          <w:rFonts w:ascii="Times New Roman" w:hAnsi="Times New Roman" w:cs="Times New Roman"/>
          <w:szCs w:val="21"/>
        </w:rPr>
        <w:t>评价分值为5分。</w:t>
      </w:r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cs="Times New Roman"/>
          <w:b/>
          <w:bCs/>
          <w:kern w:val="44"/>
          <w:sz w:val="30"/>
          <w:szCs w:val="30"/>
        </w:rPr>
      </w:pPr>
      <w:r>
        <w:rPr>
          <w:rFonts w:ascii="Times New Roman" w:hAnsi="Times New Roman" w:cs="Times New Roman"/>
          <w:b/>
          <w:kern w:val="44"/>
          <w:sz w:val="30"/>
          <w:szCs w:val="24"/>
        </w:rPr>
        <w:br w:type="page"/>
      </w:r>
      <w:bookmarkStart w:id="104" w:name="_Toc3550042"/>
      <w:bookmarkEnd w:id="104"/>
      <w:bookmarkStart w:id="105" w:name="_Toc3550180"/>
      <w:bookmarkEnd w:id="105"/>
      <w:bookmarkStart w:id="106" w:name="_Toc18279"/>
      <w:bookmarkEnd w:id="106"/>
      <w:bookmarkStart w:id="107" w:name="_Hlk2714786"/>
      <w:bookmarkEnd w:id="107"/>
      <w:bookmarkStart w:id="108" w:name="_Toc3546954"/>
      <w:bookmarkStart w:id="109" w:name="_Toc62762809"/>
      <w:r>
        <w:rPr>
          <w:rFonts w:ascii="Times New Roman" w:hAnsi="Times New Roman" w:cs="Times New Roman"/>
          <w:b/>
          <w:bCs/>
          <w:kern w:val="44"/>
          <w:sz w:val="30"/>
          <w:szCs w:val="30"/>
        </w:rPr>
        <w:t xml:space="preserve">5 </w:t>
      </w:r>
      <w:bookmarkEnd w:id="108"/>
      <w:r>
        <w:rPr>
          <w:rFonts w:ascii="Times New Roman" w:hAnsi="Times New Roman" w:cs="Times New Roman"/>
          <w:b/>
          <w:bCs/>
          <w:kern w:val="44"/>
          <w:sz w:val="30"/>
          <w:szCs w:val="30"/>
        </w:rPr>
        <w:t>区位</w:t>
      </w:r>
      <w:r>
        <w:rPr>
          <w:rFonts w:hint="eastAsia" w:ascii="Times New Roman" w:hAnsi="Times New Roman" w:cs="Times New Roman"/>
          <w:b/>
          <w:bCs/>
          <w:kern w:val="44"/>
          <w:sz w:val="30"/>
          <w:szCs w:val="30"/>
        </w:rPr>
        <w:t>基础</w:t>
      </w:r>
      <w:r>
        <w:rPr>
          <w:rFonts w:ascii="Times New Roman" w:hAnsi="Times New Roman" w:cs="Times New Roman"/>
          <w:b/>
          <w:bCs/>
          <w:kern w:val="44"/>
          <w:sz w:val="30"/>
          <w:szCs w:val="30"/>
        </w:rPr>
        <w:t>评价</w:t>
      </w:r>
      <w:bookmarkEnd w:id="109"/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bookmarkStart w:id="110" w:name="_Toc3550043"/>
      <w:bookmarkEnd w:id="110"/>
      <w:bookmarkStart w:id="111" w:name="_Toc525330790"/>
      <w:bookmarkEnd w:id="111"/>
      <w:bookmarkStart w:id="112" w:name="_Toc16807"/>
      <w:bookmarkEnd w:id="112"/>
      <w:bookmarkStart w:id="113" w:name="_Toc30106"/>
      <w:bookmarkEnd w:id="113"/>
      <w:bookmarkStart w:id="114" w:name="_Toc3546955"/>
      <w:bookmarkEnd w:id="114"/>
      <w:bookmarkStart w:id="115" w:name="_Toc3550181"/>
      <w:bookmarkEnd w:id="115"/>
      <w:bookmarkStart w:id="116" w:name="_Toc23509_WPSOffice_Level3"/>
      <w:bookmarkStart w:id="117" w:name="_Toc62762810"/>
      <w:r>
        <w:rPr>
          <w:rFonts w:ascii="Times New Roman" w:hAnsi="Times New Roman" w:cs="Times New Roman"/>
          <w:b/>
          <w:bCs/>
          <w:sz w:val="24"/>
          <w:szCs w:val="24"/>
        </w:rPr>
        <w:t>5.1 一般规定</w:t>
      </w:r>
      <w:bookmarkEnd w:id="116"/>
      <w:bookmarkEnd w:id="117"/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5.1.1  </w:t>
      </w:r>
      <w:r>
        <w:rPr>
          <w:rFonts w:ascii="Times New Roman" w:hAnsi="Times New Roman" w:cs="Times New Roman"/>
          <w:szCs w:val="21"/>
        </w:rPr>
        <w:t>区位</w:t>
      </w:r>
      <w:r>
        <w:rPr>
          <w:rFonts w:hint="eastAsia" w:ascii="Times New Roman" w:hAnsi="Times New Roman" w:cs="Times New Roman"/>
          <w:szCs w:val="21"/>
        </w:rPr>
        <w:t>基础</w:t>
      </w:r>
      <w:r>
        <w:rPr>
          <w:rFonts w:ascii="Times New Roman" w:hAnsi="Times New Roman" w:cs="Times New Roman"/>
          <w:szCs w:val="21"/>
        </w:rPr>
        <w:t>评价应以区域发展规划</w:t>
      </w:r>
      <w:r>
        <w:rPr>
          <w:rFonts w:hint="eastAsia" w:ascii="Times New Roman" w:hAnsi="Times New Roman" w:cs="Times New Roman"/>
          <w:szCs w:val="21"/>
        </w:rPr>
        <w:t>与厂区再生模式</w:t>
      </w:r>
      <w:r>
        <w:rPr>
          <w:rFonts w:ascii="Times New Roman" w:hAnsi="Times New Roman" w:cs="Times New Roman"/>
          <w:szCs w:val="21"/>
        </w:rPr>
        <w:t>为导向，并</w:t>
      </w:r>
      <w:r>
        <w:rPr>
          <w:rFonts w:hint="eastAsia" w:ascii="Times New Roman" w:hAnsi="Times New Roman" w:cs="Times New Roman"/>
          <w:szCs w:val="21"/>
        </w:rPr>
        <w:t>应</w:t>
      </w:r>
      <w:r>
        <w:rPr>
          <w:rFonts w:ascii="Times New Roman" w:hAnsi="Times New Roman" w:cs="Times New Roman"/>
          <w:szCs w:val="21"/>
        </w:rPr>
        <w:t>统筹考虑</w:t>
      </w:r>
      <w:r>
        <w:rPr>
          <w:rFonts w:hint="eastAsia" w:ascii="Times New Roman" w:hAnsi="Times New Roman" w:cs="Times New Roman"/>
          <w:szCs w:val="21"/>
        </w:rPr>
        <w:t>旧工业厂区的</w:t>
      </w:r>
      <w:r>
        <w:rPr>
          <w:rFonts w:ascii="Times New Roman" w:hAnsi="Times New Roman" w:cs="Times New Roman"/>
          <w:szCs w:val="21"/>
        </w:rPr>
        <w:t>经济</w:t>
      </w:r>
      <w:r>
        <w:rPr>
          <w:rFonts w:hint="eastAsia" w:ascii="Times New Roman" w:hAnsi="Times New Roman" w:cs="Times New Roman"/>
          <w:szCs w:val="21"/>
        </w:rPr>
        <w:t>条件与</w:t>
      </w:r>
      <w:r>
        <w:rPr>
          <w:rFonts w:ascii="Times New Roman" w:hAnsi="Times New Roman" w:cs="Times New Roman"/>
          <w:szCs w:val="21"/>
        </w:rPr>
        <w:t>交通条件，对区位价值及开发优势进行</w:t>
      </w:r>
      <w:r>
        <w:rPr>
          <w:rFonts w:hint="eastAsia" w:ascii="Times New Roman" w:hAnsi="Times New Roman" w:cs="Times New Roman"/>
          <w:szCs w:val="21"/>
        </w:rPr>
        <w:t>综合</w:t>
      </w:r>
      <w:r>
        <w:rPr>
          <w:rFonts w:ascii="Times New Roman" w:hAnsi="Times New Roman" w:cs="Times New Roman"/>
          <w:szCs w:val="21"/>
        </w:rPr>
        <w:t>评价。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5.1.2  </w:t>
      </w:r>
      <w:r>
        <w:rPr>
          <w:rFonts w:ascii="Times New Roman" w:hAnsi="Times New Roman" w:cs="Times New Roman"/>
          <w:szCs w:val="21"/>
        </w:rPr>
        <w:t>区位</w:t>
      </w:r>
      <w:r>
        <w:rPr>
          <w:rFonts w:hint="eastAsia" w:ascii="Times New Roman" w:hAnsi="Times New Roman" w:cs="Times New Roman"/>
          <w:szCs w:val="21"/>
        </w:rPr>
        <w:t>基础</w:t>
      </w:r>
      <w:r>
        <w:rPr>
          <w:rFonts w:ascii="Times New Roman" w:hAnsi="Times New Roman" w:cs="Times New Roman"/>
          <w:szCs w:val="21"/>
        </w:rPr>
        <w:t>评价应遵循目标导向、匹配适用、优势突出、客观综合的原则。</w:t>
      </w:r>
    </w:p>
    <w:p>
      <w:pPr>
        <w:spacing w:line="330" w:lineRule="exact"/>
        <w:rPr>
          <w:rFonts w:ascii="Times New Roman" w:hAnsi="Times New Roman" w:cs="Times New Roman"/>
          <w:b/>
          <w:bCs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5.1.3  </w:t>
      </w:r>
      <w:r>
        <w:rPr>
          <w:rFonts w:ascii="Times New Roman" w:hAnsi="Times New Roman" w:cs="Times New Roman"/>
          <w:szCs w:val="21"/>
        </w:rPr>
        <w:t>区位</w:t>
      </w:r>
      <w:r>
        <w:rPr>
          <w:rFonts w:hint="eastAsia" w:ascii="Times New Roman" w:hAnsi="Times New Roman" w:cs="Times New Roman"/>
          <w:szCs w:val="21"/>
        </w:rPr>
        <w:t>基础</w:t>
      </w:r>
      <w:r>
        <w:rPr>
          <w:rFonts w:ascii="Times New Roman" w:hAnsi="Times New Roman" w:cs="Times New Roman"/>
          <w:szCs w:val="21"/>
        </w:rPr>
        <w:t>包括经济</w:t>
      </w:r>
      <w:r>
        <w:rPr>
          <w:rFonts w:hint="eastAsia" w:ascii="Times New Roman" w:hAnsi="Times New Roman" w:cs="Times New Roman"/>
          <w:szCs w:val="21"/>
        </w:rPr>
        <w:t>条件</w:t>
      </w:r>
      <w:r>
        <w:rPr>
          <w:rFonts w:ascii="Times New Roman" w:hAnsi="Times New Roman" w:cs="Times New Roman"/>
          <w:szCs w:val="21"/>
        </w:rPr>
        <w:t>与交通条件2个评价项目，总分</w:t>
      </w:r>
      <w:r>
        <w:rPr>
          <w:rFonts w:hint="eastAsia" w:ascii="Times New Roman" w:hAnsi="Times New Roman" w:cs="Times New Roman"/>
          <w:szCs w:val="21"/>
        </w:rPr>
        <w:t>值</w:t>
      </w:r>
      <w:r>
        <w:rPr>
          <w:rFonts w:ascii="Times New Roman" w:hAnsi="Times New Roman" w:cs="Times New Roman"/>
          <w:szCs w:val="21"/>
        </w:rPr>
        <w:t>为100分。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5.1.4  </w:t>
      </w:r>
      <w:r>
        <w:rPr>
          <w:rFonts w:ascii="Times New Roman" w:hAnsi="Times New Roman" w:cs="Times New Roman"/>
          <w:szCs w:val="21"/>
        </w:rPr>
        <w:t>区位</w:t>
      </w:r>
      <w:r>
        <w:rPr>
          <w:rFonts w:hint="eastAsia" w:ascii="Times New Roman" w:hAnsi="Times New Roman" w:cs="Times New Roman"/>
          <w:szCs w:val="21"/>
        </w:rPr>
        <w:t>基础</w:t>
      </w:r>
      <w:r>
        <w:rPr>
          <w:rFonts w:ascii="Times New Roman" w:hAnsi="Times New Roman" w:cs="Times New Roman"/>
          <w:szCs w:val="21"/>
        </w:rPr>
        <w:t>评价结果分为四个等级，具体等级划分符合表5.1.4的规定。</w:t>
      </w:r>
    </w:p>
    <w:p>
      <w:pPr>
        <w:spacing w:line="330" w:lineRule="exact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表5.1.4  区位</w:t>
      </w:r>
      <w:r>
        <w:rPr>
          <w:rFonts w:hint="eastAsia" w:ascii="Times New Roman" w:hAnsi="Times New Roman" w:cs="Times New Roman"/>
          <w:b/>
          <w:bCs/>
          <w:sz w:val="18"/>
          <w:szCs w:val="18"/>
        </w:rPr>
        <w:t>基础</w:t>
      </w:r>
      <w:r>
        <w:rPr>
          <w:rFonts w:ascii="Times New Roman" w:hAnsi="Times New Roman" w:cs="Times New Roman"/>
          <w:b/>
          <w:bCs/>
          <w:sz w:val="18"/>
          <w:szCs w:val="18"/>
        </w:rPr>
        <w:t>评价等级划分</w:t>
      </w:r>
    </w:p>
    <w:tbl>
      <w:tblPr>
        <w:tblStyle w:val="7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8"/>
        <w:gridCol w:w="2128"/>
        <w:gridCol w:w="21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18" w:name="_Toc7632"/>
            <w:r>
              <w:rPr>
                <w:rFonts w:ascii="Times New Roman" w:hAnsi="Times New Roman" w:cs="Times New Roman"/>
                <w:sz w:val="18"/>
                <w:szCs w:val="18"/>
              </w:rPr>
              <w:t>等级</w:t>
            </w:r>
            <w:bookmarkEnd w:id="118"/>
          </w:p>
        </w:tc>
        <w:tc>
          <w:tcPr>
            <w:tcW w:w="21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19" w:name="_Toc1915"/>
            <w:r>
              <w:rPr>
                <w:rFonts w:ascii="Times New Roman" w:hAnsi="Times New Roman" w:cs="Times New Roman"/>
                <w:sz w:val="18"/>
                <w:szCs w:val="18"/>
              </w:rPr>
              <w:t>状况描述</w:t>
            </w:r>
            <w:bookmarkEnd w:id="119"/>
          </w:p>
        </w:tc>
        <w:tc>
          <w:tcPr>
            <w:tcW w:w="2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20" w:name="_Toc103"/>
            <w:r>
              <w:rPr>
                <w:rFonts w:ascii="Times New Roman" w:hAnsi="Times New Roman" w:cs="Times New Roman"/>
                <w:sz w:val="18"/>
                <w:szCs w:val="18"/>
              </w:rPr>
              <w:t>分值</w:t>
            </w:r>
            <w:bookmarkEnd w:id="12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21" w:name="_Toc13254"/>
            <w:r>
              <w:rPr>
                <w:rFonts w:ascii="Times New Roman" w:hAnsi="Times New Roman" w:cs="Times New Roman"/>
                <w:sz w:val="18"/>
                <w:szCs w:val="18"/>
              </w:rPr>
              <w:t>一级</w:t>
            </w:r>
            <w:bookmarkEnd w:id="121"/>
          </w:p>
        </w:tc>
        <w:tc>
          <w:tcPr>
            <w:tcW w:w="21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hint="eastAsia" w:ascii="Times New Roman" w:hAnsi="Times New Roman" w:cs="Times New Roman"/>
                <w:bCs/>
                <w:sz w:val="18"/>
                <w:szCs w:val="18"/>
              </w:rPr>
            </w:pPr>
            <w:bookmarkStart w:id="122" w:name="_Toc16242"/>
            <w:r>
              <w:rPr>
                <w:rFonts w:ascii="Times New Roman" w:hAnsi="Times New Roman" w:cs="Times New Roman"/>
                <w:sz w:val="18"/>
                <w:szCs w:val="18"/>
              </w:rPr>
              <w:t>区位</w:t>
            </w:r>
            <w:bookmarkEnd w:id="122"/>
            <w:r>
              <w:rPr>
                <w:rFonts w:hint="eastAsia" w:ascii="Times New Roman" w:hAnsi="Times New Roman" w:cs="Times New Roman"/>
                <w:sz w:val="18"/>
                <w:szCs w:val="18"/>
              </w:rPr>
              <w:t>基础好</w:t>
            </w:r>
          </w:p>
        </w:tc>
        <w:tc>
          <w:tcPr>
            <w:tcW w:w="2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23" w:name="_Toc27268"/>
            <w:r>
              <w:rPr>
                <w:rFonts w:ascii="Times New Roman" w:hAnsi="Times New Roman" w:cs="Times New Roman"/>
                <w:sz w:val="18"/>
                <w:szCs w:val="18"/>
              </w:rPr>
              <w:t>[90，100]</w:t>
            </w:r>
            <w:bookmarkEnd w:id="12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24" w:name="_Toc190"/>
            <w:r>
              <w:rPr>
                <w:rFonts w:ascii="Times New Roman" w:hAnsi="Times New Roman" w:cs="Times New Roman"/>
                <w:sz w:val="18"/>
                <w:szCs w:val="18"/>
              </w:rPr>
              <w:t>二级</w:t>
            </w:r>
            <w:bookmarkEnd w:id="124"/>
          </w:p>
        </w:tc>
        <w:tc>
          <w:tcPr>
            <w:tcW w:w="21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hint="eastAsia" w:ascii="Times New Roman" w:hAnsi="Times New Roman" w:cs="Times New Roman"/>
                <w:bCs/>
                <w:sz w:val="18"/>
                <w:szCs w:val="18"/>
              </w:rPr>
            </w:pPr>
            <w:bookmarkStart w:id="125" w:name="_Toc12972"/>
            <w:r>
              <w:rPr>
                <w:rFonts w:ascii="Times New Roman" w:hAnsi="Times New Roman" w:cs="Times New Roman"/>
                <w:sz w:val="18"/>
                <w:szCs w:val="18"/>
              </w:rPr>
              <w:t>区位</w:t>
            </w:r>
            <w:bookmarkEnd w:id="125"/>
            <w:r>
              <w:rPr>
                <w:rFonts w:hint="eastAsia" w:ascii="Times New Roman" w:hAnsi="Times New Roman" w:cs="Times New Roman"/>
                <w:sz w:val="18"/>
                <w:szCs w:val="18"/>
              </w:rPr>
              <w:t>基础较好</w:t>
            </w:r>
          </w:p>
        </w:tc>
        <w:tc>
          <w:tcPr>
            <w:tcW w:w="2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26" w:name="_Toc20036"/>
            <w:r>
              <w:rPr>
                <w:rFonts w:ascii="Times New Roman" w:hAnsi="Times New Roman" w:cs="Times New Roman"/>
                <w:sz w:val="18"/>
                <w:szCs w:val="18"/>
              </w:rPr>
              <w:t>[80，89]</w:t>
            </w:r>
            <w:bookmarkEnd w:id="126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27" w:name="_Toc31173"/>
            <w:r>
              <w:rPr>
                <w:rFonts w:ascii="Times New Roman" w:hAnsi="Times New Roman" w:cs="Times New Roman"/>
                <w:sz w:val="18"/>
                <w:szCs w:val="18"/>
              </w:rPr>
              <w:t>三级</w:t>
            </w:r>
            <w:bookmarkEnd w:id="127"/>
          </w:p>
        </w:tc>
        <w:tc>
          <w:tcPr>
            <w:tcW w:w="21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28" w:name="_Toc1298"/>
            <w:r>
              <w:rPr>
                <w:rFonts w:ascii="Times New Roman" w:hAnsi="Times New Roman" w:cs="Times New Roman"/>
                <w:sz w:val="18"/>
                <w:szCs w:val="18"/>
              </w:rPr>
              <w:t>区位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基础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一般</w:t>
            </w:r>
            <w:bookmarkEnd w:id="128"/>
          </w:p>
        </w:tc>
        <w:tc>
          <w:tcPr>
            <w:tcW w:w="2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29" w:name="_Toc24490"/>
            <w:r>
              <w:rPr>
                <w:rFonts w:ascii="Times New Roman" w:hAnsi="Times New Roman" w:cs="Times New Roman"/>
                <w:sz w:val="18"/>
                <w:szCs w:val="18"/>
              </w:rPr>
              <w:t>[60，79]</w:t>
            </w:r>
            <w:bookmarkEnd w:id="129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30" w:name="_Toc10392"/>
            <w:r>
              <w:rPr>
                <w:rFonts w:ascii="Times New Roman" w:hAnsi="Times New Roman" w:cs="Times New Roman"/>
                <w:sz w:val="18"/>
                <w:szCs w:val="18"/>
              </w:rPr>
              <w:t>四级</w:t>
            </w:r>
            <w:bookmarkEnd w:id="130"/>
          </w:p>
        </w:tc>
        <w:tc>
          <w:tcPr>
            <w:tcW w:w="21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hint="eastAsia" w:ascii="Times New Roman" w:hAnsi="Times New Roman" w:cs="Times New Roman"/>
                <w:bCs/>
                <w:sz w:val="18"/>
                <w:szCs w:val="18"/>
              </w:rPr>
            </w:pPr>
            <w:bookmarkStart w:id="131" w:name="_Toc6426"/>
            <w:r>
              <w:rPr>
                <w:rFonts w:ascii="Times New Roman" w:hAnsi="Times New Roman" w:cs="Times New Roman"/>
                <w:sz w:val="18"/>
                <w:szCs w:val="18"/>
              </w:rPr>
              <w:t>区位</w:t>
            </w:r>
            <w:bookmarkEnd w:id="131"/>
            <w:r>
              <w:rPr>
                <w:rFonts w:hint="eastAsia" w:ascii="Times New Roman" w:hAnsi="Times New Roman" w:cs="Times New Roman"/>
                <w:sz w:val="18"/>
                <w:szCs w:val="18"/>
              </w:rPr>
              <w:t>基础差</w:t>
            </w:r>
          </w:p>
        </w:tc>
        <w:tc>
          <w:tcPr>
            <w:tcW w:w="21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30" w:lineRule="exact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bookmarkStart w:id="132" w:name="_Toc9569"/>
            <w:r>
              <w:rPr>
                <w:rFonts w:ascii="Times New Roman" w:hAnsi="Times New Roman" w:cs="Times New Roman"/>
                <w:sz w:val="18"/>
                <w:szCs w:val="18"/>
              </w:rPr>
              <w:t>&lt;60</w:t>
            </w:r>
            <w:bookmarkEnd w:id="132"/>
          </w:p>
        </w:tc>
      </w:tr>
    </w:tbl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bookmarkStart w:id="133" w:name="_Toc6497"/>
      <w:bookmarkStart w:id="134" w:name="_Toc62762811"/>
      <w:r>
        <w:rPr>
          <w:rFonts w:ascii="Times New Roman" w:hAnsi="Times New Roman" w:cs="Times New Roman"/>
          <w:b/>
          <w:bCs/>
          <w:sz w:val="24"/>
          <w:szCs w:val="24"/>
        </w:rPr>
        <w:t>5.2 经济</w:t>
      </w:r>
      <w:bookmarkEnd w:id="133"/>
      <w:r>
        <w:rPr>
          <w:rFonts w:hint="eastAsia" w:ascii="Times New Roman" w:hAnsi="Times New Roman" w:cs="Times New Roman"/>
          <w:b/>
          <w:bCs/>
          <w:sz w:val="24"/>
          <w:szCs w:val="24"/>
        </w:rPr>
        <w:t>条件</w:t>
      </w:r>
      <w:r>
        <w:rPr>
          <w:rFonts w:ascii="Times New Roman" w:hAnsi="Times New Roman" w:cs="Times New Roman"/>
          <w:b/>
          <w:bCs/>
          <w:sz w:val="24"/>
          <w:szCs w:val="24"/>
        </w:rPr>
        <w:t>评价</w:t>
      </w:r>
      <w:bookmarkEnd w:id="134"/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5.2.1  </w:t>
      </w:r>
      <w:r>
        <w:rPr>
          <w:rFonts w:ascii="Times New Roman" w:hAnsi="Times New Roman" w:cs="Times New Roman"/>
          <w:szCs w:val="21"/>
        </w:rPr>
        <w:t>经济</w:t>
      </w:r>
      <w:r>
        <w:rPr>
          <w:rFonts w:hint="eastAsia" w:ascii="Times New Roman" w:hAnsi="Times New Roman" w:cs="Times New Roman"/>
          <w:szCs w:val="21"/>
        </w:rPr>
        <w:t>条件</w:t>
      </w:r>
      <w:r>
        <w:rPr>
          <w:rFonts w:ascii="Times New Roman" w:hAnsi="Times New Roman" w:cs="Times New Roman"/>
          <w:szCs w:val="21"/>
        </w:rPr>
        <w:t>评价应以再生模式为核心，从政策导向、投资环境、资源优势、市场潜力</w:t>
      </w:r>
      <w:r>
        <w:rPr>
          <w:rFonts w:hint="eastAsia" w:ascii="Times New Roman" w:hAnsi="Times New Roman" w:cs="Times New Roman"/>
          <w:szCs w:val="21"/>
        </w:rPr>
        <w:t>4个</w:t>
      </w:r>
      <w:r>
        <w:rPr>
          <w:rFonts w:ascii="Times New Roman" w:hAnsi="Times New Roman" w:cs="Times New Roman"/>
          <w:szCs w:val="21"/>
        </w:rPr>
        <w:t>方面综合评价，总分值为60分。</w:t>
      </w:r>
    </w:p>
    <w:p>
      <w:pPr>
        <w:spacing w:line="330" w:lineRule="exact"/>
        <w:rPr>
          <w:rFonts w:ascii="Times New Roman" w:hAnsi="Times New Roman" w:cs="Times New Roman"/>
          <w:color w:val="000000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5.2.2  </w:t>
      </w:r>
      <w:r>
        <w:rPr>
          <w:rFonts w:ascii="Times New Roman" w:hAnsi="Times New Roman" w:cs="Times New Roman"/>
          <w:szCs w:val="21"/>
        </w:rPr>
        <w:t>政策导向评价</w:t>
      </w:r>
      <w:r>
        <w:rPr>
          <w:rFonts w:hint="eastAsia" w:ascii="Times New Roman" w:hAnsi="Times New Roman" w:cs="Times New Roman"/>
          <w:color w:val="000000"/>
          <w:szCs w:val="21"/>
        </w:rPr>
        <w:t>是</w:t>
      </w:r>
      <w:r>
        <w:rPr>
          <w:rFonts w:ascii="Times New Roman" w:hAnsi="Times New Roman" w:cs="Times New Roman"/>
          <w:color w:val="000000"/>
          <w:szCs w:val="21"/>
        </w:rPr>
        <w:t>对激励性、补偿性、规范性等相关政策支持力度的综合评价，评价分值</w:t>
      </w:r>
      <w:r>
        <w:rPr>
          <w:rFonts w:ascii="Times New Roman" w:hAnsi="Times New Roman" w:cs="Times New Roman"/>
          <w:szCs w:val="21"/>
        </w:rPr>
        <w:t>为15分</w:t>
      </w:r>
      <w:r>
        <w:rPr>
          <w:rFonts w:ascii="Times New Roman" w:hAnsi="Times New Roman" w:cs="Times New Roman"/>
          <w:color w:val="000000"/>
          <w:szCs w:val="21"/>
        </w:rPr>
        <w:t>。</w:t>
      </w:r>
    </w:p>
    <w:p>
      <w:pPr>
        <w:spacing w:line="330" w:lineRule="exact"/>
        <w:rPr>
          <w:rFonts w:ascii="Times New Roman" w:hAnsi="Times New Roman" w:cs="Times New Roman"/>
          <w:color w:val="000000"/>
          <w:szCs w:val="21"/>
        </w:rPr>
      </w:pPr>
      <w:r>
        <w:rPr>
          <w:rFonts w:ascii="Times New Roman" w:hAnsi="Times New Roman" w:cs="Times New Roman"/>
          <w:b/>
          <w:bCs/>
          <w:color w:val="000000"/>
          <w:szCs w:val="21"/>
        </w:rPr>
        <w:t xml:space="preserve">5.2.3  </w:t>
      </w:r>
      <w:r>
        <w:rPr>
          <w:rFonts w:ascii="Times New Roman" w:hAnsi="Times New Roman" w:cs="Times New Roman"/>
          <w:color w:val="000000"/>
          <w:szCs w:val="21"/>
        </w:rPr>
        <w:t>投资环境评价</w:t>
      </w:r>
      <w:r>
        <w:rPr>
          <w:rFonts w:hint="eastAsia" w:ascii="Times New Roman" w:hAnsi="Times New Roman" w:cs="Times New Roman"/>
          <w:color w:val="000000"/>
          <w:szCs w:val="21"/>
        </w:rPr>
        <w:t>是</w:t>
      </w:r>
      <w:r>
        <w:rPr>
          <w:rFonts w:ascii="Times New Roman" w:hAnsi="Times New Roman" w:cs="Times New Roman"/>
          <w:color w:val="000000"/>
          <w:szCs w:val="21"/>
        </w:rPr>
        <w:t>对投资</w:t>
      </w:r>
      <w:r>
        <w:rPr>
          <w:rFonts w:hint="eastAsia" w:ascii="Times New Roman" w:hAnsi="Times New Roman" w:cs="Times New Roman"/>
          <w:color w:val="000000"/>
          <w:szCs w:val="21"/>
        </w:rPr>
        <w:t>形式</w:t>
      </w:r>
      <w:r>
        <w:rPr>
          <w:rFonts w:ascii="Times New Roman" w:hAnsi="Times New Roman" w:cs="Times New Roman"/>
          <w:color w:val="000000"/>
          <w:szCs w:val="21"/>
        </w:rPr>
        <w:t>、来源、结构、风险等</w:t>
      </w:r>
      <w:r>
        <w:rPr>
          <w:rFonts w:hint="eastAsia" w:ascii="Times New Roman" w:hAnsi="Times New Roman" w:cs="Times New Roman"/>
          <w:color w:val="000000"/>
          <w:szCs w:val="21"/>
        </w:rPr>
        <w:t>投资</w:t>
      </w:r>
      <w:r>
        <w:rPr>
          <w:rFonts w:ascii="Times New Roman" w:hAnsi="Times New Roman" w:cs="Times New Roman"/>
          <w:color w:val="000000"/>
          <w:szCs w:val="21"/>
        </w:rPr>
        <w:t>因素的综合评价，以综合反映投资环境对再生模式的有利程度，评价分值为15分。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color w:val="000000"/>
          <w:szCs w:val="21"/>
        </w:rPr>
        <w:t xml:space="preserve">5.2.4  </w:t>
      </w:r>
      <w:r>
        <w:rPr>
          <w:rFonts w:ascii="Times New Roman" w:hAnsi="Times New Roman" w:cs="Times New Roman"/>
          <w:color w:val="000000"/>
          <w:szCs w:val="21"/>
        </w:rPr>
        <w:t>资源优势评价</w:t>
      </w:r>
      <w:r>
        <w:rPr>
          <w:rFonts w:hint="eastAsia" w:ascii="Times New Roman" w:hAnsi="Times New Roman" w:cs="Times New Roman"/>
          <w:color w:val="000000"/>
          <w:szCs w:val="21"/>
        </w:rPr>
        <w:t>是</w:t>
      </w:r>
      <w:r>
        <w:rPr>
          <w:rFonts w:ascii="Times New Roman" w:hAnsi="Times New Roman" w:cs="Times New Roman"/>
          <w:color w:val="000000"/>
          <w:szCs w:val="21"/>
        </w:rPr>
        <w:t>对区域原材料、技术、人力</w:t>
      </w:r>
      <w:r>
        <w:rPr>
          <w:rFonts w:hint="eastAsia" w:ascii="Times New Roman" w:hAnsi="Times New Roman" w:cs="Times New Roman"/>
          <w:color w:val="000000"/>
          <w:szCs w:val="21"/>
        </w:rPr>
        <w:t>及</w:t>
      </w:r>
      <w:r>
        <w:rPr>
          <w:rFonts w:ascii="Times New Roman" w:hAnsi="Times New Roman" w:cs="Times New Roman"/>
          <w:color w:val="000000"/>
          <w:szCs w:val="21"/>
        </w:rPr>
        <w:t>战略定位等</w:t>
      </w:r>
      <w:r>
        <w:rPr>
          <w:rFonts w:hint="eastAsia" w:ascii="Times New Roman" w:hAnsi="Times New Roman" w:cs="Times New Roman"/>
          <w:color w:val="000000"/>
          <w:szCs w:val="21"/>
        </w:rPr>
        <w:t>特色</w:t>
      </w:r>
      <w:r>
        <w:rPr>
          <w:rFonts w:ascii="Times New Roman" w:hAnsi="Times New Roman" w:cs="Times New Roman"/>
          <w:color w:val="000000"/>
          <w:szCs w:val="21"/>
        </w:rPr>
        <w:t>资源的综合评价，以综合反映区域资源对再生模式的支持程度，评价分值</w:t>
      </w:r>
      <w:r>
        <w:rPr>
          <w:rFonts w:ascii="Times New Roman" w:hAnsi="Times New Roman" w:cs="Times New Roman"/>
          <w:szCs w:val="21"/>
        </w:rPr>
        <w:t>为15分。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5.2.5  </w:t>
      </w:r>
      <w:r>
        <w:rPr>
          <w:rFonts w:ascii="Times New Roman" w:hAnsi="Times New Roman" w:cs="Times New Roman"/>
          <w:szCs w:val="21"/>
        </w:rPr>
        <w:t>市场潜力评价</w:t>
      </w:r>
      <w:r>
        <w:rPr>
          <w:rFonts w:hint="eastAsia" w:ascii="Times New Roman" w:hAnsi="Times New Roman" w:cs="Times New Roman"/>
          <w:szCs w:val="21"/>
        </w:rPr>
        <w:t>是</w:t>
      </w:r>
      <w:r>
        <w:rPr>
          <w:rFonts w:ascii="Times New Roman" w:hAnsi="Times New Roman" w:cs="Times New Roman"/>
          <w:szCs w:val="21"/>
        </w:rPr>
        <w:t>对</w:t>
      </w:r>
      <w:r>
        <w:rPr>
          <w:rFonts w:hint="eastAsia" w:ascii="Times New Roman" w:hAnsi="Times New Roman" w:cs="Times New Roman"/>
          <w:szCs w:val="21"/>
        </w:rPr>
        <w:t>潜在</w:t>
      </w:r>
      <w:r>
        <w:rPr>
          <w:rFonts w:ascii="Times New Roman" w:hAnsi="Times New Roman" w:cs="Times New Roman"/>
          <w:szCs w:val="21"/>
        </w:rPr>
        <w:t>消费群体、市场需求</w:t>
      </w:r>
      <w:r>
        <w:rPr>
          <w:rFonts w:hint="eastAsia" w:ascii="Times New Roman" w:hAnsi="Times New Roman" w:cs="Times New Roman"/>
          <w:szCs w:val="21"/>
        </w:rPr>
        <w:t>及</w:t>
      </w:r>
      <w:r>
        <w:rPr>
          <w:rFonts w:ascii="Times New Roman" w:hAnsi="Times New Roman" w:cs="Times New Roman"/>
          <w:szCs w:val="21"/>
        </w:rPr>
        <w:t>发展前景等</w:t>
      </w:r>
      <w:r>
        <w:rPr>
          <w:rFonts w:hint="eastAsia" w:ascii="Times New Roman" w:hAnsi="Times New Roman" w:cs="Times New Roman"/>
          <w:szCs w:val="21"/>
        </w:rPr>
        <w:t>市场因素</w:t>
      </w:r>
      <w:r>
        <w:rPr>
          <w:rFonts w:ascii="Times New Roman" w:hAnsi="Times New Roman" w:cs="Times New Roman"/>
          <w:szCs w:val="21"/>
        </w:rPr>
        <w:t>的综合评价，评价分值为15分。</w:t>
      </w:r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bookmarkStart w:id="135" w:name="_Toc62762812"/>
      <w:bookmarkStart w:id="136" w:name="_Toc26403"/>
      <w:r>
        <w:rPr>
          <w:rFonts w:ascii="Times New Roman" w:hAnsi="Times New Roman" w:cs="Times New Roman"/>
          <w:b/>
          <w:bCs/>
          <w:sz w:val="24"/>
          <w:szCs w:val="24"/>
        </w:rPr>
        <w:t>5.3 交通条件评价</w:t>
      </w:r>
      <w:bookmarkEnd w:id="135"/>
      <w:bookmarkEnd w:id="136"/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5.3.1  </w:t>
      </w:r>
      <w:r>
        <w:rPr>
          <w:rFonts w:ascii="Times New Roman" w:hAnsi="Times New Roman" w:cs="Times New Roman"/>
          <w:szCs w:val="21"/>
        </w:rPr>
        <w:t>交通条件评价应以再生</w:t>
      </w:r>
      <w:r>
        <w:rPr>
          <w:rFonts w:hint="eastAsia" w:ascii="Times New Roman" w:hAnsi="Times New Roman" w:cs="Times New Roman"/>
          <w:szCs w:val="21"/>
        </w:rPr>
        <w:t>模式的</w:t>
      </w:r>
      <w:r>
        <w:rPr>
          <w:rFonts w:ascii="Times New Roman" w:hAnsi="Times New Roman" w:cs="Times New Roman"/>
          <w:szCs w:val="21"/>
        </w:rPr>
        <w:t>可持续性为导向，从交通</w:t>
      </w:r>
      <w:r>
        <w:rPr>
          <w:rFonts w:hint="eastAsia" w:ascii="Times New Roman" w:hAnsi="Times New Roman" w:cs="Times New Roman"/>
          <w:szCs w:val="21"/>
        </w:rPr>
        <w:t>便捷</w:t>
      </w:r>
      <w:r>
        <w:rPr>
          <w:rFonts w:ascii="Times New Roman" w:hAnsi="Times New Roman" w:cs="Times New Roman"/>
          <w:szCs w:val="21"/>
        </w:rPr>
        <w:t>性</w:t>
      </w:r>
      <w:r>
        <w:rPr>
          <w:rFonts w:hint="eastAsia" w:ascii="Times New Roman" w:hAnsi="Times New Roman" w:cs="Times New Roman"/>
          <w:szCs w:val="21"/>
        </w:rPr>
        <w:t>与</w:t>
      </w:r>
      <w:r>
        <w:rPr>
          <w:rFonts w:ascii="Times New Roman" w:hAnsi="Times New Roman" w:cs="Times New Roman"/>
          <w:szCs w:val="21"/>
        </w:rPr>
        <w:t>基础设施</w:t>
      </w:r>
      <w:r>
        <w:rPr>
          <w:rFonts w:hint="eastAsia" w:ascii="Times New Roman" w:hAnsi="Times New Roman" w:cs="Times New Roman"/>
          <w:szCs w:val="21"/>
        </w:rPr>
        <w:t>便利</w:t>
      </w:r>
      <w:r>
        <w:rPr>
          <w:rFonts w:ascii="Times New Roman" w:hAnsi="Times New Roman" w:cs="Times New Roman"/>
          <w:szCs w:val="21"/>
        </w:rPr>
        <w:t>性</w:t>
      </w:r>
      <w:r>
        <w:rPr>
          <w:rFonts w:hint="eastAsia" w:ascii="Times New Roman" w:hAnsi="Times New Roman" w:cs="Times New Roman"/>
          <w:szCs w:val="21"/>
        </w:rPr>
        <w:t>2个</w:t>
      </w:r>
      <w:r>
        <w:rPr>
          <w:rFonts w:ascii="Times New Roman" w:hAnsi="Times New Roman" w:cs="Times New Roman"/>
          <w:szCs w:val="21"/>
        </w:rPr>
        <w:t>方面综合评价，总分值为40分。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5.3.2  </w:t>
      </w:r>
      <w:r>
        <w:rPr>
          <w:rFonts w:ascii="Times New Roman" w:hAnsi="Times New Roman" w:cs="Times New Roman"/>
          <w:szCs w:val="21"/>
        </w:rPr>
        <w:t>交通</w:t>
      </w:r>
      <w:r>
        <w:rPr>
          <w:rFonts w:hint="eastAsia" w:ascii="Times New Roman" w:hAnsi="Times New Roman" w:cs="Times New Roman"/>
          <w:szCs w:val="21"/>
        </w:rPr>
        <w:t>便捷</w:t>
      </w:r>
      <w:r>
        <w:rPr>
          <w:rFonts w:ascii="Times New Roman" w:hAnsi="Times New Roman" w:cs="Times New Roman"/>
          <w:szCs w:val="21"/>
        </w:rPr>
        <w:t>性评价</w:t>
      </w:r>
      <w:r>
        <w:rPr>
          <w:rFonts w:hint="eastAsia" w:ascii="Times New Roman" w:hAnsi="Times New Roman" w:cs="Times New Roman"/>
          <w:szCs w:val="21"/>
        </w:rPr>
        <w:t>是</w:t>
      </w:r>
      <w:r>
        <w:rPr>
          <w:rFonts w:ascii="Times New Roman" w:hAnsi="Times New Roman" w:cs="Times New Roman"/>
          <w:szCs w:val="21"/>
        </w:rPr>
        <w:t>对旧工业厂区与城市交通网络联系程度</w:t>
      </w:r>
      <w:r>
        <w:rPr>
          <w:rFonts w:hint="eastAsia" w:ascii="Times New Roman" w:hAnsi="Times New Roman" w:cs="Times New Roman"/>
          <w:szCs w:val="21"/>
        </w:rPr>
        <w:t>的综合评价，应注重厂区</w:t>
      </w:r>
      <w:r>
        <w:rPr>
          <w:rFonts w:ascii="Times New Roman" w:hAnsi="Times New Roman" w:cs="Times New Roman"/>
          <w:szCs w:val="21"/>
        </w:rPr>
        <w:t>周边</w:t>
      </w:r>
      <w:r>
        <w:rPr>
          <w:rFonts w:hint="eastAsia" w:ascii="Times New Roman" w:hAnsi="Times New Roman" w:cs="Times New Roman"/>
          <w:szCs w:val="21"/>
        </w:rPr>
        <w:t>的</w:t>
      </w:r>
      <w:r>
        <w:rPr>
          <w:rFonts w:ascii="Times New Roman" w:hAnsi="Times New Roman" w:cs="Times New Roman"/>
          <w:szCs w:val="21"/>
        </w:rPr>
        <w:t>路网结构、道路等级</w:t>
      </w:r>
      <w:r>
        <w:rPr>
          <w:rFonts w:hint="eastAsia" w:ascii="Times New Roman" w:hAnsi="Times New Roman" w:cs="Times New Roman"/>
          <w:szCs w:val="21"/>
        </w:rPr>
        <w:t>及</w:t>
      </w:r>
      <w:r>
        <w:rPr>
          <w:rFonts w:ascii="Times New Roman" w:hAnsi="Times New Roman" w:cs="Times New Roman"/>
          <w:szCs w:val="21"/>
        </w:rPr>
        <w:t>通行能力，评价分值为20分。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5.3.3  </w:t>
      </w:r>
      <w:r>
        <w:rPr>
          <w:rFonts w:ascii="Times New Roman" w:hAnsi="Times New Roman" w:cs="Times New Roman"/>
          <w:szCs w:val="21"/>
        </w:rPr>
        <w:t>基础设施</w:t>
      </w:r>
      <w:r>
        <w:rPr>
          <w:rFonts w:hint="eastAsia" w:ascii="Times New Roman" w:hAnsi="Times New Roman" w:cs="Times New Roman"/>
          <w:szCs w:val="21"/>
        </w:rPr>
        <w:t>便利</w:t>
      </w:r>
      <w:r>
        <w:rPr>
          <w:rFonts w:ascii="Times New Roman" w:hAnsi="Times New Roman" w:cs="Times New Roman"/>
          <w:szCs w:val="21"/>
        </w:rPr>
        <w:t>性评价</w:t>
      </w:r>
      <w:r>
        <w:rPr>
          <w:rFonts w:hint="eastAsia" w:ascii="Times New Roman" w:hAnsi="Times New Roman" w:cs="Times New Roman"/>
          <w:szCs w:val="21"/>
        </w:rPr>
        <w:t>是对旧工业厂区与公共服务基础设施通达程度的综合评价，应注重与周边基础设施的通行距离、方式、成本及可达性</w:t>
      </w:r>
      <w:r>
        <w:rPr>
          <w:rFonts w:ascii="Times New Roman" w:hAnsi="Times New Roman" w:cs="Times New Roman"/>
          <w:szCs w:val="21"/>
        </w:rPr>
        <w:t>，评价分值为20分。</w:t>
      </w:r>
    </w:p>
    <w:p>
      <w:pPr>
        <w:widowControl/>
        <w:jc w:val="left"/>
        <w:rPr>
          <w:rFonts w:ascii="Times New Roman" w:hAnsi="Times New Roman" w:cs="Times New Roman"/>
          <w:b/>
          <w:kern w:val="44"/>
          <w:sz w:val="30"/>
          <w:szCs w:val="24"/>
        </w:rPr>
      </w:pPr>
      <w:r>
        <w:rPr>
          <w:rFonts w:ascii="Times New Roman" w:hAnsi="Times New Roman" w:cs="Times New Roman"/>
          <w:b/>
          <w:kern w:val="44"/>
          <w:sz w:val="30"/>
          <w:szCs w:val="24"/>
        </w:rPr>
        <w:br w:type="page"/>
      </w:r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cs="Times New Roman"/>
          <w:b/>
          <w:kern w:val="44"/>
          <w:sz w:val="30"/>
          <w:szCs w:val="24"/>
        </w:rPr>
      </w:pPr>
      <w:bookmarkStart w:id="137" w:name="_Toc62762813"/>
      <w:r>
        <w:rPr>
          <w:rFonts w:ascii="Times New Roman" w:hAnsi="Times New Roman" w:cs="Times New Roman"/>
          <w:b/>
          <w:kern w:val="44"/>
          <w:sz w:val="30"/>
          <w:szCs w:val="24"/>
        </w:rPr>
        <w:t xml:space="preserve">6 </w:t>
      </w:r>
      <w:bookmarkEnd w:id="46"/>
      <w:bookmarkEnd w:id="47"/>
      <w:bookmarkEnd w:id="48"/>
      <w:r>
        <w:rPr>
          <w:rFonts w:ascii="Times New Roman" w:hAnsi="Times New Roman" w:cs="Times New Roman"/>
          <w:b/>
          <w:kern w:val="44"/>
          <w:sz w:val="30"/>
          <w:szCs w:val="24"/>
        </w:rPr>
        <w:t>资源</w:t>
      </w:r>
      <w:r>
        <w:rPr>
          <w:rFonts w:hint="eastAsia" w:ascii="Times New Roman" w:hAnsi="Times New Roman" w:cs="Times New Roman"/>
          <w:b/>
          <w:kern w:val="44"/>
          <w:sz w:val="30"/>
          <w:szCs w:val="24"/>
        </w:rPr>
        <w:t>潜</w:t>
      </w:r>
      <w:r>
        <w:rPr>
          <w:rFonts w:ascii="Times New Roman" w:hAnsi="Times New Roman" w:cs="Times New Roman"/>
          <w:b/>
          <w:kern w:val="44"/>
          <w:sz w:val="30"/>
          <w:szCs w:val="24"/>
        </w:rPr>
        <w:t>力评价</w:t>
      </w:r>
      <w:bookmarkEnd w:id="49"/>
      <w:bookmarkEnd w:id="137"/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38" w:name="_Toc3550049"/>
      <w:bookmarkStart w:id="139" w:name="_Toc525330796"/>
      <w:bookmarkStart w:id="140" w:name="_Toc23227"/>
      <w:bookmarkStart w:id="141" w:name="_Toc3546961"/>
      <w:bookmarkStart w:id="142" w:name="_Toc3550187"/>
      <w:bookmarkStart w:id="143" w:name="_Toc520301032"/>
      <w:bookmarkStart w:id="144" w:name="_Toc972"/>
      <w:bookmarkStart w:id="145" w:name="_Toc520301123"/>
      <w:bookmarkStart w:id="146" w:name="_Toc26817_WPSOffice_Level3"/>
      <w:bookmarkStart w:id="147" w:name="_Toc62762814"/>
      <w:bookmarkStart w:id="148" w:name="_Toc520289926"/>
      <w:r>
        <w:rPr>
          <w:rFonts w:ascii="Times New Roman" w:hAnsi="Times New Roman" w:cs="Times New Roman"/>
          <w:b/>
          <w:sz w:val="24"/>
          <w:szCs w:val="24"/>
        </w:rPr>
        <w:t>6.1 一般规定</w:t>
      </w:r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6.1.1 </w:t>
      </w:r>
      <w:r>
        <w:rPr>
          <w:rFonts w:ascii="Times New Roman" w:hAnsi="Times New Roman" w:cs="Times New Roman"/>
          <w:szCs w:val="21"/>
        </w:rPr>
        <w:t xml:space="preserve"> 资源</w:t>
      </w:r>
      <w:r>
        <w:rPr>
          <w:rFonts w:hint="eastAsia" w:ascii="Times New Roman" w:hAnsi="Times New Roman" w:cs="Times New Roman"/>
          <w:szCs w:val="21"/>
        </w:rPr>
        <w:t>潜</w:t>
      </w:r>
      <w:r>
        <w:rPr>
          <w:rFonts w:ascii="Times New Roman" w:hAnsi="Times New Roman" w:cs="Times New Roman"/>
          <w:szCs w:val="21"/>
        </w:rPr>
        <w:t>力评价应客观反映旧工业厂区既有资源</w:t>
      </w:r>
      <w:r>
        <w:rPr>
          <w:rFonts w:hint="eastAsia" w:ascii="Times New Roman" w:hAnsi="Times New Roman" w:cs="Times New Roman"/>
          <w:szCs w:val="21"/>
        </w:rPr>
        <w:t>的可利用性</w:t>
      </w:r>
      <w:r>
        <w:rPr>
          <w:rFonts w:ascii="Times New Roman" w:hAnsi="Times New Roman" w:cs="Times New Roman"/>
          <w:szCs w:val="21"/>
        </w:rPr>
        <w:t>，为再生模式开发提供客观可靠的决策依据。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6.1.2</w:t>
      </w:r>
      <w:r>
        <w:rPr>
          <w:rFonts w:ascii="Times New Roman" w:hAnsi="Times New Roman" w:cs="Times New Roman"/>
          <w:szCs w:val="21"/>
        </w:rPr>
        <w:t xml:space="preserve">  资源</w:t>
      </w:r>
      <w:r>
        <w:rPr>
          <w:rFonts w:hint="eastAsia" w:ascii="Times New Roman" w:hAnsi="Times New Roman" w:cs="Times New Roman"/>
          <w:szCs w:val="21"/>
        </w:rPr>
        <w:t>潜</w:t>
      </w:r>
      <w:r>
        <w:rPr>
          <w:rFonts w:ascii="Times New Roman" w:hAnsi="Times New Roman" w:cs="Times New Roman"/>
          <w:szCs w:val="21"/>
        </w:rPr>
        <w:t>力评价应遵循目标导向、科学利用、系统量测、经济适用的原则。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6.1.3 </w:t>
      </w:r>
      <w:r>
        <w:rPr>
          <w:rFonts w:ascii="Times New Roman" w:hAnsi="Times New Roman" w:cs="Times New Roman"/>
          <w:szCs w:val="21"/>
        </w:rPr>
        <w:t xml:space="preserve"> 资源</w:t>
      </w:r>
      <w:r>
        <w:rPr>
          <w:rFonts w:hint="eastAsia" w:ascii="Times New Roman" w:hAnsi="Times New Roman" w:cs="Times New Roman"/>
          <w:szCs w:val="21"/>
        </w:rPr>
        <w:t>潜</w:t>
      </w:r>
      <w:r>
        <w:rPr>
          <w:rFonts w:ascii="Times New Roman" w:hAnsi="Times New Roman" w:cs="Times New Roman"/>
          <w:szCs w:val="21"/>
        </w:rPr>
        <w:t>力包括人文资源、建筑资源、设施资源3个评价项目，总分</w:t>
      </w:r>
      <w:r>
        <w:rPr>
          <w:rFonts w:hint="eastAsia" w:ascii="Times New Roman" w:hAnsi="Times New Roman" w:cs="Times New Roman"/>
          <w:szCs w:val="21"/>
        </w:rPr>
        <w:t>值为</w:t>
      </w:r>
      <w:r>
        <w:rPr>
          <w:rFonts w:ascii="Times New Roman" w:hAnsi="Times New Roman" w:cs="Times New Roman"/>
          <w:szCs w:val="21"/>
        </w:rPr>
        <w:t>100分。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6.1.4</w:t>
      </w:r>
      <w:r>
        <w:rPr>
          <w:rFonts w:ascii="Times New Roman" w:hAnsi="Times New Roman" w:cs="Times New Roman"/>
          <w:szCs w:val="21"/>
        </w:rPr>
        <w:t xml:space="preserve">  资源</w:t>
      </w:r>
      <w:r>
        <w:rPr>
          <w:rFonts w:hint="eastAsia" w:ascii="Times New Roman" w:hAnsi="Times New Roman" w:cs="Times New Roman"/>
          <w:szCs w:val="21"/>
        </w:rPr>
        <w:t>潜</w:t>
      </w:r>
      <w:r>
        <w:rPr>
          <w:rFonts w:ascii="Times New Roman" w:hAnsi="Times New Roman" w:cs="Times New Roman"/>
          <w:szCs w:val="21"/>
        </w:rPr>
        <w:t>力评价结果分为4个等级，具体</w:t>
      </w:r>
      <w:r>
        <w:rPr>
          <w:rFonts w:hint="eastAsia" w:ascii="Times New Roman" w:hAnsi="Times New Roman" w:cs="Times New Roman"/>
          <w:szCs w:val="21"/>
        </w:rPr>
        <w:t>等级</w:t>
      </w:r>
      <w:r>
        <w:rPr>
          <w:rFonts w:ascii="Times New Roman" w:hAnsi="Times New Roman" w:cs="Times New Roman"/>
          <w:szCs w:val="21"/>
        </w:rPr>
        <w:t>划分</w:t>
      </w:r>
      <w:r>
        <w:rPr>
          <w:rFonts w:hint="eastAsia" w:ascii="Times New Roman" w:hAnsi="Times New Roman" w:cs="Times New Roman"/>
          <w:szCs w:val="21"/>
        </w:rPr>
        <w:t>符合</w:t>
      </w:r>
      <w:r>
        <w:rPr>
          <w:rFonts w:ascii="Times New Roman" w:hAnsi="Times New Roman" w:cs="Times New Roman"/>
          <w:szCs w:val="21"/>
        </w:rPr>
        <w:t>表6.1.4</w:t>
      </w:r>
      <w:r>
        <w:rPr>
          <w:rFonts w:hint="eastAsia" w:ascii="Times New Roman" w:hAnsi="Times New Roman" w:cs="Times New Roman"/>
          <w:szCs w:val="21"/>
        </w:rPr>
        <w:t>的规定</w:t>
      </w:r>
      <w:r>
        <w:rPr>
          <w:rFonts w:ascii="Times New Roman" w:hAnsi="Times New Roman" w:cs="Times New Roman"/>
          <w:szCs w:val="21"/>
        </w:rPr>
        <w:t>。</w:t>
      </w:r>
    </w:p>
    <w:p>
      <w:pPr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表6.1.4 资源</w:t>
      </w:r>
      <w:r>
        <w:rPr>
          <w:rFonts w:hint="eastAsia" w:ascii="Times New Roman" w:hAnsi="Times New Roman" w:cs="Times New Roman"/>
          <w:b/>
          <w:bCs/>
          <w:sz w:val="18"/>
          <w:szCs w:val="18"/>
        </w:rPr>
        <w:t>潜</w:t>
      </w:r>
      <w:r>
        <w:rPr>
          <w:rFonts w:ascii="Times New Roman" w:hAnsi="Times New Roman" w:cs="Times New Roman"/>
          <w:b/>
          <w:bCs/>
          <w:sz w:val="18"/>
          <w:szCs w:val="18"/>
        </w:rPr>
        <w:t>力评价等级</w:t>
      </w:r>
      <w:r>
        <w:rPr>
          <w:rFonts w:hint="eastAsia" w:ascii="Times New Roman" w:hAnsi="Times New Roman" w:cs="Times New Roman"/>
          <w:b/>
          <w:bCs/>
          <w:sz w:val="18"/>
          <w:szCs w:val="18"/>
        </w:rPr>
        <w:t>划分</w:t>
      </w:r>
    </w:p>
    <w:tbl>
      <w:tblPr>
        <w:tblStyle w:val="2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1"/>
        <w:gridCol w:w="3034"/>
        <w:gridCol w:w="1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" w:hRule="atLeast"/>
        </w:trPr>
        <w:tc>
          <w:tcPr>
            <w:tcW w:w="223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等级</w:t>
            </w:r>
          </w:p>
        </w:tc>
        <w:tc>
          <w:tcPr>
            <w:tcW w:w="414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状况描述</w:t>
            </w:r>
          </w:p>
        </w:tc>
        <w:tc>
          <w:tcPr>
            <w:tcW w:w="209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223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一级</w:t>
            </w:r>
          </w:p>
        </w:tc>
        <w:tc>
          <w:tcPr>
            <w:tcW w:w="414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资源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潜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力高</w:t>
            </w:r>
          </w:p>
        </w:tc>
        <w:tc>
          <w:tcPr>
            <w:tcW w:w="209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[90，100]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</w:trPr>
        <w:tc>
          <w:tcPr>
            <w:tcW w:w="223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二级</w:t>
            </w:r>
          </w:p>
        </w:tc>
        <w:tc>
          <w:tcPr>
            <w:tcW w:w="414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资源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潜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力较高</w:t>
            </w:r>
          </w:p>
        </w:tc>
        <w:tc>
          <w:tcPr>
            <w:tcW w:w="209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[80，89]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223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三级</w:t>
            </w:r>
          </w:p>
        </w:tc>
        <w:tc>
          <w:tcPr>
            <w:tcW w:w="414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资源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潜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力一般</w:t>
            </w:r>
          </w:p>
        </w:tc>
        <w:tc>
          <w:tcPr>
            <w:tcW w:w="209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[60，79]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" w:hRule="atLeast"/>
        </w:trPr>
        <w:tc>
          <w:tcPr>
            <w:tcW w:w="2235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四级</w:t>
            </w:r>
          </w:p>
        </w:tc>
        <w:tc>
          <w:tcPr>
            <w:tcW w:w="4141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资源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潜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力低</w:t>
            </w:r>
          </w:p>
        </w:tc>
        <w:tc>
          <w:tcPr>
            <w:tcW w:w="209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＜60</w:t>
            </w:r>
          </w:p>
        </w:tc>
      </w:tr>
    </w:tbl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49" w:name="_Toc62762815"/>
      <w:bookmarkStart w:id="150" w:name="_Toc7234"/>
      <w:r>
        <w:rPr>
          <w:rFonts w:ascii="Times New Roman" w:hAnsi="Times New Roman" w:cs="Times New Roman"/>
          <w:b/>
          <w:sz w:val="24"/>
          <w:szCs w:val="24"/>
        </w:rPr>
        <w:t>6.2 人文资源评价</w:t>
      </w:r>
      <w:bookmarkEnd w:id="149"/>
      <w:bookmarkEnd w:id="150"/>
    </w:p>
    <w:p>
      <w:pPr>
        <w:rPr>
          <w:rFonts w:ascii="Times New Roman" w:hAnsi="Times New Roman" w:cs="Times New Roman"/>
          <w:szCs w:val="21"/>
          <w:u w:val="single"/>
        </w:rPr>
      </w:pPr>
      <w:r>
        <w:rPr>
          <w:rFonts w:ascii="Times New Roman" w:hAnsi="Times New Roman" w:cs="Times New Roman"/>
          <w:b/>
          <w:bCs/>
          <w:szCs w:val="21"/>
        </w:rPr>
        <w:t>6.2.1</w:t>
      </w:r>
      <w:r>
        <w:rPr>
          <w:rFonts w:ascii="Times New Roman" w:hAnsi="Times New Roman" w:cs="Times New Roman"/>
          <w:szCs w:val="21"/>
        </w:rPr>
        <w:t xml:space="preserve">  人文资源</w:t>
      </w:r>
      <w:r>
        <w:rPr>
          <w:rFonts w:ascii="Times New Roman" w:hAnsi="Times New Roman" w:cs="Times New Roman"/>
          <w:szCs w:val="21"/>
          <w:shd w:val="clear" w:color="auto" w:fill="FFFFFF"/>
        </w:rPr>
        <w:t>评价是对旧工业厂区内既有历史记忆、</w:t>
      </w:r>
      <w:r>
        <w:rPr>
          <w:rFonts w:ascii="Times New Roman" w:hAnsi="Times New Roman" w:cs="Times New Roman"/>
          <w:szCs w:val="21"/>
        </w:rPr>
        <w:t>人文精神</w:t>
      </w:r>
      <w:r>
        <w:rPr>
          <w:rFonts w:ascii="Times New Roman" w:hAnsi="Times New Roman" w:cs="Times New Roman"/>
          <w:szCs w:val="21"/>
          <w:shd w:val="clear" w:color="auto" w:fill="FFFFFF"/>
        </w:rPr>
        <w:t>、工匠精神等可利用性的综合评价，总分值为25分。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6.2.2</w:t>
      </w:r>
      <w:r>
        <w:rPr>
          <w:rFonts w:ascii="Times New Roman" w:hAnsi="Times New Roman" w:cs="Times New Roman"/>
          <w:szCs w:val="21"/>
        </w:rPr>
        <w:t xml:space="preserve">  历史记忆评价</w:t>
      </w:r>
      <w:r>
        <w:rPr>
          <w:rFonts w:hint="eastAsia" w:ascii="Times New Roman" w:hAnsi="Times New Roman" w:cs="Times New Roman"/>
          <w:szCs w:val="21"/>
        </w:rPr>
        <w:t>是</w:t>
      </w:r>
      <w:r>
        <w:rPr>
          <w:rFonts w:ascii="Times New Roman" w:hAnsi="Times New Roman" w:cs="Times New Roman"/>
          <w:szCs w:val="21"/>
        </w:rPr>
        <w:t>对旧工业厂区</w:t>
      </w:r>
      <w:r>
        <w:rPr>
          <w:rFonts w:hint="eastAsia" w:ascii="Times New Roman" w:hAnsi="Times New Roman" w:cs="Times New Roman"/>
        </w:rPr>
        <w:t>与制度、组织、发展、工艺、生产、典故等相关</w:t>
      </w:r>
      <w:r>
        <w:rPr>
          <w:rFonts w:hint="eastAsia" w:ascii="Times New Roman" w:hAnsi="Times New Roman" w:cs="Times New Roman"/>
          <w:szCs w:val="21"/>
        </w:rPr>
        <w:t>历史文化资源</w:t>
      </w:r>
      <w:r>
        <w:rPr>
          <w:rFonts w:ascii="Times New Roman" w:hAnsi="Times New Roman" w:cs="Times New Roman"/>
          <w:szCs w:val="21"/>
        </w:rPr>
        <w:t>的综合评</w:t>
      </w:r>
      <w:r>
        <w:rPr>
          <w:rFonts w:hint="eastAsia" w:ascii="Times New Roman" w:hAnsi="Times New Roman" w:cs="Times New Roman"/>
          <w:szCs w:val="21"/>
        </w:rPr>
        <w:t>价</w:t>
      </w:r>
      <w:r>
        <w:rPr>
          <w:rFonts w:ascii="Times New Roman" w:hAnsi="Times New Roman" w:cs="Times New Roman"/>
          <w:szCs w:val="21"/>
        </w:rPr>
        <w:t>，评价分值为10分。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6.2.3 </w:t>
      </w:r>
      <w:r>
        <w:rPr>
          <w:rFonts w:ascii="Times New Roman" w:hAnsi="Times New Roman" w:cs="Times New Roman"/>
          <w:szCs w:val="21"/>
        </w:rPr>
        <w:t xml:space="preserve"> 人文精神评价</w:t>
      </w:r>
      <w:r>
        <w:rPr>
          <w:rFonts w:hint="eastAsia" w:ascii="Times New Roman" w:hAnsi="Times New Roman" w:cs="Times New Roman"/>
          <w:szCs w:val="21"/>
        </w:rPr>
        <w:t>是</w:t>
      </w:r>
      <w:r>
        <w:rPr>
          <w:rFonts w:ascii="Times New Roman" w:hAnsi="Times New Roman" w:cs="Times New Roman"/>
          <w:szCs w:val="21"/>
        </w:rPr>
        <w:t>对旧工业厂区</w:t>
      </w:r>
      <w:r>
        <w:rPr>
          <w:rFonts w:hint="eastAsia" w:ascii="Times New Roman" w:hAnsi="Times New Roman" w:cs="Times New Roman"/>
          <w:szCs w:val="21"/>
        </w:rPr>
        <w:t>与</w:t>
      </w:r>
      <w:r>
        <w:rPr>
          <w:rFonts w:hint="eastAsia" w:ascii="Times New Roman" w:hAnsi="Times New Roman" w:cs="Times New Roman"/>
        </w:rPr>
        <w:t>信仰、理想、安全、奋进、幸福、审美等相关人文精神资源的综合评价，</w:t>
      </w:r>
      <w:r>
        <w:rPr>
          <w:rFonts w:ascii="Times New Roman" w:hAnsi="Times New Roman" w:cs="Times New Roman"/>
          <w:szCs w:val="21"/>
        </w:rPr>
        <w:t>评价分值为10分。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6.2.4</w:t>
      </w:r>
      <w:r>
        <w:rPr>
          <w:rFonts w:ascii="Times New Roman" w:hAnsi="Times New Roman" w:cs="Times New Roman"/>
          <w:szCs w:val="21"/>
        </w:rPr>
        <w:t xml:space="preserve">  工匠精神评价</w:t>
      </w:r>
      <w:r>
        <w:rPr>
          <w:rFonts w:hint="eastAsia" w:ascii="Times New Roman" w:hAnsi="Times New Roman" w:cs="Times New Roman"/>
          <w:szCs w:val="21"/>
        </w:rPr>
        <w:t>是</w:t>
      </w:r>
      <w:r>
        <w:rPr>
          <w:rFonts w:ascii="Times New Roman" w:hAnsi="Times New Roman" w:cs="Times New Roman"/>
          <w:szCs w:val="21"/>
        </w:rPr>
        <w:t>对与敬业、精益、专注</w:t>
      </w:r>
      <w:r>
        <w:rPr>
          <w:rFonts w:hint="eastAsia" w:ascii="Times New Roman" w:hAnsi="Times New Roman" w:cs="Times New Roman"/>
          <w:szCs w:val="21"/>
        </w:rPr>
        <w:t>及</w:t>
      </w:r>
      <w:r>
        <w:rPr>
          <w:rFonts w:ascii="Times New Roman" w:hAnsi="Times New Roman" w:cs="Times New Roman"/>
          <w:szCs w:val="21"/>
        </w:rPr>
        <w:t>创新等相关</w:t>
      </w:r>
      <w:r>
        <w:rPr>
          <w:rFonts w:hint="eastAsia" w:ascii="Times New Roman" w:hAnsi="Times New Roman" w:cs="Times New Roman"/>
          <w:szCs w:val="21"/>
        </w:rPr>
        <w:t>职业</w:t>
      </w:r>
      <w:r>
        <w:rPr>
          <w:rFonts w:ascii="Times New Roman" w:hAnsi="Times New Roman" w:cs="Times New Roman"/>
          <w:szCs w:val="21"/>
        </w:rPr>
        <w:t>精神资源的综合评价，评价分值为5分。</w:t>
      </w:r>
      <w:bookmarkStart w:id="151" w:name="_Toc23946"/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52" w:name="_Toc62762816"/>
      <w:r>
        <w:rPr>
          <w:rFonts w:ascii="Times New Roman" w:hAnsi="Times New Roman" w:cs="Times New Roman"/>
          <w:b/>
          <w:sz w:val="24"/>
          <w:szCs w:val="24"/>
        </w:rPr>
        <w:t>6.3 建筑资源评价</w:t>
      </w:r>
      <w:bookmarkEnd w:id="151"/>
      <w:bookmarkEnd w:id="152"/>
    </w:p>
    <w:p>
      <w:pPr>
        <w:rPr>
          <w:rFonts w:ascii="Times New Roman" w:hAnsi="Times New Roman" w:cs="Times New Roman"/>
          <w:szCs w:val="21"/>
          <w:u w:val="single"/>
        </w:rPr>
      </w:pPr>
      <w:r>
        <w:rPr>
          <w:rFonts w:ascii="Times New Roman" w:hAnsi="Times New Roman" w:cs="Times New Roman"/>
          <w:b/>
          <w:bCs/>
          <w:szCs w:val="21"/>
        </w:rPr>
        <w:t>6.3.1</w:t>
      </w:r>
      <w:r>
        <w:rPr>
          <w:rFonts w:ascii="Times New Roman" w:hAnsi="Times New Roman" w:cs="Times New Roman"/>
          <w:szCs w:val="21"/>
        </w:rPr>
        <w:t xml:space="preserve">  建筑资源</w:t>
      </w:r>
      <w:r>
        <w:rPr>
          <w:rFonts w:ascii="Times New Roman" w:hAnsi="Times New Roman" w:cs="Times New Roman"/>
          <w:szCs w:val="21"/>
          <w:shd w:val="clear" w:color="auto" w:fill="FFFFFF"/>
        </w:rPr>
        <w:t>评价是对旧工业厂区既有建筑结构性能、平面布局、</w:t>
      </w:r>
      <w:r>
        <w:rPr>
          <w:rFonts w:hint="eastAsia" w:ascii="Times New Roman" w:hAnsi="Times New Roman" w:cs="Times New Roman"/>
          <w:szCs w:val="21"/>
          <w:shd w:val="clear" w:color="auto" w:fill="FFFFFF"/>
        </w:rPr>
        <w:t>厂区风貌</w:t>
      </w:r>
      <w:r>
        <w:rPr>
          <w:rFonts w:ascii="Times New Roman" w:hAnsi="Times New Roman" w:cs="Times New Roman"/>
          <w:szCs w:val="21"/>
          <w:shd w:val="clear" w:color="auto" w:fill="FFFFFF"/>
        </w:rPr>
        <w:t>、建筑风格等可利用性的综合评价，总分值为40分。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6.3.2</w:t>
      </w:r>
      <w:r>
        <w:rPr>
          <w:rFonts w:ascii="Times New Roman" w:hAnsi="Times New Roman" w:cs="Times New Roman"/>
          <w:szCs w:val="21"/>
        </w:rPr>
        <w:t xml:space="preserve">  </w:t>
      </w:r>
      <w:r>
        <w:rPr>
          <w:rFonts w:hint="eastAsia" w:ascii="Times New Roman" w:hAnsi="Times New Roman" w:cs="Times New Roman"/>
          <w:szCs w:val="21"/>
        </w:rPr>
        <w:t>既有</w:t>
      </w:r>
      <w:r>
        <w:rPr>
          <w:rFonts w:ascii="Times New Roman" w:hAnsi="Times New Roman" w:cs="Times New Roman"/>
          <w:szCs w:val="21"/>
        </w:rPr>
        <w:t>建筑结构性能评定应</w:t>
      </w:r>
      <w:r>
        <w:rPr>
          <w:rFonts w:hint="eastAsia" w:ascii="Times New Roman" w:hAnsi="Times New Roman" w:cs="Times New Roman"/>
          <w:szCs w:val="21"/>
        </w:rPr>
        <w:t>符合现行标准的规定</w:t>
      </w:r>
      <w:r>
        <w:rPr>
          <w:rFonts w:ascii="Times New Roman" w:hAnsi="Times New Roman" w:cs="Times New Roman"/>
          <w:szCs w:val="21"/>
        </w:rPr>
        <w:t>，并</w:t>
      </w:r>
      <w:r>
        <w:rPr>
          <w:rFonts w:hint="eastAsia" w:ascii="Times New Roman" w:hAnsi="Times New Roman" w:cs="Times New Roman"/>
          <w:szCs w:val="21"/>
        </w:rPr>
        <w:t>按</w:t>
      </w:r>
      <w:r>
        <w:rPr>
          <w:rFonts w:ascii="Times New Roman" w:hAnsi="Times New Roman" w:cs="Times New Roman"/>
          <w:szCs w:val="21"/>
        </w:rPr>
        <w:t>现行团体标准《旧工业建筑再生利用技术标准》T/CMCA 4001</w:t>
      </w:r>
      <w:r>
        <w:rPr>
          <w:rFonts w:hint="eastAsia" w:ascii="Times New Roman" w:hAnsi="Times New Roman" w:cs="Times New Roman"/>
          <w:szCs w:val="21"/>
        </w:rPr>
        <w:t>执行</w:t>
      </w:r>
      <w:r>
        <w:rPr>
          <w:rFonts w:ascii="Times New Roman" w:hAnsi="Times New Roman" w:cs="Times New Roman"/>
          <w:szCs w:val="21"/>
        </w:rPr>
        <w:t>，</w:t>
      </w:r>
      <w:r>
        <w:rPr>
          <w:rFonts w:hint="eastAsia" w:ascii="Times New Roman" w:hAnsi="Times New Roman" w:cs="Times New Roman"/>
          <w:szCs w:val="21"/>
        </w:rPr>
        <w:t>评定</w:t>
      </w:r>
      <w:r>
        <w:rPr>
          <w:rFonts w:ascii="Times New Roman" w:hAnsi="Times New Roman" w:cs="Times New Roman"/>
          <w:szCs w:val="21"/>
        </w:rPr>
        <w:t>分值为</w:t>
      </w:r>
      <w:r>
        <w:rPr>
          <w:rFonts w:hint="eastAsia" w:ascii="Times New Roman" w:hAnsi="Times New Roman" w:cs="Times New Roman"/>
          <w:szCs w:val="21"/>
        </w:rPr>
        <w:t>1</w:t>
      </w:r>
      <w:r>
        <w:rPr>
          <w:rFonts w:ascii="Times New Roman" w:hAnsi="Times New Roman" w:cs="Times New Roman"/>
          <w:szCs w:val="21"/>
        </w:rPr>
        <w:t>6分。</w:t>
      </w:r>
      <w:r>
        <w:rPr>
          <w:rFonts w:hint="eastAsia" w:ascii="Times New Roman" w:hAnsi="Times New Roman" w:cs="Times New Roman"/>
          <w:szCs w:val="21"/>
        </w:rPr>
        <w:t>具体等级划分符合</w:t>
      </w:r>
      <w:r>
        <w:rPr>
          <w:rFonts w:ascii="Times New Roman" w:hAnsi="Times New Roman" w:cs="Times New Roman"/>
          <w:szCs w:val="21"/>
        </w:rPr>
        <w:t>表6.3.2的规定。</w:t>
      </w:r>
    </w:p>
    <w:p>
      <w:pPr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表6.3.2 建筑结构性能评定等级</w:t>
      </w:r>
    </w:p>
    <w:tbl>
      <w:tblPr>
        <w:tblStyle w:val="2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0"/>
        <w:gridCol w:w="4312"/>
        <w:gridCol w:w="10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181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等级</w:t>
            </w:r>
          </w:p>
        </w:tc>
        <w:tc>
          <w:tcPr>
            <w:tcW w:w="5481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分级标准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1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一级</w:t>
            </w:r>
          </w:p>
        </w:tc>
        <w:tc>
          <w:tcPr>
            <w:tcW w:w="5481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初步判断不影响整体可靠性和抗震性能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1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二级</w:t>
            </w:r>
          </w:p>
        </w:tc>
        <w:tc>
          <w:tcPr>
            <w:tcW w:w="5481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初步判断尚不显著影响整体可靠性和抗震性能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1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三级</w:t>
            </w:r>
          </w:p>
        </w:tc>
        <w:tc>
          <w:tcPr>
            <w:tcW w:w="5481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初步判断影响整体可靠性和抗震性能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1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四级</w:t>
            </w:r>
          </w:p>
        </w:tc>
        <w:tc>
          <w:tcPr>
            <w:tcW w:w="5481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初步判断严重影响整体可靠性和抗震性能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0分</w:t>
            </w:r>
          </w:p>
        </w:tc>
      </w:tr>
    </w:tbl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6.3.3</w:t>
      </w:r>
      <w:r>
        <w:rPr>
          <w:rFonts w:ascii="Times New Roman" w:hAnsi="Times New Roman" w:cs="Times New Roman"/>
          <w:szCs w:val="21"/>
        </w:rPr>
        <w:t xml:space="preserve">  平面布局评价</w:t>
      </w:r>
      <w:r>
        <w:rPr>
          <w:rFonts w:hint="eastAsia" w:ascii="Times New Roman" w:hAnsi="Times New Roman" w:cs="Times New Roman"/>
          <w:szCs w:val="21"/>
        </w:rPr>
        <w:t>是</w:t>
      </w:r>
      <w:r>
        <w:rPr>
          <w:rFonts w:ascii="Times New Roman" w:hAnsi="Times New Roman" w:cs="Times New Roman"/>
          <w:szCs w:val="21"/>
        </w:rPr>
        <w:t>对建筑</w:t>
      </w:r>
      <w:r>
        <w:rPr>
          <w:rFonts w:hint="eastAsia" w:ascii="Times New Roman" w:hAnsi="Times New Roman" w:cs="Times New Roman"/>
          <w:szCs w:val="21"/>
        </w:rPr>
        <w:t>规模</w:t>
      </w:r>
      <w:r>
        <w:rPr>
          <w:rFonts w:ascii="Times New Roman" w:hAnsi="Times New Roman" w:cs="Times New Roman"/>
          <w:szCs w:val="21"/>
        </w:rPr>
        <w:t>、厂区道路、</w:t>
      </w:r>
      <w:r>
        <w:rPr>
          <w:rFonts w:hint="eastAsia" w:ascii="Times New Roman" w:hAnsi="Times New Roman" w:cs="Times New Roman"/>
          <w:szCs w:val="21"/>
        </w:rPr>
        <w:t>公共场地及</w:t>
      </w:r>
      <w:r>
        <w:rPr>
          <w:rFonts w:ascii="Times New Roman" w:hAnsi="Times New Roman" w:cs="Times New Roman"/>
          <w:szCs w:val="21"/>
        </w:rPr>
        <w:t>防火间距等</w:t>
      </w:r>
      <w:r>
        <w:rPr>
          <w:rFonts w:hint="eastAsia" w:ascii="Times New Roman" w:hAnsi="Times New Roman" w:cs="Times New Roman"/>
          <w:szCs w:val="21"/>
        </w:rPr>
        <w:t>组织联系特征</w:t>
      </w:r>
      <w:r>
        <w:rPr>
          <w:rFonts w:ascii="Times New Roman" w:hAnsi="Times New Roman" w:cs="Times New Roman"/>
          <w:szCs w:val="21"/>
        </w:rPr>
        <w:t>的综合评价，评价分值为8分。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6.3.4</w:t>
      </w:r>
      <w:r>
        <w:rPr>
          <w:rFonts w:ascii="Times New Roman" w:hAnsi="Times New Roman" w:cs="Times New Roman"/>
          <w:szCs w:val="21"/>
        </w:rPr>
        <w:t xml:space="preserve">  </w:t>
      </w:r>
      <w:r>
        <w:rPr>
          <w:rFonts w:hint="eastAsia" w:ascii="Times New Roman" w:hAnsi="Times New Roman" w:cs="Times New Roman"/>
          <w:szCs w:val="21"/>
        </w:rPr>
        <w:t>厂区风貌</w:t>
      </w:r>
      <w:r>
        <w:rPr>
          <w:rFonts w:ascii="Times New Roman" w:hAnsi="Times New Roman" w:cs="Times New Roman"/>
          <w:szCs w:val="21"/>
        </w:rPr>
        <w:t>评价</w:t>
      </w:r>
      <w:r>
        <w:rPr>
          <w:rFonts w:hint="eastAsia" w:ascii="Times New Roman" w:hAnsi="Times New Roman" w:cs="Times New Roman"/>
          <w:szCs w:val="21"/>
        </w:rPr>
        <w:t>是</w:t>
      </w:r>
      <w:r>
        <w:rPr>
          <w:rFonts w:ascii="Times New Roman" w:hAnsi="Times New Roman" w:cs="Times New Roman"/>
          <w:szCs w:val="21"/>
        </w:rPr>
        <w:t>对</w:t>
      </w:r>
      <w:r>
        <w:rPr>
          <w:rFonts w:hint="eastAsia" w:ascii="Times New Roman" w:hAnsi="Times New Roman" w:cs="Times New Roman"/>
          <w:szCs w:val="21"/>
        </w:rPr>
        <w:t>空间尺度、地形地貌、区域色彩等动态空间特征</w:t>
      </w:r>
      <w:r>
        <w:rPr>
          <w:rFonts w:ascii="Times New Roman" w:hAnsi="Times New Roman" w:cs="Times New Roman"/>
          <w:szCs w:val="21"/>
        </w:rPr>
        <w:t>的综合评价，评价分值为8分。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6.3.5</w:t>
      </w:r>
      <w:r>
        <w:rPr>
          <w:rFonts w:ascii="Times New Roman" w:hAnsi="Times New Roman" w:cs="Times New Roman"/>
          <w:szCs w:val="21"/>
        </w:rPr>
        <w:t xml:space="preserve">  建筑风格评价</w:t>
      </w:r>
      <w:r>
        <w:rPr>
          <w:rFonts w:hint="eastAsia" w:ascii="Times New Roman" w:hAnsi="Times New Roman" w:cs="Times New Roman"/>
          <w:szCs w:val="21"/>
        </w:rPr>
        <w:t>是</w:t>
      </w:r>
      <w:r>
        <w:rPr>
          <w:rFonts w:ascii="Times New Roman" w:hAnsi="Times New Roman" w:cs="Times New Roman"/>
          <w:szCs w:val="21"/>
        </w:rPr>
        <w:t>对既有建筑的外观形</w:t>
      </w:r>
      <w:r>
        <w:rPr>
          <w:rFonts w:hint="eastAsia" w:ascii="Times New Roman" w:hAnsi="Times New Roman" w:cs="Times New Roman"/>
          <w:szCs w:val="21"/>
        </w:rPr>
        <w:t>态</w:t>
      </w:r>
      <w:r>
        <w:rPr>
          <w:rFonts w:ascii="Times New Roman" w:hAnsi="Times New Roman" w:cs="Times New Roman"/>
          <w:szCs w:val="21"/>
        </w:rPr>
        <w:t>、比例尺度、艺术特征、文化内涵等</w:t>
      </w:r>
      <w:r>
        <w:rPr>
          <w:rFonts w:hint="eastAsia" w:ascii="Times New Roman" w:hAnsi="Times New Roman" w:cs="Times New Roman"/>
          <w:szCs w:val="21"/>
        </w:rPr>
        <w:t>美学特征</w:t>
      </w:r>
      <w:r>
        <w:rPr>
          <w:rFonts w:ascii="Times New Roman" w:hAnsi="Times New Roman" w:cs="Times New Roman"/>
          <w:szCs w:val="21"/>
        </w:rPr>
        <w:t>的综合评价，评</w:t>
      </w:r>
      <w:r>
        <w:rPr>
          <w:rFonts w:hint="eastAsia" w:ascii="Times New Roman" w:hAnsi="Times New Roman" w:cs="Times New Roman"/>
          <w:szCs w:val="21"/>
        </w:rPr>
        <w:t>价</w:t>
      </w:r>
      <w:r>
        <w:rPr>
          <w:rFonts w:ascii="Times New Roman" w:hAnsi="Times New Roman" w:cs="Times New Roman"/>
          <w:szCs w:val="21"/>
        </w:rPr>
        <w:t>分值为8分。</w:t>
      </w:r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53" w:name="_Toc4041"/>
      <w:bookmarkStart w:id="154" w:name="_Toc62762817"/>
      <w:r>
        <w:rPr>
          <w:rFonts w:ascii="Times New Roman" w:hAnsi="Times New Roman" w:cs="Times New Roman"/>
          <w:b/>
          <w:sz w:val="24"/>
          <w:szCs w:val="24"/>
        </w:rPr>
        <w:t>6.4 设施</w:t>
      </w:r>
      <w:r>
        <w:rPr>
          <w:rFonts w:hint="eastAsia" w:ascii="Times New Roman" w:hAnsi="Times New Roman" w:cs="Times New Roman"/>
          <w:b/>
          <w:sz w:val="24"/>
          <w:szCs w:val="24"/>
        </w:rPr>
        <w:t>资源</w:t>
      </w:r>
      <w:r>
        <w:rPr>
          <w:rFonts w:ascii="Times New Roman" w:hAnsi="Times New Roman" w:cs="Times New Roman"/>
          <w:b/>
          <w:sz w:val="24"/>
          <w:szCs w:val="24"/>
        </w:rPr>
        <w:t>评价</w:t>
      </w:r>
      <w:bookmarkEnd w:id="153"/>
      <w:bookmarkEnd w:id="154"/>
    </w:p>
    <w:p>
      <w:pPr>
        <w:rPr>
          <w:rFonts w:ascii="Times New Roman" w:hAnsi="Times New Roman" w:cs="Times New Roman"/>
          <w:szCs w:val="21"/>
          <w:u w:val="single"/>
        </w:rPr>
      </w:pPr>
      <w:r>
        <w:rPr>
          <w:rFonts w:ascii="Times New Roman" w:hAnsi="Times New Roman" w:cs="Times New Roman"/>
          <w:b/>
          <w:bCs/>
          <w:szCs w:val="21"/>
        </w:rPr>
        <w:t>6.4.1</w:t>
      </w:r>
      <w:r>
        <w:rPr>
          <w:rFonts w:ascii="Times New Roman" w:hAnsi="Times New Roman" w:cs="Times New Roman"/>
          <w:szCs w:val="21"/>
        </w:rPr>
        <w:t xml:space="preserve">  设施资源评价是对</w:t>
      </w:r>
      <w:r>
        <w:rPr>
          <w:rFonts w:hint="eastAsia" w:ascii="Times New Roman" w:hAnsi="Times New Roman" w:cs="Times New Roman"/>
          <w:szCs w:val="21"/>
        </w:rPr>
        <w:t>旧工业厂区既有机械设备</w:t>
      </w:r>
      <w:r>
        <w:rPr>
          <w:rFonts w:ascii="Times New Roman" w:hAnsi="Times New Roman" w:cs="Times New Roman"/>
          <w:szCs w:val="21"/>
        </w:rPr>
        <w:t>、消防、给排水、电气、采暖通风等既有设施可利用性的综合评价，总分值为35分</w:t>
      </w:r>
      <w:r>
        <w:rPr>
          <w:rFonts w:hint="eastAsia" w:ascii="Times New Roman" w:hAnsi="Times New Roman" w:cs="Times New Roman"/>
          <w:szCs w:val="21"/>
        </w:rPr>
        <w:t>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6.4.2</w:t>
      </w:r>
      <w:r>
        <w:rPr>
          <w:rFonts w:ascii="Times New Roman" w:hAnsi="Times New Roman" w:cs="Times New Roman"/>
          <w:szCs w:val="21"/>
        </w:rPr>
        <w:t xml:space="preserve">  机械</w:t>
      </w:r>
      <w:r>
        <w:rPr>
          <w:rFonts w:hint="eastAsia" w:ascii="Times New Roman" w:hAnsi="Times New Roman" w:cs="Times New Roman"/>
          <w:szCs w:val="21"/>
        </w:rPr>
        <w:t>设施</w:t>
      </w:r>
      <w:r>
        <w:rPr>
          <w:rFonts w:ascii="Times New Roman" w:hAnsi="Times New Roman" w:cs="Times New Roman"/>
          <w:szCs w:val="21"/>
        </w:rPr>
        <w:t>评价</w:t>
      </w:r>
      <w:r>
        <w:rPr>
          <w:rFonts w:hint="eastAsia" w:ascii="Times New Roman" w:hAnsi="Times New Roman" w:cs="Times New Roman"/>
          <w:szCs w:val="21"/>
        </w:rPr>
        <w:t>是</w:t>
      </w:r>
      <w:r>
        <w:rPr>
          <w:rFonts w:ascii="Times New Roman" w:hAnsi="Times New Roman" w:cs="Times New Roman"/>
          <w:szCs w:val="21"/>
        </w:rPr>
        <w:t>对</w:t>
      </w:r>
      <w:r>
        <w:rPr>
          <w:rFonts w:hint="eastAsia" w:ascii="Times New Roman" w:hAnsi="Times New Roman" w:cs="Times New Roman"/>
          <w:szCs w:val="21"/>
        </w:rPr>
        <w:t>旧工业厂区</w:t>
      </w:r>
      <w:r>
        <w:rPr>
          <w:rFonts w:ascii="Times New Roman" w:hAnsi="Times New Roman" w:cs="Times New Roman"/>
          <w:szCs w:val="21"/>
        </w:rPr>
        <w:t>机械</w:t>
      </w:r>
      <w:r>
        <w:rPr>
          <w:rFonts w:hint="eastAsia" w:ascii="Times New Roman" w:hAnsi="Times New Roman" w:cs="Times New Roman"/>
          <w:szCs w:val="21"/>
        </w:rPr>
        <w:t>设施</w:t>
      </w:r>
      <w:r>
        <w:rPr>
          <w:rFonts w:ascii="Times New Roman" w:hAnsi="Times New Roman" w:cs="Times New Roman"/>
          <w:szCs w:val="21"/>
        </w:rPr>
        <w:t>可利用性的</w:t>
      </w:r>
      <w:r>
        <w:rPr>
          <w:rFonts w:hint="eastAsia" w:ascii="Times New Roman" w:hAnsi="Times New Roman" w:cs="Times New Roman"/>
          <w:szCs w:val="21"/>
        </w:rPr>
        <w:t>综合</w:t>
      </w:r>
      <w:r>
        <w:rPr>
          <w:rFonts w:ascii="Times New Roman" w:hAnsi="Times New Roman" w:cs="Times New Roman"/>
          <w:szCs w:val="21"/>
        </w:rPr>
        <w:t>评价，</w:t>
      </w:r>
      <w:r>
        <w:rPr>
          <w:rFonts w:hint="eastAsia" w:ascii="Times New Roman" w:hAnsi="Times New Roman" w:cs="Times New Roman"/>
          <w:szCs w:val="21"/>
        </w:rPr>
        <w:t>应注重机械设施的文化性、景观性及经济性，</w:t>
      </w:r>
      <w:r>
        <w:rPr>
          <w:rFonts w:ascii="Times New Roman" w:hAnsi="Times New Roman" w:cs="Times New Roman"/>
          <w:szCs w:val="21"/>
        </w:rPr>
        <w:t>评</w:t>
      </w:r>
      <w:r>
        <w:rPr>
          <w:rFonts w:hint="eastAsia" w:ascii="Times New Roman" w:hAnsi="Times New Roman" w:cs="Times New Roman"/>
          <w:szCs w:val="21"/>
        </w:rPr>
        <w:t>价</w:t>
      </w:r>
      <w:r>
        <w:rPr>
          <w:rFonts w:ascii="Times New Roman" w:hAnsi="Times New Roman" w:cs="Times New Roman"/>
          <w:szCs w:val="21"/>
        </w:rPr>
        <w:t>分值为15分。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 xml:space="preserve">6.4.3 </w:t>
      </w:r>
      <w:r>
        <w:rPr>
          <w:rFonts w:ascii="Times New Roman" w:hAnsi="Times New Roman" w:cs="Times New Roman"/>
          <w:szCs w:val="21"/>
        </w:rPr>
        <w:t xml:space="preserve"> 消防设施评价</w:t>
      </w:r>
      <w:r>
        <w:rPr>
          <w:rFonts w:hint="eastAsia" w:ascii="Times New Roman" w:hAnsi="Times New Roman" w:cs="Times New Roman"/>
          <w:szCs w:val="21"/>
        </w:rPr>
        <w:t>是对旧工业厂区消防设施类型、数量及</w:t>
      </w:r>
      <w:r>
        <w:rPr>
          <w:rFonts w:ascii="Times New Roman" w:hAnsi="Times New Roman" w:cs="Times New Roman"/>
          <w:szCs w:val="21"/>
        </w:rPr>
        <w:t>覆盖率</w:t>
      </w:r>
      <w:r>
        <w:rPr>
          <w:rFonts w:hint="eastAsia" w:ascii="Times New Roman" w:hAnsi="Times New Roman" w:cs="Times New Roman"/>
          <w:szCs w:val="21"/>
        </w:rPr>
        <w:t>等可利用性的综合</w:t>
      </w:r>
      <w:r>
        <w:rPr>
          <w:rFonts w:ascii="Times New Roman" w:hAnsi="Times New Roman" w:cs="Times New Roman"/>
          <w:szCs w:val="21"/>
        </w:rPr>
        <w:t>评价，评</w:t>
      </w:r>
      <w:r>
        <w:rPr>
          <w:rFonts w:hint="eastAsia" w:ascii="Times New Roman" w:hAnsi="Times New Roman" w:cs="Times New Roman"/>
          <w:szCs w:val="21"/>
        </w:rPr>
        <w:t>价</w:t>
      </w:r>
      <w:r>
        <w:rPr>
          <w:rFonts w:ascii="Times New Roman" w:hAnsi="Times New Roman" w:cs="Times New Roman"/>
          <w:szCs w:val="21"/>
        </w:rPr>
        <w:t>分值为5分。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6.4.4</w:t>
      </w:r>
      <w:r>
        <w:rPr>
          <w:rFonts w:ascii="Times New Roman" w:hAnsi="Times New Roman" w:cs="Times New Roman"/>
          <w:szCs w:val="21"/>
        </w:rPr>
        <w:t xml:space="preserve">  给排水</w:t>
      </w:r>
      <w:r>
        <w:rPr>
          <w:rFonts w:hint="eastAsia" w:ascii="Times New Roman" w:hAnsi="Times New Roman" w:cs="Times New Roman"/>
          <w:szCs w:val="21"/>
        </w:rPr>
        <w:t>设施</w:t>
      </w:r>
      <w:r>
        <w:rPr>
          <w:rFonts w:ascii="Times New Roman" w:hAnsi="Times New Roman" w:cs="Times New Roman"/>
          <w:szCs w:val="21"/>
        </w:rPr>
        <w:t>评价</w:t>
      </w:r>
      <w:r>
        <w:rPr>
          <w:rFonts w:hint="eastAsia" w:ascii="Times New Roman" w:hAnsi="Times New Roman" w:cs="Times New Roman"/>
          <w:szCs w:val="21"/>
        </w:rPr>
        <w:t>是对旧工业厂区给排水管道的材质、管径、性能及辅助设备等可利用性的综合评价，</w:t>
      </w:r>
      <w:r>
        <w:rPr>
          <w:rFonts w:ascii="Times New Roman" w:hAnsi="Times New Roman" w:cs="Times New Roman"/>
          <w:szCs w:val="21"/>
        </w:rPr>
        <w:t>评</w:t>
      </w:r>
      <w:r>
        <w:rPr>
          <w:rFonts w:hint="eastAsia" w:ascii="Times New Roman" w:hAnsi="Times New Roman" w:cs="Times New Roman"/>
          <w:szCs w:val="21"/>
        </w:rPr>
        <w:t>价</w:t>
      </w:r>
      <w:r>
        <w:rPr>
          <w:rFonts w:ascii="Times New Roman" w:hAnsi="Times New Roman" w:cs="Times New Roman"/>
          <w:szCs w:val="21"/>
        </w:rPr>
        <w:t>分值为5分。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6.4.5</w:t>
      </w:r>
      <w:r>
        <w:rPr>
          <w:rFonts w:ascii="Times New Roman" w:hAnsi="Times New Roman" w:cs="Times New Roman"/>
          <w:szCs w:val="21"/>
        </w:rPr>
        <w:t xml:space="preserve">  电气设施评价</w:t>
      </w:r>
      <w:r>
        <w:rPr>
          <w:rFonts w:hint="eastAsia" w:ascii="Times New Roman" w:hAnsi="Times New Roman" w:cs="Times New Roman"/>
          <w:szCs w:val="21"/>
        </w:rPr>
        <w:t>是</w:t>
      </w:r>
      <w:r>
        <w:rPr>
          <w:rFonts w:ascii="Times New Roman" w:hAnsi="Times New Roman" w:cs="Times New Roman"/>
          <w:szCs w:val="21"/>
        </w:rPr>
        <w:t>对</w:t>
      </w:r>
      <w:r>
        <w:rPr>
          <w:rFonts w:hint="eastAsia" w:ascii="Times New Roman" w:hAnsi="Times New Roman" w:cs="Times New Roman"/>
          <w:szCs w:val="21"/>
        </w:rPr>
        <w:t>旧工业厂区</w:t>
      </w:r>
      <w:r>
        <w:rPr>
          <w:rFonts w:ascii="Times New Roman" w:hAnsi="Times New Roman" w:cs="Times New Roman"/>
          <w:szCs w:val="21"/>
        </w:rPr>
        <w:t>电气设施的</w:t>
      </w:r>
      <w:r>
        <w:rPr>
          <w:rFonts w:hint="eastAsia" w:ascii="Times New Roman" w:hAnsi="Times New Roman" w:cs="Times New Roman"/>
          <w:szCs w:val="21"/>
        </w:rPr>
        <w:t>电缆、发电机、变压器、开关柜等可利用性的综合</w:t>
      </w:r>
      <w:r>
        <w:rPr>
          <w:rFonts w:ascii="Times New Roman" w:hAnsi="Times New Roman" w:cs="Times New Roman"/>
          <w:szCs w:val="21"/>
        </w:rPr>
        <w:t>评价，评</w:t>
      </w:r>
      <w:r>
        <w:rPr>
          <w:rFonts w:hint="eastAsia" w:ascii="Times New Roman" w:hAnsi="Times New Roman" w:cs="Times New Roman"/>
          <w:szCs w:val="21"/>
        </w:rPr>
        <w:t>价</w:t>
      </w:r>
      <w:r>
        <w:rPr>
          <w:rFonts w:ascii="Times New Roman" w:hAnsi="Times New Roman" w:cs="Times New Roman"/>
          <w:szCs w:val="21"/>
        </w:rPr>
        <w:t>分值为5分。</w:t>
      </w:r>
    </w:p>
    <w:p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6.4.6</w:t>
      </w:r>
      <w:r>
        <w:rPr>
          <w:rFonts w:ascii="Times New Roman" w:hAnsi="Times New Roman" w:cs="Times New Roman"/>
          <w:szCs w:val="21"/>
        </w:rPr>
        <w:t xml:space="preserve">  采暖通风</w:t>
      </w:r>
      <w:r>
        <w:rPr>
          <w:rFonts w:hint="eastAsia" w:ascii="Times New Roman" w:hAnsi="Times New Roman" w:cs="Times New Roman"/>
          <w:szCs w:val="21"/>
        </w:rPr>
        <w:t>设施</w:t>
      </w:r>
      <w:r>
        <w:rPr>
          <w:rFonts w:ascii="Times New Roman" w:hAnsi="Times New Roman" w:cs="Times New Roman"/>
          <w:szCs w:val="21"/>
        </w:rPr>
        <w:t>评价</w:t>
      </w:r>
      <w:r>
        <w:rPr>
          <w:rFonts w:hint="eastAsia" w:ascii="Times New Roman" w:hAnsi="Times New Roman" w:cs="Times New Roman"/>
          <w:szCs w:val="21"/>
        </w:rPr>
        <w:t>是对旧工业厂区采暖设施与通风设施可利用性的综合评价，</w:t>
      </w:r>
      <w:r>
        <w:rPr>
          <w:rFonts w:ascii="Times New Roman" w:hAnsi="Times New Roman" w:cs="Times New Roman"/>
          <w:szCs w:val="21"/>
        </w:rPr>
        <w:t>评</w:t>
      </w:r>
      <w:r>
        <w:rPr>
          <w:rFonts w:hint="eastAsia" w:ascii="Times New Roman" w:hAnsi="Times New Roman" w:cs="Times New Roman"/>
          <w:szCs w:val="21"/>
        </w:rPr>
        <w:t>价</w:t>
      </w:r>
      <w:r>
        <w:rPr>
          <w:rFonts w:ascii="Times New Roman" w:hAnsi="Times New Roman" w:cs="Times New Roman"/>
          <w:szCs w:val="21"/>
        </w:rPr>
        <w:t>分值为5分。</w:t>
      </w:r>
    </w:p>
    <w:p>
      <w:pPr>
        <w:rPr>
          <w:rFonts w:ascii="Times New Roman" w:hAnsi="Times New Roman" w:cs="Times New Roman"/>
          <w:szCs w:val="21"/>
          <w:highlight w:val="yellow"/>
        </w:rPr>
      </w:pPr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cs="Times New Roman"/>
          <w:b/>
          <w:kern w:val="44"/>
          <w:sz w:val="30"/>
          <w:szCs w:val="24"/>
        </w:rPr>
      </w:pPr>
      <w:r>
        <w:rPr>
          <w:rFonts w:ascii="Times New Roman" w:hAnsi="Times New Roman" w:cs="Times New Roman"/>
        </w:rPr>
        <w:br w:type="page"/>
      </w:r>
      <w:bookmarkStart w:id="155" w:name="_Toc62762818"/>
      <w:bookmarkStart w:id="156" w:name="_Hlk59653329"/>
      <w:r>
        <w:rPr>
          <w:rFonts w:ascii="Times New Roman" w:hAnsi="Times New Roman" w:cs="Times New Roman"/>
          <w:b/>
          <w:kern w:val="44"/>
          <w:sz w:val="30"/>
          <w:szCs w:val="24"/>
        </w:rPr>
        <w:t>7 空间设计评价</w:t>
      </w:r>
      <w:bookmarkEnd w:id="155"/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57" w:name="_Toc62762819"/>
      <w:r>
        <w:rPr>
          <w:rFonts w:ascii="Times New Roman" w:hAnsi="Times New Roman" w:cs="Times New Roman"/>
          <w:b/>
          <w:sz w:val="24"/>
          <w:szCs w:val="24"/>
        </w:rPr>
        <w:t>7.1 一般规定</w:t>
      </w:r>
      <w:bookmarkEnd w:id="157"/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 xml:space="preserve">7.1.1  </w:t>
      </w:r>
      <w:r>
        <w:rPr>
          <w:rFonts w:ascii="Times New Roman" w:hAnsi="Times New Roman" w:cs="Times New Roman"/>
          <w:bCs/>
          <w:szCs w:val="24"/>
        </w:rPr>
        <w:t>空间设计</w:t>
      </w:r>
      <w:r>
        <w:rPr>
          <w:rFonts w:hint="eastAsia" w:ascii="Times New Roman" w:hAnsi="Times New Roman" w:cs="Times New Roman"/>
          <w:bCs/>
          <w:szCs w:val="24"/>
        </w:rPr>
        <w:t>评价</w:t>
      </w:r>
      <w:r>
        <w:rPr>
          <w:rFonts w:ascii="Times New Roman" w:hAnsi="Times New Roman" w:cs="Times New Roman"/>
          <w:szCs w:val="24"/>
        </w:rPr>
        <w:t>应以再生模式</w:t>
      </w:r>
      <w:r>
        <w:rPr>
          <w:rFonts w:hint="eastAsia" w:ascii="Times New Roman" w:hAnsi="Times New Roman" w:cs="Times New Roman"/>
          <w:szCs w:val="24"/>
        </w:rPr>
        <w:t>的运营需求</w:t>
      </w:r>
      <w:r>
        <w:rPr>
          <w:rFonts w:ascii="Times New Roman" w:hAnsi="Times New Roman" w:cs="Times New Roman"/>
          <w:szCs w:val="24"/>
        </w:rPr>
        <w:t>为</w:t>
      </w:r>
      <w:r>
        <w:rPr>
          <w:rFonts w:hint="eastAsia" w:ascii="Times New Roman" w:hAnsi="Times New Roman" w:cs="Times New Roman"/>
          <w:szCs w:val="24"/>
        </w:rPr>
        <w:t>核心</w:t>
      </w:r>
      <w:r>
        <w:rPr>
          <w:rFonts w:ascii="Times New Roman" w:hAnsi="Times New Roman" w:cs="Times New Roman"/>
          <w:szCs w:val="24"/>
        </w:rPr>
        <w:t>，</w:t>
      </w:r>
      <w:r>
        <w:rPr>
          <w:rFonts w:hint="eastAsia" w:ascii="Times New Roman" w:hAnsi="Times New Roman" w:cs="Times New Roman"/>
          <w:szCs w:val="24"/>
        </w:rPr>
        <w:t>以旧工业厂区空间现状为基础，以规划功能与空间特色为依据。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 xml:space="preserve">7.1.2  </w:t>
      </w:r>
      <w:r>
        <w:rPr>
          <w:rFonts w:ascii="Times New Roman" w:hAnsi="Times New Roman" w:cs="Times New Roman"/>
          <w:szCs w:val="24"/>
        </w:rPr>
        <w:t>空间设计评价应遵循系统化、科学化、合理化的原则，统筹考虑空间</w:t>
      </w:r>
      <w:r>
        <w:rPr>
          <w:rFonts w:hint="eastAsia" w:ascii="Times New Roman" w:hAnsi="Times New Roman" w:cs="Times New Roman"/>
          <w:szCs w:val="24"/>
        </w:rPr>
        <w:t>、功能、适用性</w:t>
      </w:r>
      <w:r>
        <w:rPr>
          <w:rFonts w:ascii="Times New Roman" w:hAnsi="Times New Roman" w:cs="Times New Roman"/>
          <w:szCs w:val="24"/>
        </w:rPr>
        <w:t>等</w:t>
      </w:r>
      <w:r>
        <w:rPr>
          <w:rFonts w:hint="eastAsia" w:ascii="Times New Roman" w:hAnsi="Times New Roman" w:cs="Times New Roman"/>
          <w:szCs w:val="24"/>
        </w:rPr>
        <w:t>方面</w:t>
      </w:r>
      <w:r>
        <w:rPr>
          <w:rFonts w:ascii="Times New Roman" w:hAnsi="Times New Roman" w:cs="Times New Roman"/>
          <w:szCs w:val="24"/>
        </w:rPr>
        <w:t>，</w:t>
      </w:r>
      <w:r>
        <w:rPr>
          <w:rFonts w:hint="eastAsia" w:ascii="Times New Roman" w:hAnsi="Times New Roman" w:cs="Times New Roman"/>
          <w:szCs w:val="24"/>
        </w:rPr>
        <w:t>以综合</w:t>
      </w:r>
      <w:r>
        <w:rPr>
          <w:rFonts w:ascii="Times New Roman" w:hAnsi="Times New Roman" w:cs="Times New Roman"/>
          <w:szCs w:val="24"/>
        </w:rPr>
        <w:t>评价空间设计的</w:t>
      </w:r>
      <w:r>
        <w:rPr>
          <w:rFonts w:hint="eastAsia" w:ascii="Times New Roman" w:hAnsi="Times New Roman" w:cs="Times New Roman"/>
          <w:szCs w:val="24"/>
        </w:rPr>
        <w:t>适用</w:t>
      </w:r>
      <w:r>
        <w:rPr>
          <w:rFonts w:ascii="Times New Roman" w:hAnsi="Times New Roman" w:cs="Times New Roman"/>
          <w:szCs w:val="24"/>
        </w:rPr>
        <w:t>性。</w:t>
      </w:r>
    </w:p>
    <w:p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Cs w:val="24"/>
        </w:rPr>
        <w:t>7.1.3</w:t>
      </w:r>
      <w:bookmarkStart w:id="158" w:name="_Hlk49162369"/>
      <w:r>
        <w:rPr>
          <w:rFonts w:ascii="Times New Roman" w:hAnsi="Times New Roman" w:cs="Times New Roman"/>
          <w:b/>
          <w:bCs/>
          <w:szCs w:val="24"/>
        </w:rPr>
        <w:t xml:space="preserve">  </w:t>
      </w:r>
      <w:bookmarkEnd w:id="158"/>
      <w:r>
        <w:rPr>
          <w:rFonts w:ascii="Times New Roman" w:hAnsi="Times New Roman" w:cs="Times New Roman"/>
          <w:szCs w:val="24"/>
        </w:rPr>
        <w:t>空间设计评价包括空间适配性、灵活性、舒适</w:t>
      </w:r>
      <w:r>
        <w:rPr>
          <w:rFonts w:hint="eastAsia" w:ascii="Times New Roman" w:hAnsi="Times New Roman" w:cs="Times New Roman"/>
          <w:szCs w:val="24"/>
        </w:rPr>
        <w:t>性</w:t>
      </w:r>
      <w:r>
        <w:rPr>
          <w:rFonts w:ascii="Times New Roman" w:hAnsi="Times New Roman" w:cs="Times New Roman"/>
          <w:szCs w:val="24"/>
        </w:rPr>
        <w:t>3个评价项目，总分</w:t>
      </w:r>
      <w:r>
        <w:rPr>
          <w:rFonts w:hint="eastAsia" w:ascii="Times New Roman" w:hAnsi="Times New Roman" w:cs="Times New Roman"/>
          <w:szCs w:val="24"/>
        </w:rPr>
        <w:t>值</w:t>
      </w:r>
      <w:r>
        <w:rPr>
          <w:rFonts w:ascii="Times New Roman" w:hAnsi="Times New Roman" w:cs="Times New Roman"/>
          <w:szCs w:val="24"/>
        </w:rPr>
        <w:t>为100分。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 xml:space="preserve">7.1.4  </w:t>
      </w:r>
      <w:r>
        <w:rPr>
          <w:rFonts w:ascii="Times New Roman" w:hAnsi="Times New Roman" w:cs="Times New Roman"/>
          <w:szCs w:val="24"/>
        </w:rPr>
        <w:t>空间设计评价结果分为四个等级，具体等级划分符合表7.1.4的规定。</w:t>
      </w:r>
    </w:p>
    <w:p>
      <w:pPr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表7.1.4 空间设计评价等级划分</w:t>
      </w:r>
    </w:p>
    <w:tbl>
      <w:tblPr>
        <w:tblStyle w:val="2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2410"/>
        <w:gridCol w:w="1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等级</w:t>
            </w:r>
          </w:p>
        </w:tc>
        <w:tc>
          <w:tcPr>
            <w:tcW w:w="2410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状况描述</w:t>
            </w:r>
          </w:p>
        </w:tc>
        <w:tc>
          <w:tcPr>
            <w:tcW w:w="1911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一级</w:t>
            </w:r>
          </w:p>
        </w:tc>
        <w:tc>
          <w:tcPr>
            <w:tcW w:w="2410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合理</w:t>
            </w:r>
            <w:r>
              <w:rPr>
                <w:rFonts w:hint="eastAsia" w:eastAsiaTheme="minorEastAsia"/>
                <w:sz w:val="18"/>
                <w:szCs w:val="18"/>
              </w:rPr>
              <w:t>适用</w:t>
            </w:r>
          </w:p>
        </w:tc>
        <w:tc>
          <w:tcPr>
            <w:tcW w:w="1911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[90,100]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二级</w:t>
            </w:r>
          </w:p>
        </w:tc>
        <w:tc>
          <w:tcPr>
            <w:tcW w:w="2410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较合理</w:t>
            </w:r>
            <w:r>
              <w:rPr>
                <w:rFonts w:hint="eastAsia" w:eastAsiaTheme="minorEastAsia"/>
                <w:sz w:val="18"/>
                <w:szCs w:val="18"/>
              </w:rPr>
              <w:t>，适用性不足</w:t>
            </w:r>
          </w:p>
        </w:tc>
        <w:tc>
          <w:tcPr>
            <w:tcW w:w="1911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[80,89]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三级</w:t>
            </w:r>
          </w:p>
        </w:tc>
        <w:tc>
          <w:tcPr>
            <w:tcW w:w="2410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hint="eastAsia" w:eastAsiaTheme="minorEastAsia"/>
                <w:sz w:val="18"/>
                <w:szCs w:val="18"/>
              </w:rPr>
              <w:t>合理性</w:t>
            </w:r>
            <w:r>
              <w:rPr>
                <w:rFonts w:eastAsiaTheme="minorEastAsia"/>
                <w:sz w:val="18"/>
                <w:szCs w:val="18"/>
              </w:rPr>
              <w:t>一般</w:t>
            </w:r>
            <w:r>
              <w:rPr>
                <w:rFonts w:hint="eastAsia" w:eastAsiaTheme="minorEastAsia"/>
                <w:sz w:val="18"/>
                <w:szCs w:val="18"/>
              </w:rPr>
              <w:t>，适用性较差</w:t>
            </w:r>
          </w:p>
        </w:tc>
        <w:tc>
          <w:tcPr>
            <w:tcW w:w="1911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[60,79]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四级</w:t>
            </w:r>
          </w:p>
        </w:tc>
        <w:tc>
          <w:tcPr>
            <w:tcW w:w="2410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sz w:val="18"/>
                <w:szCs w:val="18"/>
              </w:rPr>
            </w:pPr>
            <w:r>
              <w:rPr>
                <w:rFonts w:hint="eastAsia" w:eastAsiaTheme="minorEastAsia"/>
                <w:sz w:val="18"/>
                <w:szCs w:val="18"/>
              </w:rPr>
              <w:t>合理性差</w:t>
            </w:r>
          </w:p>
        </w:tc>
        <w:tc>
          <w:tcPr>
            <w:tcW w:w="1911" w:type="dxa"/>
          </w:tcPr>
          <w:p>
            <w:pPr>
              <w:pStyle w:val="54"/>
              <w:framePr w:xAlign="left" w:yAlign="inline"/>
              <w:jc w:val="center"/>
              <w:rPr>
                <w:rFonts w:eastAsiaTheme="minorEastAsia"/>
                <w:b/>
                <w:bCs/>
                <w:sz w:val="18"/>
                <w:szCs w:val="18"/>
              </w:rPr>
            </w:pPr>
            <w:r>
              <w:rPr>
                <w:rFonts w:eastAsiaTheme="minorEastAsia"/>
                <w:sz w:val="18"/>
                <w:szCs w:val="18"/>
              </w:rPr>
              <w:t>&lt;60</w:t>
            </w:r>
          </w:p>
        </w:tc>
      </w:tr>
    </w:tbl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59" w:name="_Toc62762820"/>
      <w:r>
        <w:rPr>
          <w:rFonts w:ascii="Times New Roman" w:hAnsi="Times New Roman" w:cs="Times New Roman"/>
          <w:b/>
          <w:sz w:val="24"/>
          <w:szCs w:val="24"/>
        </w:rPr>
        <w:t>7.2 空间适配性评价</w:t>
      </w:r>
      <w:bookmarkEnd w:id="159"/>
    </w:p>
    <w:p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Cs w:val="24"/>
        </w:rPr>
        <w:t xml:space="preserve">7.2.1  </w:t>
      </w:r>
      <w:r>
        <w:rPr>
          <w:rFonts w:ascii="Times New Roman" w:hAnsi="Times New Roman" w:cs="Times New Roman"/>
        </w:rPr>
        <w:t>空间适配性评价</w:t>
      </w:r>
      <w:r>
        <w:rPr>
          <w:rFonts w:hint="eastAsia" w:ascii="Times New Roman" w:hAnsi="Times New Roman" w:cs="Times New Roman"/>
        </w:rPr>
        <w:t>是对园区规划设计</w:t>
      </w:r>
      <w:r>
        <w:rPr>
          <w:rFonts w:ascii="Times New Roman" w:hAnsi="Times New Roman" w:cs="Times New Roman"/>
        </w:rPr>
        <w:t>与厂区</w:t>
      </w:r>
      <w:r>
        <w:rPr>
          <w:rFonts w:hint="eastAsia" w:ascii="Times New Roman" w:hAnsi="Times New Roman" w:cs="Times New Roman"/>
        </w:rPr>
        <w:t>空间现状适配程度的综合评价</w:t>
      </w:r>
      <w:r>
        <w:rPr>
          <w:rFonts w:ascii="Times New Roman" w:hAnsi="Times New Roman" w:cs="Times New Roman"/>
        </w:rPr>
        <w:t>，</w:t>
      </w:r>
      <w:r>
        <w:rPr>
          <w:rFonts w:hint="eastAsia" w:ascii="Times New Roman" w:hAnsi="Times New Roman" w:cs="Times New Roman"/>
        </w:rPr>
        <w:t>包括园区</w:t>
      </w:r>
      <w:r>
        <w:rPr>
          <w:rFonts w:ascii="Times New Roman" w:hAnsi="Times New Roman" w:cs="Times New Roman"/>
        </w:rPr>
        <w:t>规划</w:t>
      </w:r>
      <w:r>
        <w:rPr>
          <w:rFonts w:hint="eastAsia" w:ascii="Times New Roman" w:hAnsi="Times New Roman" w:cs="Times New Roman"/>
        </w:rPr>
        <w:t>适配性与</w:t>
      </w:r>
      <w:r>
        <w:rPr>
          <w:rFonts w:ascii="Times New Roman" w:hAnsi="Times New Roman" w:cs="Times New Roman"/>
        </w:rPr>
        <w:t>建筑空间</w:t>
      </w:r>
      <w:r>
        <w:rPr>
          <w:rFonts w:hint="eastAsia" w:ascii="Times New Roman" w:hAnsi="Times New Roman" w:cs="Times New Roman"/>
        </w:rPr>
        <w:t>适配性2个方面</w:t>
      </w:r>
      <w:r>
        <w:rPr>
          <w:rFonts w:ascii="Times New Roman" w:hAnsi="Times New Roman" w:cs="Times New Roman"/>
        </w:rPr>
        <w:t>，总分值为35分。</w:t>
      </w:r>
    </w:p>
    <w:p>
      <w:pPr>
        <w:rPr>
          <w:rFonts w:ascii="Times New Roman" w:hAnsi="Times New Roman" w:cs="Times New Roman"/>
          <w:b/>
          <w:bCs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 xml:space="preserve">7.2.2  </w:t>
      </w:r>
      <w:r>
        <w:rPr>
          <w:rFonts w:hint="eastAsia" w:ascii="Times New Roman" w:hAnsi="Times New Roman" w:cs="Times New Roman"/>
        </w:rPr>
        <w:t>园区</w:t>
      </w:r>
      <w:r>
        <w:rPr>
          <w:rFonts w:ascii="Times New Roman" w:hAnsi="Times New Roman" w:cs="Times New Roman"/>
        </w:rPr>
        <w:t>规划适配性评价</w:t>
      </w:r>
      <w:r>
        <w:rPr>
          <w:rFonts w:hint="eastAsia" w:ascii="Times New Roman" w:hAnsi="Times New Roman" w:cs="Times New Roman"/>
        </w:rPr>
        <w:t>是</w:t>
      </w:r>
      <w:r>
        <w:rPr>
          <w:rFonts w:ascii="Times New Roman" w:hAnsi="Times New Roman" w:cs="Times New Roman"/>
        </w:rPr>
        <w:t>对</w:t>
      </w:r>
      <w:r>
        <w:rPr>
          <w:rFonts w:hint="eastAsia" w:ascii="Times New Roman" w:hAnsi="Times New Roman" w:cs="Times New Roman"/>
        </w:rPr>
        <w:t>园区</w:t>
      </w:r>
      <w:r>
        <w:rPr>
          <w:rFonts w:ascii="Times New Roman" w:hAnsi="Times New Roman" w:cs="Times New Roman"/>
        </w:rPr>
        <w:t>整体规划、</w:t>
      </w:r>
      <w:r>
        <w:rPr>
          <w:rFonts w:hint="eastAsia" w:ascii="Times New Roman" w:hAnsi="Times New Roman" w:cs="Times New Roman"/>
        </w:rPr>
        <w:t>园区</w:t>
      </w:r>
      <w:r>
        <w:rPr>
          <w:rFonts w:ascii="Times New Roman" w:hAnsi="Times New Roman" w:cs="Times New Roman"/>
        </w:rPr>
        <w:t>空间规划</w:t>
      </w:r>
      <w:r>
        <w:rPr>
          <w:rFonts w:hint="eastAsia" w:ascii="Times New Roman" w:hAnsi="Times New Roman" w:cs="Times New Roman"/>
        </w:rPr>
        <w:t>、</w:t>
      </w:r>
      <w:r>
        <w:rPr>
          <w:rFonts w:ascii="Times New Roman" w:hAnsi="Times New Roman" w:cs="Times New Roman"/>
        </w:rPr>
        <w:t>交通空间规划</w:t>
      </w:r>
      <w:r>
        <w:rPr>
          <w:rFonts w:hint="eastAsia" w:ascii="Times New Roman" w:hAnsi="Times New Roman" w:cs="Times New Roman"/>
        </w:rPr>
        <w:t>适配程度</w:t>
      </w:r>
      <w:r>
        <w:rPr>
          <w:rFonts w:ascii="Times New Roman" w:hAnsi="Times New Roman" w:cs="Times New Roman"/>
        </w:rPr>
        <w:t>的综合评价</w:t>
      </w:r>
      <w:r>
        <w:rPr>
          <w:rFonts w:hint="eastAsia" w:ascii="Times New Roman" w:hAnsi="Times New Roman" w:cs="Times New Roman"/>
        </w:rPr>
        <w:t>，评价分值为</w:t>
      </w:r>
      <w:r>
        <w:rPr>
          <w:rFonts w:ascii="Times New Roman" w:hAnsi="Times New Roman" w:cs="Times New Roman"/>
        </w:rPr>
        <w:t>20</w:t>
      </w:r>
      <w:r>
        <w:rPr>
          <w:rFonts w:hint="eastAsia" w:ascii="Times New Roman" w:hAnsi="Times New Roman" w:cs="Times New Roman"/>
        </w:rPr>
        <w:t>分。</w:t>
      </w:r>
    </w:p>
    <w:p>
      <w:pPr>
        <w:ind w:firstLine="420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Cs w:val="24"/>
        </w:rPr>
        <w:t xml:space="preserve">1  </w:t>
      </w:r>
      <w:r>
        <w:rPr>
          <w:rFonts w:hint="eastAsia" w:ascii="Times New Roman" w:hAnsi="Times New Roman" w:cs="Times New Roman"/>
        </w:rPr>
        <w:t>园区</w:t>
      </w:r>
      <w:r>
        <w:rPr>
          <w:rFonts w:ascii="Times New Roman" w:hAnsi="Times New Roman" w:cs="Times New Roman"/>
        </w:rPr>
        <w:t>整体规划应</w:t>
      </w:r>
      <w:r>
        <w:rPr>
          <w:rFonts w:hint="eastAsia" w:ascii="Times New Roman" w:hAnsi="Times New Roman" w:cs="Times New Roman"/>
        </w:rPr>
        <w:t>与厂区区位、再生模式适配</w:t>
      </w:r>
      <w:r>
        <w:rPr>
          <w:rFonts w:ascii="Times New Roman" w:hAnsi="Times New Roman" w:cs="Times New Roman"/>
        </w:rPr>
        <w:t>，</w:t>
      </w:r>
      <w:r>
        <w:rPr>
          <w:rFonts w:hint="eastAsia" w:ascii="Times New Roman" w:hAnsi="Times New Roman" w:cs="Times New Roman"/>
        </w:rPr>
        <w:t>并有</w:t>
      </w:r>
      <w:r>
        <w:rPr>
          <w:rFonts w:ascii="Times New Roman" w:hAnsi="Times New Roman" w:cs="Times New Roman"/>
        </w:rPr>
        <w:t>利于形成整体优势、集聚效应和综合竞争力，评价分值为8分。</w:t>
      </w:r>
    </w:p>
    <w:p>
      <w:pPr>
        <w:ind w:firstLine="420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Cs w:val="24"/>
        </w:rPr>
        <w:t xml:space="preserve">2  </w:t>
      </w:r>
      <w:r>
        <w:rPr>
          <w:rFonts w:hint="eastAsia" w:ascii="Times New Roman" w:hAnsi="Times New Roman" w:cs="Times New Roman"/>
        </w:rPr>
        <w:t>园区</w:t>
      </w:r>
      <w:r>
        <w:rPr>
          <w:rFonts w:ascii="Times New Roman" w:hAnsi="Times New Roman" w:cs="Times New Roman"/>
        </w:rPr>
        <w:t>空间规划应</w:t>
      </w:r>
      <w:r>
        <w:rPr>
          <w:rFonts w:hint="eastAsia" w:ascii="Times New Roman" w:hAnsi="Times New Roman" w:cs="Times New Roman"/>
        </w:rPr>
        <w:t>与厂区</w:t>
      </w:r>
      <w:r>
        <w:rPr>
          <w:rFonts w:ascii="Times New Roman" w:hAnsi="Times New Roman" w:cs="Times New Roman"/>
        </w:rPr>
        <w:t>空间</w:t>
      </w:r>
      <w:r>
        <w:rPr>
          <w:rFonts w:hint="eastAsia" w:ascii="Times New Roman" w:hAnsi="Times New Roman" w:cs="Times New Roman"/>
        </w:rPr>
        <w:t>、</w:t>
      </w:r>
      <w:r>
        <w:rPr>
          <w:rFonts w:ascii="Times New Roman" w:hAnsi="Times New Roman" w:cs="Times New Roman"/>
        </w:rPr>
        <w:t>功能布局</w:t>
      </w:r>
      <w:r>
        <w:rPr>
          <w:rFonts w:hint="eastAsia" w:ascii="Times New Roman" w:hAnsi="Times New Roman" w:cs="Times New Roman"/>
        </w:rPr>
        <w:t>适配</w:t>
      </w:r>
      <w:r>
        <w:rPr>
          <w:rFonts w:ascii="Times New Roman" w:hAnsi="Times New Roman" w:cs="Times New Roman"/>
        </w:rPr>
        <w:t>，</w:t>
      </w:r>
      <w:r>
        <w:rPr>
          <w:rFonts w:hint="eastAsia" w:ascii="Times New Roman" w:hAnsi="Times New Roman" w:cs="Times New Roman"/>
        </w:rPr>
        <w:t>应</w:t>
      </w:r>
      <w:r>
        <w:rPr>
          <w:rFonts w:ascii="Times New Roman" w:hAnsi="Times New Roman" w:cs="Times New Roman"/>
        </w:rPr>
        <w:t>合理</w:t>
      </w:r>
      <w:r>
        <w:rPr>
          <w:rFonts w:hint="eastAsia" w:ascii="Times New Roman" w:hAnsi="Times New Roman" w:cs="Times New Roman"/>
        </w:rPr>
        <w:t>进行</w:t>
      </w:r>
      <w:r>
        <w:rPr>
          <w:rFonts w:ascii="Times New Roman" w:hAnsi="Times New Roman" w:cs="Times New Roman"/>
        </w:rPr>
        <w:t>空间</w:t>
      </w:r>
      <w:r>
        <w:rPr>
          <w:rFonts w:hint="eastAsia" w:ascii="Times New Roman" w:hAnsi="Times New Roman" w:cs="Times New Roman"/>
        </w:rPr>
        <w:t>分区</w:t>
      </w:r>
      <w:r>
        <w:rPr>
          <w:rFonts w:ascii="Times New Roman" w:hAnsi="Times New Roman" w:cs="Times New Roman"/>
        </w:rPr>
        <w:t>，形成协同互利的</w:t>
      </w:r>
      <w:r>
        <w:rPr>
          <w:rFonts w:hint="eastAsia" w:ascii="Times New Roman" w:hAnsi="Times New Roman" w:cs="Times New Roman"/>
        </w:rPr>
        <w:t>空间布局</w:t>
      </w:r>
      <w:r>
        <w:rPr>
          <w:rFonts w:ascii="Times New Roman" w:hAnsi="Times New Roman" w:cs="Times New Roman"/>
        </w:rPr>
        <w:t>，评价分值为6分。</w:t>
      </w:r>
    </w:p>
    <w:p>
      <w:pPr>
        <w:ind w:firstLine="420" w:firstLineChars="200"/>
        <w:rPr>
          <w:rFonts w:ascii="Times New Roman" w:hAnsi="Times New Roman" w:cs="Times New Roman"/>
        </w:rPr>
      </w:pPr>
      <w:bookmarkStart w:id="160" w:name="_Hlk51320189"/>
      <w:r>
        <w:rPr>
          <w:rFonts w:ascii="Times New Roman" w:hAnsi="Times New Roman" w:cs="Times New Roman"/>
          <w:b/>
          <w:bCs/>
          <w:szCs w:val="24"/>
        </w:rPr>
        <w:t xml:space="preserve">3  </w:t>
      </w:r>
      <w:r>
        <w:rPr>
          <w:rFonts w:ascii="Times New Roman" w:hAnsi="Times New Roman" w:cs="Times New Roman"/>
        </w:rPr>
        <w:t>交通空间规划应充分利用既有交通</w:t>
      </w:r>
      <w:r>
        <w:rPr>
          <w:rFonts w:hint="eastAsia" w:ascii="Times New Roman" w:hAnsi="Times New Roman" w:cs="Times New Roman"/>
        </w:rPr>
        <w:t>资源</w:t>
      </w:r>
      <w:r>
        <w:rPr>
          <w:rFonts w:ascii="Times New Roman" w:hAnsi="Times New Roman" w:cs="Times New Roman"/>
        </w:rPr>
        <w:t>，综合考虑项目建成后对周边交通网络的影响，</w:t>
      </w:r>
      <w:r>
        <w:rPr>
          <w:rFonts w:hint="eastAsia" w:ascii="Times New Roman" w:hAnsi="Times New Roman" w:cs="Times New Roman"/>
        </w:rPr>
        <w:t>并应有利于园区</w:t>
      </w:r>
      <w:r>
        <w:rPr>
          <w:rFonts w:ascii="Times New Roman" w:hAnsi="Times New Roman" w:cs="Times New Roman"/>
        </w:rPr>
        <w:t>交通高效有序，评价分值为6分。</w:t>
      </w:r>
      <w:bookmarkEnd w:id="160"/>
    </w:p>
    <w:p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Cs w:val="24"/>
        </w:rPr>
        <w:t>7.2.3</w:t>
      </w:r>
      <w:r>
        <w:rPr>
          <w:rFonts w:ascii="Times New Roman" w:hAnsi="Times New Roman" w:cs="Times New Roman"/>
        </w:rPr>
        <w:t xml:space="preserve">  建筑空间适配性评价</w:t>
      </w:r>
      <w:r>
        <w:rPr>
          <w:rFonts w:hint="eastAsia" w:ascii="Times New Roman" w:hAnsi="Times New Roman" w:cs="Times New Roman"/>
        </w:rPr>
        <w:t>是</w:t>
      </w:r>
      <w:r>
        <w:rPr>
          <w:rFonts w:ascii="Times New Roman" w:hAnsi="Times New Roman" w:cs="Times New Roman"/>
        </w:rPr>
        <w:t>对既有建筑内部空间、外部空间、立面形式</w:t>
      </w:r>
      <w:r>
        <w:rPr>
          <w:rFonts w:hint="eastAsia" w:ascii="Times New Roman" w:hAnsi="Times New Roman" w:cs="Times New Roman"/>
        </w:rPr>
        <w:t>适配程度</w:t>
      </w:r>
      <w:r>
        <w:rPr>
          <w:rFonts w:ascii="Times New Roman" w:hAnsi="Times New Roman" w:cs="Times New Roman"/>
        </w:rPr>
        <w:t>的综合评价</w:t>
      </w:r>
      <w:r>
        <w:rPr>
          <w:rFonts w:hint="eastAsia" w:ascii="Times New Roman" w:hAnsi="Times New Roman" w:cs="Times New Roman"/>
        </w:rPr>
        <w:t>，评价分值为1</w:t>
      </w:r>
      <w:r>
        <w:rPr>
          <w:rFonts w:ascii="Times New Roman" w:hAnsi="Times New Roman" w:cs="Times New Roman"/>
        </w:rPr>
        <w:t>5</w:t>
      </w:r>
      <w:r>
        <w:rPr>
          <w:rFonts w:hint="eastAsia" w:ascii="Times New Roman" w:hAnsi="Times New Roman" w:cs="Times New Roman"/>
        </w:rPr>
        <w:t>分</w:t>
      </w:r>
      <w:r>
        <w:rPr>
          <w:rFonts w:ascii="Times New Roman" w:hAnsi="Times New Roman" w:cs="Times New Roman"/>
        </w:rPr>
        <w:t>。</w:t>
      </w:r>
    </w:p>
    <w:p>
      <w:pPr>
        <w:ind w:firstLine="420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Cs w:val="24"/>
        </w:rPr>
        <w:t xml:space="preserve">1  </w:t>
      </w:r>
      <w:r>
        <w:rPr>
          <w:rFonts w:ascii="Times New Roman" w:hAnsi="Times New Roman" w:cs="Times New Roman"/>
        </w:rPr>
        <w:t>建筑内部空间设计应在符合建筑功能和结构抗震功能要求的基础上，</w:t>
      </w:r>
      <w:r>
        <w:rPr>
          <w:rFonts w:ascii="Times New Roman" w:hAnsi="Times New Roman" w:cs="Times New Roman"/>
          <w:szCs w:val="24"/>
        </w:rPr>
        <w:t>最大程度利用原空间价值，</w:t>
      </w:r>
      <w:r>
        <w:rPr>
          <w:rFonts w:ascii="Times New Roman" w:hAnsi="Times New Roman" w:cs="Times New Roman"/>
        </w:rPr>
        <w:t>评价分值为5分。</w:t>
      </w:r>
    </w:p>
    <w:p>
      <w:pPr>
        <w:ind w:firstLine="420" w:firstLineChars="200"/>
        <w:rPr>
          <w:rFonts w:ascii="Times New Roman" w:hAnsi="Times New Roman" w:cs="Times New Roman"/>
          <w:b/>
          <w:bCs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 xml:space="preserve">2  </w:t>
      </w:r>
      <w:r>
        <w:rPr>
          <w:rFonts w:ascii="Times New Roman" w:hAnsi="Times New Roman" w:cs="Times New Roman"/>
        </w:rPr>
        <w:t>建筑外部空间设计应结合项目区域划分，设有联系建筑空间与自然环境的公共空间，并引入生态化的绿地景观，评价分值为5分。</w:t>
      </w:r>
    </w:p>
    <w:p>
      <w:pPr>
        <w:ind w:firstLine="420" w:firstLineChars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Cs w:val="24"/>
        </w:rPr>
        <w:t xml:space="preserve">3  </w:t>
      </w:r>
      <w:r>
        <w:rPr>
          <w:rFonts w:ascii="Times New Roman" w:hAnsi="Times New Roman" w:cs="Times New Roman"/>
        </w:rPr>
        <w:t>建筑立面形式设计应与厂区风貌设计相协调，评价分值为5分。</w:t>
      </w:r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61" w:name="_Toc62762821"/>
      <w:r>
        <w:rPr>
          <w:rFonts w:ascii="Times New Roman" w:hAnsi="Times New Roman" w:cs="Times New Roman"/>
          <w:b/>
          <w:sz w:val="24"/>
          <w:szCs w:val="24"/>
        </w:rPr>
        <w:t>7.3 空间灵活性评价</w:t>
      </w:r>
      <w:bookmarkEnd w:id="161"/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 xml:space="preserve">7.3.1  </w:t>
      </w:r>
      <w:r>
        <w:rPr>
          <w:rFonts w:ascii="Times New Roman" w:hAnsi="Times New Roman" w:cs="Times New Roman"/>
          <w:szCs w:val="24"/>
        </w:rPr>
        <w:t>空间灵活性评价是对空间结构兼容性、可变性及逻辑性的综合评价，主要涉及</w:t>
      </w:r>
      <w:r>
        <w:rPr>
          <w:rFonts w:hint="eastAsia" w:ascii="Times New Roman" w:hAnsi="Times New Roman" w:cs="Times New Roman"/>
        </w:rPr>
        <w:t>园区</w:t>
      </w:r>
      <w:r>
        <w:rPr>
          <w:rFonts w:ascii="Times New Roman" w:hAnsi="Times New Roman" w:cs="Times New Roman"/>
          <w:szCs w:val="24"/>
        </w:rPr>
        <w:t>规划、建筑空间、公共空间3个方面，总分值为25分。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7.3.2</w:t>
      </w:r>
      <w:r>
        <w:rPr>
          <w:rFonts w:ascii="Times New Roman" w:hAnsi="Times New Roman" w:cs="Times New Roman"/>
        </w:rPr>
        <w:t xml:space="preserve">  </w:t>
      </w:r>
      <w:r>
        <w:rPr>
          <w:rFonts w:hint="eastAsia" w:ascii="Times New Roman" w:hAnsi="Times New Roman" w:cs="Times New Roman"/>
        </w:rPr>
        <w:t>园区</w:t>
      </w:r>
      <w:r>
        <w:rPr>
          <w:rFonts w:ascii="Times New Roman" w:hAnsi="Times New Roman" w:cs="Times New Roman"/>
          <w:szCs w:val="24"/>
        </w:rPr>
        <w:t>规划灵活性评价应综合考虑再生模式对区域空间的功能需求，以形成结构合理、布局灵活的整体空间，评价分值为10分。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7.3.3</w:t>
      </w:r>
      <w:r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  <w:szCs w:val="24"/>
        </w:rPr>
        <w:t>建筑空间灵活性评价应注重功能空间的逻辑关系与利用率，保证基本空间平面功能的多样性与合理性，</w:t>
      </w:r>
      <w:bookmarkStart w:id="162" w:name="_Hlk51352034"/>
      <w:r>
        <w:rPr>
          <w:rFonts w:ascii="Times New Roman" w:hAnsi="Times New Roman" w:cs="Times New Roman"/>
          <w:szCs w:val="24"/>
        </w:rPr>
        <w:t>评价分值为8分</w:t>
      </w:r>
      <w:bookmarkEnd w:id="162"/>
      <w:r>
        <w:rPr>
          <w:rFonts w:ascii="Times New Roman" w:hAnsi="Times New Roman" w:cs="Times New Roman"/>
          <w:szCs w:val="24"/>
        </w:rPr>
        <w:t>。</w:t>
      </w:r>
    </w:p>
    <w:p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Cs w:val="24"/>
        </w:rPr>
        <w:t xml:space="preserve">7.3.4  </w:t>
      </w:r>
      <w:r>
        <w:rPr>
          <w:rFonts w:ascii="Times New Roman" w:hAnsi="Times New Roman" w:cs="Times New Roman"/>
          <w:szCs w:val="24"/>
        </w:rPr>
        <w:t>公共空间灵活性评价应确保室内外交通流线顺畅，并适度考虑项目发展的潜在空间需求，评价分值为7分。</w:t>
      </w:r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63" w:name="_Toc62762822"/>
      <w:r>
        <w:rPr>
          <w:rFonts w:ascii="Times New Roman" w:hAnsi="Times New Roman" w:cs="Times New Roman"/>
          <w:b/>
          <w:sz w:val="24"/>
          <w:szCs w:val="24"/>
        </w:rPr>
        <w:t>7.4 空间舒适</w:t>
      </w:r>
      <w:r>
        <w:rPr>
          <w:rFonts w:hint="eastAsia" w:ascii="Times New Roman" w:hAnsi="Times New Roman" w:cs="Times New Roman"/>
          <w:b/>
          <w:sz w:val="24"/>
          <w:szCs w:val="24"/>
        </w:rPr>
        <w:t>度</w:t>
      </w:r>
      <w:r>
        <w:rPr>
          <w:rFonts w:ascii="Times New Roman" w:hAnsi="Times New Roman" w:cs="Times New Roman"/>
          <w:b/>
          <w:sz w:val="24"/>
          <w:szCs w:val="24"/>
        </w:rPr>
        <w:t>评价</w:t>
      </w:r>
      <w:bookmarkEnd w:id="163"/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 xml:space="preserve">7.4.1  </w:t>
      </w:r>
      <w:r>
        <w:rPr>
          <w:rFonts w:ascii="Times New Roman" w:hAnsi="Times New Roman" w:cs="Times New Roman"/>
          <w:szCs w:val="24"/>
        </w:rPr>
        <w:t>空间舒适</w:t>
      </w:r>
      <w:r>
        <w:rPr>
          <w:rFonts w:hint="eastAsia" w:ascii="Times New Roman" w:hAnsi="Times New Roman" w:cs="Times New Roman"/>
          <w:szCs w:val="24"/>
        </w:rPr>
        <w:t>度</w:t>
      </w:r>
      <w:r>
        <w:rPr>
          <w:rFonts w:ascii="Times New Roman" w:hAnsi="Times New Roman" w:cs="Times New Roman"/>
          <w:szCs w:val="24"/>
        </w:rPr>
        <w:t>评价</w:t>
      </w:r>
      <w:bookmarkStart w:id="164" w:name="_Hlk51521758"/>
      <w:r>
        <w:rPr>
          <w:rFonts w:hint="eastAsia" w:ascii="Times New Roman" w:hAnsi="Times New Roman" w:cs="Times New Roman"/>
          <w:szCs w:val="24"/>
        </w:rPr>
        <w:t>是对</w:t>
      </w:r>
      <w:r>
        <w:rPr>
          <w:rFonts w:ascii="Times New Roman" w:hAnsi="Times New Roman" w:cs="Times New Roman"/>
          <w:szCs w:val="24"/>
        </w:rPr>
        <w:t>使用功能舒适度</w:t>
      </w:r>
      <w:bookmarkEnd w:id="164"/>
      <w:r>
        <w:rPr>
          <w:rFonts w:hint="eastAsia" w:ascii="Times New Roman" w:hAnsi="Times New Roman" w:cs="Times New Roman"/>
          <w:szCs w:val="24"/>
        </w:rPr>
        <w:t>、</w:t>
      </w:r>
      <w:r>
        <w:rPr>
          <w:rFonts w:ascii="Times New Roman" w:hAnsi="Times New Roman" w:cs="Times New Roman"/>
          <w:szCs w:val="24"/>
        </w:rPr>
        <w:t>物理环境舒适度</w:t>
      </w:r>
      <w:r>
        <w:rPr>
          <w:rFonts w:hint="eastAsia" w:ascii="Times New Roman" w:hAnsi="Times New Roman" w:cs="Times New Roman"/>
          <w:szCs w:val="24"/>
        </w:rPr>
        <w:t>2个</w:t>
      </w:r>
      <w:r>
        <w:rPr>
          <w:rFonts w:ascii="Times New Roman" w:hAnsi="Times New Roman" w:cs="Times New Roman"/>
          <w:szCs w:val="24"/>
        </w:rPr>
        <w:t>方面</w:t>
      </w:r>
      <w:r>
        <w:rPr>
          <w:rFonts w:hint="eastAsia" w:ascii="Times New Roman" w:hAnsi="Times New Roman" w:cs="Times New Roman"/>
          <w:szCs w:val="24"/>
        </w:rPr>
        <w:t>的</w:t>
      </w:r>
      <w:r>
        <w:rPr>
          <w:rFonts w:ascii="Times New Roman" w:hAnsi="Times New Roman" w:cs="Times New Roman"/>
          <w:szCs w:val="24"/>
        </w:rPr>
        <w:t>综合评价，总分值为40分。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 xml:space="preserve">7.4.2 </w:t>
      </w:r>
      <w:r>
        <w:rPr>
          <w:rFonts w:ascii="Times New Roman" w:hAnsi="Times New Roman" w:cs="Times New Roman"/>
          <w:szCs w:val="24"/>
        </w:rPr>
        <w:t xml:space="preserve"> 使用功能</w:t>
      </w:r>
      <w:bookmarkStart w:id="165" w:name="_Hlk51521929"/>
      <w:r>
        <w:rPr>
          <w:rFonts w:ascii="Times New Roman" w:hAnsi="Times New Roman" w:cs="Times New Roman"/>
          <w:szCs w:val="24"/>
        </w:rPr>
        <w:t>舒适</w:t>
      </w:r>
      <w:bookmarkEnd w:id="165"/>
      <w:r>
        <w:rPr>
          <w:rFonts w:hint="eastAsia" w:ascii="Times New Roman" w:hAnsi="Times New Roman" w:cs="Times New Roman"/>
          <w:szCs w:val="24"/>
        </w:rPr>
        <w:t>度</w:t>
      </w:r>
      <w:r>
        <w:rPr>
          <w:rFonts w:ascii="Times New Roman" w:hAnsi="Times New Roman" w:cs="Times New Roman"/>
          <w:szCs w:val="24"/>
        </w:rPr>
        <w:t>评价包括对</w:t>
      </w:r>
      <w:bookmarkStart w:id="166" w:name="_Hlk51522084"/>
      <w:r>
        <w:rPr>
          <w:rFonts w:ascii="Times New Roman" w:hAnsi="Times New Roman" w:cs="Times New Roman"/>
          <w:szCs w:val="24"/>
        </w:rPr>
        <w:t>建筑空间舒适度</w:t>
      </w:r>
      <w:bookmarkEnd w:id="166"/>
      <w:r>
        <w:rPr>
          <w:rFonts w:ascii="Times New Roman" w:hAnsi="Times New Roman" w:cs="Times New Roman"/>
          <w:szCs w:val="24"/>
        </w:rPr>
        <w:t>和</w:t>
      </w:r>
      <w:bookmarkStart w:id="167" w:name="_Hlk51523120"/>
      <w:r>
        <w:rPr>
          <w:rFonts w:ascii="Times New Roman" w:hAnsi="Times New Roman" w:cs="Times New Roman"/>
          <w:szCs w:val="24"/>
        </w:rPr>
        <w:t>公共空间</w:t>
      </w:r>
      <w:bookmarkEnd w:id="167"/>
      <w:r>
        <w:rPr>
          <w:rFonts w:ascii="Times New Roman" w:hAnsi="Times New Roman" w:cs="Times New Roman"/>
          <w:szCs w:val="24"/>
        </w:rPr>
        <w:t>舒适度的综合评价</w:t>
      </w:r>
      <w:r>
        <w:rPr>
          <w:rFonts w:hint="eastAsia" w:ascii="Times New Roman" w:hAnsi="Times New Roman" w:cs="Times New Roman"/>
          <w:szCs w:val="24"/>
        </w:rPr>
        <w:t>，评价分值为</w:t>
      </w:r>
      <w:r>
        <w:rPr>
          <w:rFonts w:ascii="Times New Roman" w:hAnsi="Times New Roman" w:cs="Times New Roman"/>
          <w:szCs w:val="24"/>
        </w:rPr>
        <w:t>16</w:t>
      </w:r>
      <w:r>
        <w:rPr>
          <w:rFonts w:hint="eastAsia" w:ascii="Times New Roman" w:hAnsi="Times New Roman" w:cs="Times New Roman"/>
          <w:szCs w:val="24"/>
        </w:rPr>
        <w:t>分。</w:t>
      </w:r>
    </w:p>
    <w:p>
      <w:pPr>
        <w:ind w:firstLine="420" w:firstLineChars="20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1</w:t>
      </w:r>
      <w:r>
        <w:rPr>
          <w:rFonts w:ascii="Times New Roman" w:hAnsi="Times New Roman" w:cs="Times New Roman"/>
          <w:szCs w:val="24"/>
        </w:rPr>
        <w:t xml:space="preserve">  建筑空间设计应充分考虑不同区域的功能差异，空间尺度比例合理化与多样化，且平面及整体布置应避免视线干扰，评价分值为10分。</w:t>
      </w:r>
    </w:p>
    <w:p>
      <w:pPr>
        <w:ind w:firstLine="420" w:firstLineChars="20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2</w:t>
      </w:r>
      <w:r>
        <w:rPr>
          <w:rFonts w:ascii="Times New Roman" w:hAnsi="Times New Roman" w:cs="Times New Roman"/>
          <w:szCs w:val="24"/>
        </w:rPr>
        <w:t xml:space="preserve">  公共空间设计应结合功能分区与自然条件，</w:t>
      </w:r>
      <w:r>
        <w:rPr>
          <w:rFonts w:hint="eastAsia" w:ascii="Times New Roman" w:hAnsi="Times New Roman" w:cs="Times New Roman"/>
          <w:szCs w:val="24"/>
        </w:rPr>
        <w:t>宜</w:t>
      </w:r>
      <w:r>
        <w:rPr>
          <w:rFonts w:ascii="Times New Roman" w:hAnsi="Times New Roman" w:cs="Times New Roman"/>
          <w:szCs w:val="24"/>
        </w:rPr>
        <w:t>设</w:t>
      </w:r>
      <w:r>
        <w:rPr>
          <w:rFonts w:hint="eastAsia" w:ascii="Times New Roman" w:hAnsi="Times New Roman" w:cs="Times New Roman"/>
          <w:szCs w:val="24"/>
        </w:rPr>
        <w:t>有</w:t>
      </w:r>
      <w:r>
        <w:rPr>
          <w:rFonts w:ascii="Times New Roman" w:hAnsi="Times New Roman" w:cs="Times New Roman"/>
          <w:szCs w:val="24"/>
        </w:rPr>
        <w:t>公共步行通道、公共活动空间、架空层等开放空间，</w:t>
      </w:r>
      <w:bookmarkStart w:id="168" w:name="_Hlk51357715"/>
      <w:r>
        <w:rPr>
          <w:rFonts w:ascii="Times New Roman" w:hAnsi="Times New Roman" w:cs="Times New Roman"/>
          <w:szCs w:val="24"/>
        </w:rPr>
        <w:t>评价分值为6分。</w:t>
      </w:r>
      <w:bookmarkEnd w:id="168"/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7.4.3</w:t>
      </w:r>
      <w:r>
        <w:rPr>
          <w:rFonts w:ascii="Times New Roman" w:hAnsi="Times New Roman" w:cs="Times New Roman"/>
          <w:szCs w:val="24"/>
        </w:rPr>
        <w:t xml:space="preserve">  物理环境舒适</w:t>
      </w:r>
      <w:r>
        <w:rPr>
          <w:rFonts w:hint="eastAsia" w:ascii="Times New Roman" w:hAnsi="Times New Roman" w:cs="Times New Roman"/>
          <w:szCs w:val="24"/>
        </w:rPr>
        <w:t>度</w:t>
      </w:r>
      <w:r>
        <w:rPr>
          <w:rFonts w:ascii="Times New Roman" w:hAnsi="Times New Roman" w:cs="Times New Roman"/>
          <w:szCs w:val="24"/>
        </w:rPr>
        <w:t>评价是对空间设计方案热环境、光环境、声环境以及空气质量的综合评价</w:t>
      </w:r>
      <w:r>
        <w:rPr>
          <w:rFonts w:hint="eastAsia" w:ascii="Times New Roman" w:hAnsi="Times New Roman" w:cs="Times New Roman"/>
          <w:szCs w:val="24"/>
        </w:rPr>
        <w:t>，评价分值为</w:t>
      </w:r>
      <w:r>
        <w:rPr>
          <w:rFonts w:ascii="Times New Roman" w:hAnsi="Times New Roman" w:cs="Times New Roman"/>
          <w:szCs w:val="24"/>
        </w:rPr>
        <w:t>24</w:t>
      </w:r>
      <w:r>
        <w:rPr>
          <w:rFonts w:hint="eastAsia" w:ascii="Times New Roman" w:hAnsi="Times New Roman" w:cs="Times New Roman"/>
          <w:szCs w:val="24"/>
        </w:rPr>
        <w:t>分</w:t>
      </w:r>
      <w:r>
        <w:rPr>
          <w:rFonts w:ascii="Times New Roman" w:hAnsi="Times New Roman" w:cs="Times New Roman"/>
          <w:szCs w:val="24"/>
        </w:rPr>
        <w:t>。</w:t>
      </w:r>
    </w:p>
    <w:p>
      <w:pPr>
        <w:ind w:firstLine="420" w:firstLineChars="20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1</w:t>
      </w:r>
      <w:r>
        <w:rPr>
          <w:rFonts w:ascii="Times New Roman" w:hAnsi="Times New Roman" w:cs="Times New Roman"/>
          <w:szCs w:val="24"/>
        </w:rPr>
        <w:t xml:space="preserve">  合理采用被动式措施降低供暖或空调能耗，评价分值为6分。</w:t>
      </w:r>
    </w:p>
    <w:p>
      <w:pPr>
        <w:ind w:firstLine="420" w:firstLineChars="20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2</w:t>
      </w:r>
      <w:r>
        <w:rPr>
          <w:rFonts w:ascii="Times New Roman" w:hAnsi="Times New Roman" w:cs="Times New Roman"/>
          <w:szCs w:val="24"/>
        </w:rPr>
        <w:t xml:space="preserve">  保证75％以上主要功能空间室内采光系数符合现行标准《建筑采光设计标准》GB/T 50033的规定；进深较大的室内或地下空间应</w:t>
      </w:r>
      <w:r>
        <w:rPr>
          <w:rFonts w:hint="eastAsia" w:ascii="Times New Roman" w:hAnsi="Times New Roman" w:cs="Times New Roman"/>
          <w:szCs w:val="24"/>
        </w:rPr>
        <w:t>结合实际进行</w:t>
      </w:r>
      <w:r>
        <w:rPr>
          <w:rFonts w:ascii="Times New Roman" w:hAnsi="Times New Roman" w:cs="Times New Roman"/>
          <w:szCs w:val="24"/>
        </w:rPr>
        <w:t>采光设计，评价分值为6分。</w:t>
      </w:r>
    </w:p>
    <w:p>
      <w:pPr>
        <w:ind w:firstLine="420" w:firstLineChars="20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3</w:t>
      </w:r>
      <w:r>
        <w:rPr>
          <w:rFonts w:ascii="Times New Roman" w:hAnsi="Times New Roman" w:cs="Times New Roman"/>
          <w:szCs w:val="24"/>
        </w:rPr>
        <w:t xml:space="preserve">  建筑平面布局和空间功能应安排合理，</w:t>
      </w:r>
      <w:r>
        <w:rPr>
          <w:rFonts w:hint="eastAsia" w:ascii="Times New Roman" w:hAnsi="Times New Roman" w:cs="Times New Roman"/>
          <w:szCs w:val="24"/>
        </w:rPr>
        <w:t>能</w:t>
      </w:r>
      <w:r>
        <w:rPr>
          <w:rFonts w:ascii="Times New Roman" w:hAnsi="Times New Roman" w:cs="Times New Roman"/>
          <w:szCs w:val="24"/>
        </w:rPr>
        <w:t>有效避免设备或相邻空间的噪声干扰以及外界噪声对室内的影响，评价分值为6分。</w:t>
      </w:r>
    </w:p>
    <w:p>
      <w:pPr>
        <w:ind w:firstLine="420" w:firstLineChars="20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4</w:t>
      </w:r>
      <w:r>
        <w:rPr>
          <w:rFonts w:ascii="Times New Roman" w:hAnsi="Times New Roman" w:cs="Times New Roman"/>
          <w:szCs w:val="24"/>
        </w:rPr>
        <w:t xml:space="preserve">  建筑的平面布局、空间组织、剖面设计和门窗设置，应有利于组织室内自然通风，且应符合现行标准《公共建筑节能设计标准》GB 50189的规定，评价分值为6分。</w:t>
      </w:r>
    </w:p>
    <w:bookmarkEnd w:id="156"/>
    <w:p>
      <w:pPr>
        <w:rPr>
          <w:rFonts w:ascii="Times New Roman" w:hAnsi="Times New Roman" w:cs="Times New Roman"/>
        </w:rPr>
        <w:sectPr>
          <w:footerReference r:id="rId9" w:type="default"/>
          <w:footerReference r:id="rId10" w:type="even"/>
          <w:pgSz w:w="8335" w:h="11850"/>
          <w:pgMar w:top="1083" w:right="1083" w:bottom="1083" w:left="1083" w:header="851" w:footer="992" w:gutter="0"/>
          <w:pgNumType w:start="1" w:chapSep="period"/>
          <w:cols w:space="720" w:num="1"/>
          <w:docGrid w:type="linesAndChars" w:linePitch="312" w:charSpace="0"/>
        </w:sectPr>
      </w:pPr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cs="Times New Roman"/>
          <w:b/>
          <w:kern w:val="44"/>
          <w:sz w:val="30"/>
          <w:szCs w:val="24"/>
        </w:rPr>
      </w:pPr>
      <w:bookmarkStart w:id="169" w:name="_Toc20968"/>
      <w:bookmarkStart w:id="170" w:name="_Toc62762823"/>
      <w:r>
        <w:rPr>
          <w:rFonts w:ascii="Times New Roman" w:hAnsi="Times New Roman" w:cs="Times New Roman"/>
          <w:b/>
          <w:kern w:val="44"/>
          <w:sz w:val="30"/>
          <w:szCs w:val="24"/>
        </w:rPr>
        <w:t xml:space="preserve">8 </w:t>
      </w:r>
      <w:r>
        <w:rPr>
          <w:rFonts w:hint="eastAsia" w:ascii="Times New Roman" w:hAnsi="Times New Roman" w:cs="Times New Roman"/>
          <w:b/>
          <w:kern w:val="44"/>
          <w:sz w:val="30"/>
          <w:szCs w:val="24"/>
        </w:rPr>
        <w:t>适宜性</w:t>
      </w:r>
      <w:r>
        <w:rPr>
          <w:rFonts w:ascii="Times New Roman" w:hAnsi="Times New Roman" w:cs="Times New Roman"/>
          <w:b/>
          <w:kern w:val="44"/>
          <w:sz w:val="30"/>
          <w:szCs w:val="24"/>
        </w:rPr>
        <w:t>综合评价</w:t>
      </w:r>
      <w:bookmarkEnd w:id="169"/>
      <w:bookmarkEnd w:id="170"/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71" w:name="_Toc10038"/>
      <w:bookmarkStart w:id="172" w:name="_Toc62762824"/>
      <w:r>
        <w:rPr>
          <w:rFonts w:ascii="Times New Roman" w:hAnsi="Times New Roman" w:cs="Times New Roman"/>
          <w:b/>
          <w:sz w:val="24"/>
          <w:szCs w:val="24"/>
        </w:rPr>
        <w:t>8.1 评价内容及程序</w:t>
      </w:r>
      <w:bookmarkEnd w:id="171"/>
      <w:bookmarkEnd w:id="172"/>
    </w:p>
    <w:p>
      <w:pPr>
        <w:spacing w:line="330" w:lineRule="exact"/>
        <w:rPr>
          <w:rFonts w:ascii="Times New Roman" w:hAnsi="Times New Roman" w:cs="Times New Roman"/>
          <w:szCs w:val="24"/>
        </w:rPr>
      </w:pPr>
      <w:bookmarkStart w:id="173" w:name="_Toc12652"/>
      <w:r>
        <w:rPr>
          <w:rFonts w:ascii="Times New Roman" w:hAnsi="Times New Roman" w:cs="Times New Roman"/>
          <w:b/>
          <w:szCs w:val="24"/>
        </w:rPr>
        <w:t xml:space="preserve">8.1.1  </w:t>
      </w:r>
      <w:r>
        <w:rPr>
          <w:rFonts w:ascii="Times New Roman" w:hAnsi="Times New Roman" w:cs="Times New Roman"/>
          <w:szCs w:val="24"/>
        </w:rPr>
        <w:t>综合评价包括分项适宜性评价和总体适宜性评价。</w:t>
      </w:r>
    </w:p>
    <w:p>
      <w:pPr>
        <w:spacing w:line="330" w:lineRule="exac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szCs w:val="24"/>
        </w:rPr>
        <w:t xml:space="preserve">8.1.2  </w:t>
      </w:r>
      <w:r>
        <w:rPr>
          <w:rFonts w:ascii="Times New Roman" w:hAnsi="Times New Roman" w:cs="Times New Roman"/>
          <w:szCs w:val="24"/>
        </w:rPr>
        <w:t>评价程序应符合图8.1.2的规定</w:t>
      </w:r>
      <w:r>
        <w:rPr>
          <w:rFonts w:hint="eastAsia" w:ascii="Times New Roman" w:hAnsi="Times New Roman" w:cs="Times New Roman"/>
          <w:szCs w:val="24"/>
        </w:rPr>
        <w:t>。</w:t>
      </w:r>
    </w:p>
    <w:p>
      <w:pPr>
        <w:jc w:val="center"/>
      </w:pPr>
      <w:r>
        <w:object>
          <v:shape id="_x0000_i1025" o:spt="75" type="#_x0000_t75" style="height:294.65pt;width:267pt;" o:ole="t" filled="f" o:preferrelative="t" stroked="f" coordsize="21600,21600">
            <v:path/>
            <v:fill on="f" focussize="0,0"/>
            <v:stroke on="f" joinstyle="miter"/>
            <v:imagedata r:id="rId14" o:title=""/>
            <o:lock v:ext="edit" aspectratio="t"/>
            <w10:wrap type="none"/>
            <w10:anchorlock/>
          </v:shape>
          <o:OLEObject Type="Embed" ProgID="Visio.Drawing.15" ShapeID="_x0000_i1025" DrawAspect="Content" ObjectID="_1468075725" r:id="rId13">
            <o:LockedField>false</o:LockedField>
          </o:OLEObject>
        </w:object>
      </w:r>
    </w:p>
    <w:p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图8.1.2 </w:t>
      </w:r>
      <w:r>
        <w:rPr>
          <w:rFonts w:hint="eastAsia" w:ascii="Times New Roman" w:hAnsi="Times New Roman" w:cs="Times New Roman"/>
          <w:b/>
          <w:sz w:val="20"/>
          <w:szCs w:val="20"/>
        </w:rPr>
        <w:t>旧工业厂区空间开发适宜性</w:t>
      </w:r>
      <w:r>
        <w:rPr>
          <w:rFonts w:ascii="Times New Roman" w:hAnsi="Times New Roman" w:cs="Times New Roman"/>
          <w:b/>
          <w:sz w:val="20"/>
          <w:szCs w:val="20"/>
        </w:rPr>
        <w:t>评价程序</w:t>
      </w:r>
    </w:p>
    <w:p>
      <w:pPr>
        <w:keepNext/>
        <w:keepLines/>
        <w:spacing w:before="100" w:after="100" w:line="440" w:lineRule="exact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174" w:name="_Toc62762825"/>
      <w:r>
        <w:rPr>
          <w:rFonts w:ascii="Times New Roman" w:hAnsi="Times New Roman" w:cs="Times New Roman"/>
          <w:b/>
          <w:sz w:val="24"/>
          <w:szCs w:val="24"/>
        </w:rPr>
        <w:t>8.2 评价方法</w:t>
      </w:r>
      <w:bookmarkEnd w:id="173"/>
      <w:bookmarkEnd w:id="174"/>
    </w:p>
    <w:p>
      <w:pPr>
        <w:spacing w:line="330" w:lineRule="exact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8.2.1  </w:t>
      </w:r>
      <w:r>
        <w:rPr>
          <w:rFonts w:hint="eastAsia" w:ascii="Times New Roman" w:hAnsi="Times New Roman" w:cs="Times New Roman"/>
          <w:szCs w:val="24"/>
        </w:rPr>
        <w:t>适宜性评价应由具备旧工业建筑再生利用技术经验的专家进行评价</w:t>
      </w:r>
      <w:r>
        <w:rPr>
          <w:rFonts w:ascii="Times New Roman" w:hAnsi="Times New Roman" w:cs="Times New Roman"/>
          <w:szCs w:val="24"/>
        </w:rPr>
        <w:t>。</w:t>
      </w:r>
    </w:p>
    <w:p>
      <w:pPr>
        <w:spacing w:line="330" w:lineRule="exact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8.2.2  </w:t>
      </w:r>
      <w:r>
        <w:rPr>
          <w:rFonts w:ascii="Times New Roman" w:hAnsi="Times New Roman" w:cs="Times New Roman"/>
          <w:szCs w:val="24"/>
        </w:rPr>
        <w:t>适宜性评价</w:t>
      </w:r>
      <w:r>
        <w:rPr>
          <w:rFonts w:hint="eastAsia" w:ascii="Times New Roman" w:hAnsi="Times New Roman" w:cs="Times New Roman"/>
          <w:szCs w:val="24"/>
        </w:rPr>
        <w:t>宜</w:t>
      </w:r>
      <w:r>
        <w:rPr>
          <w:rFonts w:ascii="Times New Roman" w:hAnsi="Times New Roman" w:cs="Times New Roman"/>
          <w:szCs w:val="24"/>
        </w:rPr>
        <w:t>按表8.2.2的规定进行。评价时，</w:t>
      </w:r>
      <w:r>
        <w:rPr>
          <w:rFonts w:hint="eastAsia" w:ascii="Times New Roman" w:hAnsi="Times New Roman" w:cs="Times New Roman"/>
          <w:szCs w:val="24"/>
        </w:rPr>
        <w:t>采用</w:t>
      </w:r>
      <w:r>
        <w:rPr>
          <w:rFonts w:ascii="Times New Roman" w:hAnsi="Times New Roman" w:cs="Times New Roman"/>
          <w:szCs w:val="24"/>
        </w:rPr>
        <w:t>两种得分方式，对照项目在相应的分值栏中给出分值。</w:t>
      </w:r>
    </w:p>
    <w:p>
      <w:pPr>
        <w:spacing w:line="330" w:lineRule="exact"/>
        <w:ind w:firstLine="420" w:firstLineChars="200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1  </w:t>
      </w:r>
      <w:r>
        <w:rPr>
          <w:rFonts w:ascii="Times New Roman" w:hAnsi="Times New Roman" w:cs="Times New Roman"/>
          <w:szCs w:val="24"/>
        </w:rPr>
        <w:t>“是否”回答型。分值为选择项，其中，</w:t>
      </w:r>
      <w:r>
        <w:rPr>
          <w:rFonts w:hint="eastAsia" w:ascii="Times New Roman" w:hAnsi="Times New Roman" w:cs="Times New Roman"/>
          <w:szCs w:val="24"/>
        </w:rPr>
        <w:t>评价为</w:t>
      </w:r>
      <w:r>
        <w:rPr>
          <w:rFonts w:ascii="Times New Roman" w:hAnsi="Times New Roman" w:cs="Times New Roman"/>
          <w:szCs w:val="24"/>
        </w:rPr>
        <w:t>“是”时，得最高分，</w:t>
      </w:r>
      <w:r>
        <w:rPr>
          <w:rFonts w:hint="eastAsia" w:ascii="Times New Roman" w:hAnsi="Times New Roman" w:cs="Times New Roman"/>
          <w:szCs w:val="24"/>
        </w:rPr>
        <w:t>评价为</w:t>
      </w:r>
      <w:r>
        <w:rPr>
          <w:rFonts w:ascii="Times New Roman" w:hAnsi="Times New Roman" w:cs="Times New Roman"/>
          <w:szCs w:val="24"/>
        </w:rPr>
        <w:t>“否”时，得0分。</w:t>
      </w:r>
    </w:p>
    <w:p>
      <w:pPr>
        <w:spacing w:line="330" w:lineRule="exact"/>
        <w:ind w:firstLine="420" w:firstLineChars="20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2  </w:t>
      </w:r>
      <w:r>
        <w:rPr>
          <w:rFonts w:ascii="Times New Roman" w:hAnsi="Times New Roman" w:cs="Times New Roman"/>
          <w:szCs w:val="24"/>
        </w:rPr>
        <w:t>具体评定型。分值为区间项，</w:t>
      </w:r>
      <w:r>
        <w:rPr>
          <w:rFonts w:hint="eastAsia" w:ascii="Times New Roman" w:hAnsi="Times New Roman" w:cs="Times New Roman"/>
          <w:szCs w:val="24"/>
        </w:rPr>
        <w:t>指标得分应</w:t>
      </w:r>
      <w:r>
        <w:rPr>
          <w:rFonts w:ascii="Times New Roman" w:hAnsi="Times New Roman" w:cs="Times New Roman"/>
          <w:szCs w:val="24"/>
        </w:rPr>
        <w:t>依据满足单项内容的程度</w:t>
      </w:r>
      <w:r>
        <w:rPr>
          <w:rFonts w:hint="eastAsia" w:ascii="Times New Roman" w:hAnsi="Times New Roman" w:cs="Times New Roman"/>
          <w:szCs w:val="24"/>
        </w:rPr>
        <w:t>评定</w:t>
      </w:r>
      <w:r>
        <w:rPr>
          <w:rFonts w:ascii="Times New Roman" w:hAnsi="Times New Roman" w:cs="Times New Roman"/>
          <w:szCs w:val="24"/>
        </w:rPr>
        <w:t>，满足程度越高分值越大。</w:t>
      </w:r>
    </w:p>
    <w:p>
      <w:pPr>
        <w:spacing w:line="330" w:lineRule="exact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表8.2.2 旧工业厂区空间开发适宜性评价标准</w:t>
      </w:r>
    </w:p>
    <w:tbl>
      <w:tblPr>
        <w:tblStyle w:val="24"/>
        <w:tblW w:w="631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9"/>
        <w:gridCol w:w="577"/>
        <w:gridCol w:w="1122"/>
        <w:gridCol w:w="3003"/>
        <w:gridCol w:w="686"/>
        <w:gridCol w:w="5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9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分项指标</w:t>
            </w:r>
          </w:p>
        </w:tc>
        <w:tc>
          <w:tcPr>
            <w:tcW w:w="412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单项指标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分值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419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环境安全A</w:t>
            </w:r>
            <w:r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1</w:t>
            </w: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污染危害性</w:t>
            </w: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空气中有害气体的浓度、烟尘颗粒大小及浓度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0~25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土壤的pH、含盐量、重金属含量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0~25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水体pH、浑浊度、重金属含量、有毒化学品含量、溶解氧含量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0~25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生态适宜性</w:t>
            </w: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厂区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绿化覆盖面积与潜在绿化空间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0~12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厂区既有绿色景观资源的可利用性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环境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承载力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对再生模式运营的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支持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得分小计</w:t>
            </w:r>
          </w:p>
        </w:tc>
        <w:tc>
          <w:tcPr>
            <w:tcW w:w="5321" w:type="dxa"/>
            <w:gridSpan w:val="4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分值：                     等级：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21" w:type="dxa"/>
            <w:gridSpan w:val="4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等级划分：一级[90，100]、二级[80，89]、三级[60，79]、四级（&lt;60）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19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区位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基础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经济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条件</w:t>
            </w: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相关政策对再生模式开发的支持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力度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投资环境对再生模式开发的有利程度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0~15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区域资源对再生模式开发的有利程度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市场潜力对再生模式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运营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的有利程度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0~15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restart"/>
            <w:vAlign w:val="center"/>
          </w:tcPr>
          <w:p>
            <w:pPr>
              <w:keepNext/>
              <w:keepLines/>
              <w:spacing w:before="100" w:after="10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bookmarkStart w:id="175" w:name="_Toc9053"/>
            <w:bookmarkStart w:id="176" w:name="_Toc8375"/>
            <w:r>
              <w:rPr>
                <w:rFonts w:ascii="Times New Roman" w:hAnsi="Times New Roman" w:cs="Times New Roman"/>
                <w:sz w:val="18"/>
                <w:szCs w:val="18"/>
              </w:rPr>
              <w:t>交通条件</w:t>
            </w:r>
            <w:bookmarkEnd w:id="175"/>
            <w:bookmarkEnd w:id="176"/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厂区与城市交通网络的联系程度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0~20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厂区与公共服务基础设施通达程度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0~20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得分小计</w:t>
            </w:r>
          </w:p>
        </w:tc>
        <w:tc>
          <w:tcPr>
            <w:tcW w:w="5321" w:type="dxa"/>
            <w:gridSpan w:val="4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分值：                     等级：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21" w:type="dxa"/>
            <w:gridSpan w:val="4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等级划分：一级[90，100]、二级[80，89]、三级[60，79]、四级（&lt;60）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资源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潜力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>
              <w:rPr>
                <w:rFonts w:ascii="Times New Roman" w:hAnsi="Times New Roman" w:cs="Times New Roman"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人文资源</w:t>
            </w: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历史文化资源的可利用性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人文精神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资源的可利用性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0~10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职业（工匠）精神资源的可利用性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建筑资源</w:t>
            </w: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结构性能评定等级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平面布局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对再生模式开发的有利程度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0~8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厂区风貌对再生模式开发的有利程度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0~8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建筑风格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对再生模式开发的有利程度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0~8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设施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资源</w:t>
            </w: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机械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设备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的可利用性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0~15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消防设施的可利用性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给排水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设施的可利用性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电气设施的可利用性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采暖通风设施的可利用性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得分小计</w:t>
            </w:r>
          </w:p>
        </w:tc>
        <w:tc>
          <w:tcPr>
            <w:tcW w:w="5321" w:type="dxa"/>
            <w:gridSpan w:val="4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分值：                     等级：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21" w:type="dxa"/>
            <w:gridSpan w:val="4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等级划分：一级[90，100]、二级[80，89]、三级[60，79]、四级（&lt;60）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kern w:val="44"/>
                <w:sz w:val="18"/>
                <w:szCs w:val="18"/>
              </w:rPr>
              <w:t>空间设计A</w:t>
            </w:r>
            <w:r>
              <w:rPr>
                <w:rFonts w:ascii="Times New Roman" w:hAnsi="Times New Roman" w:cs="Times New Roman"/>
                <w:kern w:val="44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空间适配性</w:t>
            </w:r>
          </w:p>
        </w:tc>
        <w:tc>
          <w:tcPr>
            <w:tcW w:w="1122" w:type="dxa"/>
            <w:vMerge w:val="restart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园区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规划适配性</w:t>
            </w:r>
          </w:p>
        </w:tc>
        <w:tc>
          <w:tcPr>
            <w:tcW w:w="3003" w:type="dxa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区域整体规划具有整体优势、集聚效应和综合竞争力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0~8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44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2" w:type="dxa"/>
            <w:vMerge w:val="continue"/>
            <w:vAlign w:val="center"/>
          </w:tcPr>
          <w:p>
            <w:pPr>
              <w:ind w:firstLine="360" w:firstLineChars="2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3" w:type="dxa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建筑空间与功能布局协同互利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0~6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kern w:val="44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2" w:type="dxa"/>
            <w:vMerge w:val="continue"/>
            <w:vAlign w:val="center"/>
          </w:tcPr>
          <w:p>
            <w:pPr>
              <w:ind w:firstLine="360" w:firstLineChars="2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3" w:type="dxa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区域交通是否高效有序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2" w:type="dxa"/>
            <w:vMerge w:val="restart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建筑空间适配性</w:t>
            </w:r>
          </w:p>
        </w:tc>
        <w:tc>
          <w:tcPr>
            <w:tcW w:w="3003" w:type="dxa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建筑内部空间利用原空间程度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2" w:type="dxa"/>
            <w:vMerge w:val="continue"/>
            <w:vAlign w:val="center"/>
          </w:tcPr>
          <w:p>
            <w:pPr>
              <w:ind w:firstLine="360" w:firstLineChars="2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3" w:type="dxa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公共空间绿化合理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2" w:type="dxa"/>
            <w:vMerge w:val="continue"/>
            <w:vAlign w:val="center"/>
          </w:tcPr>
          <w:p>
            <w:pPr>
              <w:ind w:firstLine="360" w:firstLineChars="2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3" w:type="dxa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建筑立面形式设计应与厂区风貌设计相协调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0~5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空间灵活性</w:t>
            </w: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整体空间是否结构合理、布局灵活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基本空间平面功能是否多样与合理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5" w:type="dxa"/>
            <w:gridSpan w:val="2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室内外交通流线是否顺畅</w:t>
            </w:r>
          </w:p>
        </w:tc>
        <w:tc>
          <w:tcPr>
            <w:tcW w:w="68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空间舒适度</w:t>
            </w:r>
          </w:p>
        </w:tc>
        <w:tc>
          <w:tcPr>
            <w:tcW w:w="1122" w:type="dxa"/>
            <w:vMerge w:val="restart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使用功能舒适度</w:t>
            </w:r>
          </w:p>
        </w:tc>
        <w:tc>
          <w:tcPr>
            <w:tcW w:w="3003" w:type="dxa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建筑空间的舒适程度</w:t>
            </w:r>
          </w:p>
        </w:tc>
        <w:tc>
          <w:tcPr>
            <w:tcW w:w="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0~10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2" w:type="dxa"/>
            <w:vMerge w:val="continue"/>
            <w:shd w:val="clear" w:color="auto" w:fill="auto"/>
            <w:vAlign w:val="center"/>
          </w:tcPr>
          <w:p>
            <w:pPr>
              <w:ind w:firstLine="360" w:firstLineChars="2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3" w:type="dxa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公共空间的舒适程度</w:t>
            </w:r>
          </w:p>
        </w:tc>
        <w:tc>
          <w:tcPr>
            <w:tcW w:w="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0~6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2" w:type="dxa"/>
            <w:vMerge w:val="restart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物理环境舒适度</w:t>
            </w:r>
          </w:p>
        </w:tc>
        <w:tc>
          <w:tcPr>
            <w:tcW w:w="3003" w:type="dxa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是否有利于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降低供暖或空调能耗</w:t>
            </w:r>
          </w:p>
        </w:tc>
        <w:tc>
          <w:tcPr>
            <w:tcW w:w="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0~6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2" w:type="dxa"/>
            <w:vMerge w:val="continue"/>
            <w:shd w:val="clear" w:color="auto" w:fill="auto"/>
            <w:vAlign w:val="center"/>
          </w:tcPr>
          <w:p>
            <w:pPr>
              <w:ind w:firstLine="360" w:firstLineChars="2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3" w:type="dxa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采光系数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是否符合规定</w:t>
            </w:r>
          </w:p>
        </w:tc>
        <w:tc>
          <w:tcPr>
            <w:tcW w:w="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0~6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2" w:type="dxa"/>
            <w:vMerge w:val="continue"/>
            <w:shd w:val="clear" w:color="auto" w:fill="auto"/>
            <w:vAlign w:val="center"/>
          </w:tcPr>
          <w:p>
            <w:pPr>
              <w:ind w:firstLine="360" w:firstLineChars="2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3" w:type="dxa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厂区环境噪声是否符合规定</w:t>
            </w:r>
          </w:p>
        </w:tc>
        <w:tc>
          <w:tcPr>
            <w:tcW w:w="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2" w:type="dxa"/>
            <w:vMerge w:val="continue"/>
            <w:shd w:val="clear" w:color="auto" w:fill="auto"/>
            <w:vAlign w:val="center"/>
          </w:tcPr>
          <w:p>
            <w:pPr>
              <w:ind w:firstLine="360" w:firstLineChars="20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03" w:type="dxa"/>
            <w:shd w:val="clear" w:color="auto" w:fill="auto"/>
            <w:vAlign w:val="center"/>
          </w:tcPr>
          <w:p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空间自然通风是否符合规定</w:t>
            </w:r>
          </w:p>
        </w:tc>
        <w:tc>
          <w:tcPr>
            <w:tcW w:w="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~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1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得分小计</w:t>
            </w:r>
          </w:p>
        </w:tc>
        <w:tc>
          <w:tcPr>
            <w:tcW w:w="5321" w:type="dxa"/>
            <w:gridSpan w:val="4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分值：                     等级：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1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321" w:type="dxa"/>
            <w:gridSpan w:val="4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等级划分：一级[90，100]、二级[80，89]、三级[60，79]、四级（&lt;60）</w:t>
            </w:r>
          </w:p>
        </w:tc>
      </w:tr>
    </w:tbl>
    <w:p>
      <w:pPr>
        <w:spacing w:line="330" w:lineRule="exact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bCs/>
          <w:szCs w:val="24"/>
        </w:rPr>
        <w:t>8.2.3</w:t>
      </w:r>
      <w:r>
        <w:rPr>
          <w:rFonts w:ascii="Times New Roman" w:hAnsi="Times New Roman" w:cs="Times New Roman"/>
          <w:szCs w:val="24"/>
        </w:rPr>
        <w:t xml:space="preserve">  </w:t>
      </w:r>
      <w:r>
        <w:rPr>
          <w:rFonts w:hint="eastAsia" w:ascii="Times New Roman" w:hAnsi="Times New Roman" w:cs="Times New Roman"/>
          <w:szCs w:val="24"/>
        </w:rPr>
        <w:t>旧工业厂区空间开发适应性评价的总得分应按本标准</w:t>
      </w:r>
      <w:r>
        <w:rPr>
          <w:rFonts w:ascii="Times New Roman" w:hAnsi="Times New Roman" w:cs="Times New Roman"/>
          <w:szCs w:val="21"/>
        </w:rPr>
        <w:t>式（3.0.5）</w:t>
      </w:r>
      <w:r>
        <w:rPr>
          <w:rFonts w:hint="eastAsia" w:ascii="Times New Roman" w:hAnsi="Times New Roman" w:cs="Times New Roman"/>
          <w:szCs w:val="21"/>
        </w:rPr>
        <w:t>进行计算，评分结果宜按表8</w:t>
      </w:r>
      <w:r>
        <w:rPr>
          <w:rFonts w:ascii="Times New Roman" w:hAnsi="Times New Roman" w:cs="Times New Roman"/>
          <w:szCs w:val="21"/>
        </w:rPr>
        <w:t>.2.3</w:t>
      </w:r>
      <w:r>
        <w:rPr>
          <w:rFonts w:hint="eastAsia" w:ascii="Times New Roman" w:hAnsi="Times New Roman" w:cs="Times New Roman"/>
          <w:szCs w:val="21"/>
        </w:rPr>
        <w:t>的规定得出评价结论。</w:t>
      </w:r>
    </w:p>
    <w:p>
      <w:pPr>
        <w:spacing w:line="330" w:lineRule="exact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表8.2.3 旧工业厂区空间开发适宜性评</w:t>
      </w:r>
      <w:r>
        <w:rPr>
          <w:rFonts w:hint="eastAsia" w:ascii="Times New Roman" w:hAnsi="Times New Roman" w:cs="Times New Roman"/>
          <w:b/>
          <w:bCs/>
          <w:sz w:val="18"/>
          <w:szCs w:val="18"/>
        </w:rPr>
        <w:t>价结论</w:t>
      </w:r>
    </w:p>
    <w:tbl>
      <w:tblPr>
        <w:tblStyle w:val="2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1666"/>
        <w:gridCol w:w="1540"/>
        <w:gridCol w:w="1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项目</w:t>
            </w:r>
          </w:p>
        </w:tc>
        <w:tc>
          <w:tcPr>
            <w:tcW w:w="16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环境安全评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价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分值</w:t>
            </w:r>
          </w:p>
        </w:tc>
        <w:tc>
          <w:tcPr>
            <w:tcW w:w="154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总体评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价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分值</w:t>
            </w:r>
          </w:p>
        </w:tc>
        <w:tc>
          <w:tcPr>
            <w:tcW w:w="154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评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价结论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3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旧工业厂区再生利用项目</w:t>
            </w:r>
          </w:p>
        </w:tc>
        <w:tc>
          <w:tcPr>
            <w:tcW w:w="16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≥8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4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≥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80</w:t>
            </w:r>
          </w:p>
        </w:tc>
        <w:tc>
          <w:tcPr>
            <w:tcW w:w="154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适宜开发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3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≥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60</w:t>
            </w:r>
          </w:p>
        </w:tc>
        <w:tc>
          <w:tcPr>
            <w:tcW w:w="154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≥8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4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治理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后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可开发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3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≥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60</w:t>
            </w:r>
          </w:p>
        </w:tc>
        <w:tc>
          <w:tcPr>
            <w:tcW w:w="154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＜80</w:t>
            </w:r>
          </w:p>
        </w:tc>
        <w:tc>
          <w:tcPr>
            <w:tcW w:w="154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不适宜开发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3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6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＜</w:t>
            </w:r>
            <w:r>
              <w:rPr>
                <w:rFonts w:hint="eastAsia" w:ascii="Times New Roman" w:hAnsi="Times New Roman" w:cs="Times New Roman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4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1540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</w:rPr>
              <w:t>不适宜开发</w:t>
            </w:r>
          </w:p>
        </w:tc>
      </w:tr>
    </w:tbl>
    <w:p>
      <w:pPr>
        <w:spacing w:line="330" w:lineRule="exact"/>
        <w:rPr>
          <w:rFonts w:ascii="Times New Roman" w:hAnsi="Times New Roman" w:cs="Times New Roman"/>
          <w:szCs w:val="24"/>
        </w:rPr>
      </w:pPr>
    </w:p>
    <w:p>
      <w:pPr>
        <w:widowControl/>
        <w:jc w:val="left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szCs w:val="21"/>
        </w:rPr>
        <w:br w:type="page"/>
      </w:r>
    </w:p>
    <w:p>
      <w:pPr>
        <w:keepNext/>
        <w:keepLines/>
        <w:spacing w:before="100" w:after="100" w:line="440" w:lineRule="exact"/>
        <w:jc w:val="center"/>
        <w:outlineLvl w:val="0"/>
        <w:rPr>
          <w:rFonts w:ascii="Times New Roman" w:hAnsi="Times New Roman" w:eastAsia="宋体" w:cs="Times New Roman"/>
          <w:b/>
          <w:kern w:val="44"/>
          <w:sz w:val="30"/>
          <w:szCs w:val="24"/>
        </w:rPr>
      </w:pPr>
      <w:bookmarkStart w:id="177" w:name="_Toc3550196"/>
      <w:bookmarkStart w:id="178" w:name="_Toc3550058"/>
      <w:bookmarkStart w:id="179" w:name="_Toc3546970"/>
      <w:bookmarkStart w:id="180" w:name="_Toc525330805"/>
      <w:bookmarkStart w:id="181" w:name="_Toc62762826"/>
      <w:r>
        <w:rPr>
          <w:rFonts w:hint="eastAsia" w:ascii="Times New Roman" w:hAnsi="Times New Roman" w:eastAsia="宋体" w:cs="Times New Roman"/>
          <w:b/>
          <w:kern w:val="44"/>
          <w:sz w:val="30"/>
          <w:szCs w:val="24"/>
        </w:rPr>
        <w:t>本标准用词说明</w:t>
      </w:r>
      <w:bookmarkEnd w:id="177"/>
      <w:bookmarkEnd w:id="178"/>
      <w:bookmarkEnd w:id="179"/>
      <w:bookmarkEnd w:id="180"/>
      <w:bookmarkEnd w:id="181"/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宋体" w:cs="Times New Roman"/>
          <w:b/>
          <w:bCs/>
          <w:szCs w:val="24"/>
        </w:rPr>
        <w:t xml:space="preserve">1  </w:t>
      </w:r>
      <w:r>
        <w:rPr>
          <w:rFonts w:hint="eastAsia" w:ascii="Times New Roman" w:hAnsi="Times New Roman" w:eastAsia="宋体" w:cs="Times New Roman"/>
          <w:szCs w:val="24"/>
        </w:rPr>
        <w:t>为便于在执行本标准条文时区别对待，对要求严格程度不同的用词说明如下：</w:t>
      </w:r>
    </w:p>
    <w:p>
      <w:pPr>
        <w:spacing w:line="330" w:lineRule="exact"/>
        <w:rPr>
          <w:rFonts w:ascii="Times New Roman" w:hAnsi="Times New Roman" w:eastAsia="宋体" w:cs="Times New Roman"/>
          <w:bCs/>
          <w:szCs w:val="24"/>
        </w:rPr>
      </w:pPr>
      <w:r>
        <w:rPr>
          <w:rFonts w:ascii="Times New Roman" w:hAnsi="Times New Roman" w:eastAsia="宋体" w:cs="Times New Roman"/>
          <w:bCs/>
          <w:szCs w:val="24"/>
        </w:rPr>
        <w:t>1</w:t>
      </w:r>
      <w:r>
        <w:rPr>
          <w:rFonts w:hint="eastAsia" w:ascii="Times New Roman" w:hAnsi="Times New Roman" w:eastAsia="宋体" w:cs="Times New Roman"/>
          <w:bCs/>
          <w:szCs w:val="24"/>
        </w:rPr>
        <w:t>）表示很严格，非这样做不可的：正面词采用</w:t>
      </w:r>
      <w:r>
        <w:rPr>
          <w:rFonts w:ascii="Times New Roman" w:hAnsi="Times New Roman" w:eastAsia="宋体" w:cs="Times New Roman"/>
          <w:bCs/>
          <w:szCs w:val="24"/>
        </w:rPr>
        <w:t>“</w:t>
      </w:r>
      <w:r>
        <w:rPr>
          <w:rFonts w:hint="eastAsia" w:ascii="Times New Roman" w:hAnsi="Times New Roman" w:eastAsia="宋体" w:cs="Times New Roman"/>
          <w:bCs/>
          <w:szCs w:val="24"/>
        </w:rPr>
        <w:t>必须</w:t>
      </w:r>
      <w:r>
        <w:rPr>
          <w:rFonts w:ascii="Times New Roman" w:hAnsi="Times New Roman" w:eastAsia="宋体" w:cs="Times New Roman"/>
          <w:bCs/>
          <w:szCs w:val="24"/>
        </w:rPr>
        <w:t>”</w:t>
      </w:r>
      <w:r>
        <w:rPr>
          <w:rFonts w:hint="eastAsia" w:ascii="Times New Roman" w:hAnsi="Times New Roman" w:eastAsia="宋体" w:cs="Times New Roman"/>
          <w:bCs/>
          <w:szCs w:val="24"/>
        </w:rPr>
        <w:t>，反面词采用</w:t>
      </w:r>
      <w:r>
        <w:rPr>
          <w:rFonts w:ascii="Times New Roman" w:hAnsi="Times New Roman" w:eastAsia="宋体" w:cs="Times New Roman"/>
          <w:bCs/>
          <w:szCs w:val="24"/>
        </w:rPr>
        <w:t>“</w:t>
      </w:r>
      <w:r>
        <w:rPr>
          <w:rFonts w:hint="eastAsia" w:ascii="Times New Roman" w:hAnsi="Times New Roman" w:eastAsia="宋体" w:cs="Times New Roman"/>
          <w:bCs/>
          <w:szCs w:val="24"/>
        </w:rPr>
        <w:t>严禁</w:t>
      </w:r>
      <w:r>
        <w:rPr>
          <w:rFonts w:ascii="Times New Roman" w:hAnsi="Times New Roman" w:eastAsia="宋体" w:cs="Times New Roman"/>
          <w:bCs/>
          <w:szCs w:val="24"/>
        </w:rPr>
        <w:t>”</w:t>
      </w:r>
      <w:r>
        <w:rPr>
          <w:rFonts w:hint="eastAsia" w:ascii="Times New Roman" w:hAnsi="Times New Roman" w:eastAsia="宋体" w:cs="Times New Roman"/>
          <w:bCs/>
          <w:szCs w:val="24"/>
        </w:rPr>
        <w:t>；</w:t>
      </w:r>
    </w:p>
    <w:p>
      <w:pPr>
        <w:spacing w:line="330" w:lineRule="exact"/>
        <w:rPr>
          <w:rFonts w:ascii="Times New Roman" w:hAnsi="Times New Roman" w:eastAsia="宋体" w:cs="Times New Roman"/>
          <w:bCs/>
          <w:szCs w:val="24"/>
        </w:rPr>
      </w:pPr>
      <w:r>
        <w:rPr>
          <w:rFonts w:ascii="Times New Roman" w:hAnsi="Times New Roman" w:eastAsia="宋体" w:cs="Times New Roman"/>
          <w:bCs/>
          <w:szCs w:val="24"/>
        </w:rPr>
        <w:t>2</w:t>
      </w:r>
      <w:r>
        <w:rPr>
          <w:rFonts w:hint="eastAsia" w:ascii="Times New Roman" w:hAnsi="Times New Roman" w:eastAsia="宋体" w:cs="Times New Roman"/>
          <w:bCs/>
          <w:szCs w:val="24"/>
        </w:rPr>
        <w:t>）表示严格，在正常情况下均应这样做的：正面词采用</w:t>
      </w:r>
      <w:r>
        <w:rPr>
          <w:rFonts w:ascii="Times New Roman" w:hAnsi="Times New Roman" w:eastAsia="宋体" w:cs="Times New Roman"/>
          <w:bCs/>
          <w:szCs w:val="24"/>
        </w:rPr>
        <w:t>“</w:t>
      </w:r>
      <w:r>
        <w:rPr>
          <w:rFonts w:hint="eastAsia" w:ascii="Times New Roman" w:hAnsi="Times New Roman" w:eastAsia="宋体" w:cs="Times New Roman"/>
          <w:bCs/>
          <w:szCs w:val="24"/>
        </w:rPr>
        <w:t>应</w:t>
      </w:r>
      <w:r>
        <w:rPr>
          <w:rFonts w:ascii="Times New Roman" w:hAnsi="Times New Roman" w:eastAsia="宋体" w:cs="Times New Roman"/>
          <w:bCs/>
          <w:szCs w:val="24"/>
        </w:rPr>
        <w:t>”</w:t>
      </w:r>
      <w:r>
        <w:rPr>
          <w:rFonts w:hint="eastAsia" w:ascii="Times New Roman" w:hAnsi="Times New Roman" w:eastAsia="宋体" w:cs="Times New Roman"/>
          <w:bCs/>
          <w:szCs w:val="24"/>
        </w:rPr>
        <w:t>，反面词采用</w:t>
      </w:r>
      <w:r>
        <w:rPr>
          <w:rFonts w:ascii="Times New Roman" w:hAnsi="Times New Roman" w:eastAsia="宋体" w:cs="Times New Roman"/>
          <w:bCs/>
          <w:szCs w:val="24"/>
        </w:rPr>
        <w:t>“</w:t>
      </w:r>
      <w:r>
        <w:rPr>
          <w:rFonts w:hint="eastAsia" w:ascii="Times New Roman" w:hAnsi="Times New Roman" w:eastAsia="宋体" w:cs="Times New Roman"/>
          <w:bCs/>
          <w:szCs w:val="24"/>
        </w:rPr>
        <w:t>不应</w:t>
      </w:r>
      <w:r>
        <w:rPr>
          <w:rFonts w:ascii="Times New Roman" w:hAnsi="Times New Roman" w:eastAsia="宋体" w:cs="Times New Roman"/>
          <w:bCs/>
          <w:szCs w:val="24"/>
        </w:rPr>
        <w:t>”</w:t>
      </w:r>
      <w:r>
        <w:rPr>
          <w:rFonts w:hint="eastAsia" w:ascii="Times New Roman" w:hAnsi="Times New Roman" w:eastAsia="宋体" w:cs="Times New Roman"/>
          <w:bCs/>
          <w:szCs w:val="24"/>
        </w:rPr>
        <w:t>或</w:t>
      </w:r>
      <w:r>
        <w:rPr>
          <w:rFonts w:ascii="Times New Roman" w:hAnsi="Times New Roman" w:eastAsia="宋体" w:cs="Times New Roman"/>
          <w:bCs/>
          <w:szCs w:val="24"/>
        </w:rPr>
        <w:t>“</w:t>
      </w:r>
      <w:r>
        <w:rPr>
          <w:rFonts w:hint="eastAsia" w:ascii="Times New Roman" w:hAnsi="Times New Roman" w:eastAsia="宋体" w:cs="Times New Roman"/>
          <w:bCs/>
          <w:szCs w:val="24"/>
        </w:rPr>
        <w:t>不得</w:t>
      </w:r>
      <w:r>
        <w:rPr>
          <w:rFonts w:ascii="Times New Roman" w:hAnsi="Times New Roman" w:eastAsia="宋体" w:cs="Times New Roman"/>
          <w:bCs/>
          <w:szCs w:val="24"/>
        </w:rPr>
        <w:t>”</w:t>
      </w:r>
      <w:r>
        <w:rPr>
          <w:rFonts w:hint="eastAsia" w:ascii="Times New Roman" w:hAnsi="Times New Roman" w:eastAsia="宋体" w:cs="Times New Roman"/>
          <w:bCs/>
          <w:szCs w:val="24"/>
        </w:rPr>
        <w:t>；</w:t>
      </w:r>
    </w:p>
    <w:p>
      <w:pPr>
        <w:spacing w:line="330" w:lineRule="exact"/>
        <w:rPr>
          <w:rFonts w:ascii="Times New Roman" w:hAnsi="Times New Roman" w:eastAsia="宋体" w:cs="Times New Roman"/>
          <w:bCs/>
          <w:szCs w:val="24"/>
        </w:rPr>
      </w:pPr>
      <w:r>
        <w:rPr>
          <w:rFonts w:ascii="Times New Roman" w:hAnsi="Times New Roman" w:eastAsia="宋体" w:cs="Times New Roman"/>
          <w:bCs/>
          <w:szCs w:val="24"/>
        </w:rPr>
        <w:t>3</w:t>
      </w:r>
      <w:r>
        <w:rPr>
          <w:rFonts w:hint="eastAsia" w:ascii="Times New Roman" w:hAnsi="Times New Roman" w:eastAsia="宋体" w:cs="Times New Roman"/>
          <w:bCs/>
          <w:szCs w:val="24"/>
        </w:rPr>
        <w:t>）表示允许稍有选择，在条件许可时首先应这样做的：正面词采用</w:t>
      </w:r>
      <w:r>
        <w:rPr>
          <w:rFonts w:ascii="Times New Roman" w:hAnsi="Times New Roman" w:eastAsia="宋体" w:cs="Times New Roman"/>
          <w:bCs/>
          <w:szCs w:val="24"/>
        </w:rPr>
        <w:t>“</w:t>
      </w:r>
      <w:r>
        <w:rPr>
          <w:rFonts w:hint="eastAsia" w:ascii="Times New Roman" w:hAnsi="Times New Roman" w:eastAsia="宋体" w:cs="Times New Roman"/>
          <w:bCs/>
          <w:szCs w:val="24"/>
        </w:rPr>
        <w:t>宜</w:t>
      </w:r>
      <w:r>
        <w:rPr>
          <w:rFonts w:ascii="Times New Roman" w:hAnsi="Times New Roman" w:eastAsia="宋体" w:cs="Times New Roman"/>
          <w:bCs/>
          <w:szCs w:val="24"/>
        </w:rPr>
        <w:t>”</w:t>
      </w:r>
      <w:r>
        <w:rPr>
          <w:rFonts w:hint="eastAsia" w:ascii="Times New Roman" w:hAnsi="Times New Roman" w:eastAsia="宋体" w:cs="Times New Roman"/>
          <w:bCs/>
          <w:szCs w:val="24"/>
        </w:rPr>
        <w:t>，反面词采用</w:t>
      </w:r>
      <w:r>
        <w:rPr>
          <w:rFonts w:ascii="Times New Roman" w:hAnsi="Times New Roman" w:eastAsia="宋体" w:cs="Times New Roman"/>
          <w:bCs/>
          <w:szCs w:val="24"/>
        </w:rPr>
        <w:t>“</w:t>
      </w:r>
      <w:r>
        <w:rPr>
          <w:rFonts w:hint="eastAsia" w:ascii="Times New Roman" w:hAnsi="Times New Roman" w:eastAsia="宋体" w:cs="Times New Roman"/>
          <w:bCs/>
          <w:szCs w:val="24"/>
        </w:rPr>
        <w:t>不宜</w:t>
      </w:r>
      <w:r>
        <w:rPr>
          <w:rFonts w:ascii="Times New Roman" w:hAnsi="Times New Roman" w:eastAsia="宋体" w:cs="Times New Roman"/>
          <w:bCs/>
          <w:szCs w:val="24"/>
        </w:rPr>
        <w:t>”</w:t>
      </w:r>
      <w:r>
        <w:rPr>
          <w:rFonts w:hint="eastAsia" w:ascii="Times New Roman" w:hAnsi="Times New Roman" w:eastAsia="宋体" w:cs="Times New Roman"/>
          <w:bCs/>
          <w:szCs w:val="24"/>
        </w:rPr>
        <w:t>；</w:t>
      </w:r>
    </w:p>
    <w:p>
      <w:pPr>
        <w:spacing w:line="330" w:lineRule="exact"/>
        <w:rPr>
          <w:rFonts w:ascii="Times New Roman" w:hAnsi="Times New Roman" w:eastAsia="宋体" w:cs="Times New Roman"/>
          <w:szCs w:val="24"/>
        </w:rPr>
      </w:pPr>
      <w:r>
        <w:rPr>
          <w:rFonts w:ascii="Times New Roman" w:hAnsi="Times New Roman" w:eastAsia="宋体" w:cs="Times New Roman"/>
          <w:bCs/>
          <w:szCs w:val="24"/>
        </w:rPr>
        <w:t>4</w:t>
      </w:r>
      <w:r>
        <w:rPr>
          <w:rFonts w:hint="eastAsia" w:ascii="Times New Roman" w:hAnsi="Times New Roman" w:eastAsia="宋体" w:cs="Times New Roman"/>
          <w:bCs/>
          <w:szCs w:val="24"/>
        </w:rPr>
        <w:t>）表</w:t>
      </w:r>
      <w:r>
        <w:rPr>
          <w:rFonts w:hint="eastAsia" w:ascii="Times New Roman" w:hAnsi="Times New Roman" w:eastAsia="宋体" w:cs="Times New Roman"/>
          <w:szCs w:val="24"/>
        </w:rPr>
        <w:t>示有选择，在一定条件下可以这样做的，采用</w:t>
      </w:r>
      <w:r>
        <w:rPr>
          <w:rFonts w:ascii="Times New Roman" w:hAnsi="Times New Roman" w:eastAsia="宋体" w:cs="Times New Roman"/>
          <w:szCs w:val="24"/>
        </w:rPr>
        <w:t>“</w:t>
      </w:r>
      <w:r>
        <w:rPr>
          <w:rFonts w:hint="eastAsia" w:ascii="Times New Roman" w:hAnsi="Times New Roman" w:eastAsia="宋体" w:cs="Times New Roman"/>
          <w:szCs w:val="24"/>
        </w:rPr>
        <w:t>可</w:t>
      </w:r>
      <w:r>
        <w:rPr>
          <w:rFonts w:ascii="Times New Roman" w:hAnsi="Times New Roman" w:eastAsia="宋体" w:cs="Times New Roman"/>
          <w:szCs w:val="24"/>
        </w:rPr>
        <w:t>”</w:t>
      </w:r>
      <w:r>
        <w:rPr>
          <w:rFonts w:hint="eastAsia" w:ascii="Times New Roman" w:hAnsi="Times New Roman" w:eastAsia="宋体" w:cs="Times New Roman"/>
          <w:szCs w:val="24"/>
        </w:rPr>
        <w:t>。</w:t>
      </w:r>
    </w:p>
    <w:p>
      <w:pPr>
        <w:pStyle w:val="71"/>
        <w:jc w:val="both"/>
        <w:rPr>
          <w:sz w:val="21"/>
        </w:rPr>
      </w:pPr>
      <w:r>
        <w:rPr>
          <w:b/>
          <w:bCs/>
        </w:rPr>
        <w:t xml:space="preserve">2 </w:t>
      </w:r>
      <w:r>
        <w:rPr>
          <w:sz w:val="21"/>
        </w:rPr>
        <w:t xml:space="preserve"> </w:t>
      </w:r>
      <w:r>
        <w:rPr>
          <w:rFonts w:hint="eastAsia"/>
          <w:sz w:val="21"/>
        </w:rPr>
        <w:t>条文中指明应按其他有关标准执行的写法为</w:t>
      </w:r>
      <w:r>
        <w:rPr>
          <w:sz w:val="21"/>
        </w:rPr>
        <w:t>:“</w:t>
      </w:r>
      <w:r>
        <w:rPr>
          <w:rFonts w:hint="eastAsia"/>
          <w:sz w:val="21"/>
        </w:rPr>
        <w:t>应符合</w:t>
      </w:r>
      <w:r>
        <w:rPr>
          <w:sz w:val="21"/>
        </w:rPr>
        <w:t>……</w:t>
      </w:r>
      <w:r>
        <w:rPr>
          <w:rFonts w:hint="eastAsia"/>
          <w:sz w:val="21"/>
        </w:rPr>
        <w:t>的规定</w:t>
      </w:r>
      <w:r>
        <w:rPr>
          <w:sz w:val="21"/>
        </w:rPr>
        <w:t>”</w:t>
      </w:r>
      <w:r>
        <w:rPr>
          <w:rFonts w:hint="eastAsia"/>
          <w:sz w:val="21"/>
        </w:rPr>
        <w:t>或</w:t>
      </w:r>
      <w:r>
        <w:rPr>
          <w:sz w:val="21"/>
        </w:rPr>
        <w:t>“</w:t>
      </w:r>
      <w:r>
        <w:rPr>
          <w:rFonts w:hint="eastAsia"/>
          <w:sz w:val="21"/>
        </w:rPr>
        <w:t>应按</w:t>
      </w:r>
      <w:r>
        <w:rPr>
          <w:sz w:val="21"/>
        </w:rPr>
        <w:t>……</w:t>
      </w:r>
      <w:r>
        <w:rPr>
          <w:rFonts w:hint="eastAsia"/>
          <w:sz w:val="21"/>
        </w:rPr>
        <w:t>执行</w:t>
      </w:r>
      <w:r>
        <w:rPr>
          <w:sz w:val="21"/>
        </w:rPr>
        <w:t>”</w:t>
      </w:r>
      <w:r>
        <w:rPr>
          <w:rFonts w:hint="eastAsia"/>
          <w:sz w:val="21"/>
        </w:rPr>
        <w:t>。</w:t>
      </w:r>
    </w:p>
    <w:p>
      <w:pPr>
        <w:pStyle w:val="71"/>
        <w:rPr>
          <w:rFonts w:eastAsiaTheme="minorEastAsia"/>
        </w:rPr>
      </w:pPr>
      <w:r>
        <w:rPr>
          <w:rFonts w:eastAsiaTheme="minorEastAsia"/>
        </w:rPr>
        <w:br w:type="page"/>
      </w:r>
    </w:p>
    <w:p>
      <w:pPr>
        <w:pStyle w:val="2"/>
        <w:rPr>
          <w:rFonts w:eastAsiaTheme="minorEastAsia"/>
          <w:highlight w:val="yellow"/>
        </w:rPr>
      </w:pPr>
      <w:bookmarkStart w:id="182" w:name="_Toc62762827"/>
      <w:bookmarkStart w:id="183" w:name="_Toc30546"/>
      <w:bookmarkStart w:id="184" w:name="_Toc3550197"/>
      <w:bookmarkStart w:id="185" w:name="_Toc3550059"/>
      <w:bookmarkStart w:id="186" w:name="_Toc3546971"/>
      <w:bookmarkStart w:id="187" w:name="_Toc525330806"/>
      <w:r>
        <w:rPr>
          <w:rFonts w:eastAsiaTheme="minorEastAsia"/>
        </w:rPr>
        <w:t>引用标准名录</w:t>
      </w:r>
      <w:bookmarkEnd w:id="182"/>
      <w:bookmarkEnd w:id="183"/>
      <w:bookmarkEnd w:id="184"/>
      <w:bookmarkEnd w:id="185"/>
      <w:bookmarkEnd w:id="186"/>
      <w:bookmarkEnd w:id="187"/>
    </w:p>
    <w:p>
      <w:pPr>
        <w:rPr>
          <w:rFonts w:ascii="Times New Roman" w:hAnsi="Times New Roman" w:cs="Times New Roman"/>
          <w:szCs w:val="24"/>
        </w:rPr>
      </w:pPr>
      <w:bookmarkStart w:id="188" w:name="OLE_LINK26"/>
      <w:bookmarkStart w:id="189" w:name="OLE_LINK25"/>
      <w:bookmarkStart w:id="190" w:name="OLE_LINK19"/>
      <w:bookmarkStart w:id="191" w:name="OLE_LINK16"/>
      <w:bookmarkStart w:id="192" w:name="OLE_LINK18"/>
      <w:r>
        <w:rPr>
          <w:rFonts w:hint="eastAsia" w:ascii="Times New Roman" w:hAnsi="Times New Roman" w:cs="Times New Roman"/>
          <w:szCs w:val="24"/>
        </w:rPr>
        <w:t>《环境空气质量标准》</w:t>
      </w:r>
      <w:r>
        <w:rPr>
          <w:rFonts w:ascii="Times New Roman" w:hAnsi="Times New Roman" w:cs="Times New Roman"/>
          <w:szCs w:val="24"/>
        </w:rPr>
        <w:t>GB3095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hint="eastAsia" w:ascii="Times New Roman" w:hAnsi="Times New Roman" w:cs="Times New Roman"/>
          <w:szCs w:val="24"/>
        </w:rPr>
        <w:t>《地表水环境质量标准》</w:t>
      </w:r>
      <w:r>
        <w:rPr>
          <w:rFonts w:ascii="Times New Roman" w:hAnsi="Times New Roman" w:cs="Times New Roman"/>
          <w:szCs w:val="24"/>
        </w:rPr>
        <w:t>GB3838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hint="eastAsia" w:ascii="Times New Roman" w:hAnsi="Times New Roman" w:cs="Times New Roman"/>
          <w:szCs w:val="24"/>
        </w:rPr>
        <w:t>《建设用地土壤污染风险管控标准》</w:t>
      </w:r>
      <w:r>
        <w:rPr>
          <w:rFonts w:ascii="Times New Roman" w:hAnsi="Times New Roman" w:cs="Times New Roman"/>
          <w:szCs w:val="24"/>
        </w:rPr>
        <w:t>GB36600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《公共建筑节能设计标准》GB 50189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《建筑采光设计标准》GB/T 50033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hint="eastAsia" w:ascii="Times New Roman" w:hAnsi="Times New Roman" w:cs="Times New Roman"/>
          <w:szCs w:val="24"/>
        </w:rPr>
        <w:t>《污水再生利用工程设计规范》</w:t>
      </w:r>
      <w:r>
        <w:rPr>
          <w:rFonts w:ascii="Times New Roman" w:hAnsi="Times New Roman" w:cs="Times New Roman"/>
          <w:szCs w:val="24"/>
        </w:rPr>
        <w:t>GB 50335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《绿色建筑评价标准》GB/T 50378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hint="eastAsia" w:ascii="Times New Roman" w:hAnsi="Times New Roman" w:cs="Times New Roman"/>
          <w:szCs w:val="24"/>
        </w:rPr>
        <w:t>《城市轨道交通线网规划标准》GB/T 50546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《绿色工业建筑评价标准》GB/T 50878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《既有建筑绿色改造评价标准》</w:t>
      </w:r>
      <w:r>
        <w:fldChar w:fldCharType="begin"/>
      </w:r>
      <w:r>
        <w:instrText xml:space="preserve"> HYPERLINK "http://www.jianbiaoku.com/webarbs/book/83048/2279768.shtml" \t "_self" </w:instrText>
      </w:r>
      <w:r>
        <w:fldChar w:fldCharType="separate"/>
      </w:r>
      <w:r>
        <w:rPr>
          <w:rFonts w:ascii="Times New Roman" w:hAnsi="Times New Roman" w:cs="Times New Roman"/>
          <w:szCs w:val="24"/>
        </w:rPr>
        <w:t>GB/T 51141</w:t>
      </w:r>
      <w:r>
        <w:rPr>
          <w:rFonts w:ascii="Times New Roman" w:hAnsi="Times New Roman" w:cs="Times New Roman"/>
          <w:szCs w:val="24"/>
        </w:rPr>
        <w:fldChar w:fldCharType="end"/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《绿色生态城区评价标准》GB/T 51255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《既有住宅建筑功能改造技术规范》</w:t>
      </w:r>
      <w:r>
        <w:fldChar w:fldCharType="begin"/>
      </w:r>
      <w:r>
        <w:instrText xml:space="preserve"> HYPERLINK "http://www.jianbiaoku.com/webarbs/book/87018/2599072.shtml" \t "_self" </w:instrText>
      </w:r>
      <w:r>
        <w:fldChar w:fldCharType="separate"/>
      </w:r>
      <w:r>
        <w:rPr>
          <w:rFonts w:ascii="Times New Roman" w:hAnsi="Times New Roman" w:cs="Times New Roman"/>
          <w:szCs w:val="24"/>
        </w:rPr>
        <w:t>JGJ/T 390</w:t>
      </w:r>
      <w:r>
        <w:rPr>
          <w:rFonts w:ascii="Times New Roman" w:hAnsi="Times New Roman" w:cs="Times New Roman"/>
          <w:szCs w:val="24"/>
        </w:rPr>
        <w:fldChar w:fldCharType="end"/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《旧工业建筑再生利用规划设计标准》T/CMCA 2001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《旧工业建筑再生利用价值评定标准》T/CMCA 3004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《旧工业建筑再生利用技术标准》T/CMCA 4001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《旧工业建筑绿色再生技术标准》T/CMCA 4006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hint="eastAsia" w:ascii="Times New Roman" w:hAnsi="Times New Roman" w:cs="Times New Roman"/>
          <w:szCs w:val="24"/>
        </w:rPr>
        <w:t>《绿色住区标准》T/CECS 377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《既有建筑绿色改造技术规程》</w:t>
      </w:r>
      <w:r>
        <w:fldChar w:fldCharType="begin"/>
      </w:r>
      <w:r>
        <w:instrText xml:space="preserve"> HYPERLINK "http://www.jianbiaoku.com/webarbs/book/95432/3148222.shtml" \t "_self" </w:instrText>
      </w:r>
      <w:r>
        <w:fldChar w:fldCharType="separate"/>
      </w:r>
      <w:r>
        <w:rPr>
          <w:rFonts w:ascii="Times New Roman" w:hAnsi="Times New Roman" w:cs="Times New Roman"/>
          <w:szCs w:val="24"/>
        </w:rPr>
        <w:t>T/CECS 465</w:t>
      </w:r>
      <w:r>
        <w:rPr>
          <w:rFonts w:ascii="Times New Roman" w:hAnsi="Times New Roman" w:cs="Times New Roman"/>
          <w:szCs w:val="24"/>
        </w:rPr>
        <w:fldChar w:fldCharType="end"/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《北京市公共建筑节能设计标准》DB 11/687</w:t>
      </w:r>
    </w:p>
    <w:p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《武汉市绿色建筑设计基本规定》</w:t>
      </w:r>
      <w:r>
        <w:fldChar w:fldCharType="begin"/>
      </w:r>
      <w:r>
        <w:instrText xml:space="preserve"> HYPERLINK "http://www.jianbiaoku.com/webarbs/book/55196/997281.shtml" \t "_self" </w:instrText>
      </w:r>
      <w:r>
        <w:fldChar w:fldCharType="separate"/>
      </w:r>
      <w:r>
        <w:rPr>
          <w:rFonts w:ascii="Times New Roman" w:hAnsi="Times New Roman" w:cs="Times New Roman"/>
          <w:szCs w:val="24"/>
        </w:rPr>
        <w:t>WJG 122</w:t>
      </w:r>
      <w:r>
        <w:rPr>
          <w:rFonts w:ascii="Times New Roman" w:hAnsi="Times New Roman" w:cs="Times New Roman"/>
          <w:szCs w:val="24"/>
        </w:rPr>
        <w:fldChar w:fldCharType="end"/>
      </w:r>
      <w:bookmarkEnd w:id="188"/>
      <w:bookmarkEnd w:id="189"/>
      <w:bookmarkEnd w:id="190"/>
      <w:bookmarkEnd w:id="191"/>
      <w:bookmarkEnd w:id="192"/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p>
      <w:pPr>
        <w:tabs>
          <w:tab w:val="left" w:pos="4916"/>
        </w:tabs>
        <w:rPr>
          <w:rFonts w:ascii="Times New Roman" w:hAnsi="Times New Roman" w:cs="Times New Roman"/>
        </w:rPr>
      </w:pPr>
      <w:bookmarkStart w:id="193" w:name="_Toc520289917"/>
      <w:bookmarkEnd w:id="193"/>
      <w:bookmarkStart w:id="194" w:name="_Toc469697368"/>
      <w:bookmarkEnd w:id="194"/>
      <w:bookmarkStart w:id="195" w:name="_Toc472164881"/>
      <w:bookmarkEnd w:id="195"/>
      <w:bookmarkStart w:id="196" w:name="_Toc472033854"/>
      <w:bookmarkEnd w:id="196"/>
      <w:bookmarkStart w:id="197" w:name="_Toc482375413"/>
      <w:bookmarkEnd w:id="197"/>
      <w:bookmarkStart w:id="198" w:name="_Toc483476453"/>
      <w:bookmarkEnd w:id="198"/>
      <w:bookmarkStart w:id="199" w:name="_Toc484364441"/>
      <w:bookmarkEnd w:id="199"/>
      <w:bookmarkStart w:id="200" w:name="_Toc482405637"/>
      <w:bookmarkEnd w:id="200"/>
      <w:bookmarkStart w:id="201" w:name="_Toc472164750"/>
      <w:bookmarkEnd w:id="201"/>
      <w:bookmarkStart w:id="202" w:name="_Toc484880489"/>
      <w:bookmarkEnd w:id="202"/>
      <w:bookmarkStart w:id="203" w:name="_Toc472164823"/>
      <w:bookmarkEnd w:id="203"/>
      <w:bookmarkStart w:id="204" w:name="_Toc483476870"/>
      <w:bookmarkEnd w:id="204"/>
      <w:bookmarkStart w:id="205" w:name="_Toc520301114"/>
      <w:bookmarkEnd w:id="205"/>
      <w:bookmarkStart w:id="206" w:name="_Toc480374961"/>
      <w:bookmarkEnd w:id="206"/>
      <w:bookmarkStart w:id="207" w:name="_Toc484883332"/>
      <w:bookmarkEnd w:id="207"/>
      <w:bookmarkStart w:id="208" w:name="_Toc480374914"/>
      <w:bookmarkEnd w:id="208"/>
      <w:bookmarkStart w:id="209" w:name="_Toc520301023"/>
      <w:bookmarkEnd w:id="209"/>
      <w:bookmarkStart w:id="210" w:name="_Toc480375042"/>
      <w:bookmarkEnd w:id="210"/>
      <w:bookmarkStart w:id="211" w:name="_Toc472071268"/>
      <w:bookmarkEnd w:id="211"/>
      <w:bookmarkStart w:id="212" w:name="_Toc482405544"/>
      <w:bookmarkEnd w:id="212"/>
      <w:bookmarkStart w:id="213" w:name="_Toc472164655"/>
      <w:bookmarkEnd w:id="213"/>
      <w:bookmarkStart w:id="214" w:name="_Toc484364316"/>
      <w:bookmarkEnd w:id="214"/>
      <w:bookmarkStart w:id="215" w:name="_Toc472033889"/>
      <w:bookmarkEnd w:id="215"/>
      <w:bookmarkStart w:id="216" w:name="_Toc30606"/>
      <w:bookmarkEnd w:id="216"/>
      <w:bookmarkStart w:id="217" w:name="_Toc3546972"/>
      <w:bookmarkEnd w:id="217"/>
      <w:bookmarkStart w:id="218" w:name="_Toc954"/>
      <w:bookmarkEnd w:id="218"/>
      <w:bookmarkStart w:id="219" w:name="_Toc4465"/>
      <w:bookmarkEnd w:id="219"/>
      <w:bookmarkStart w:id="220" w:name="_Toc3550060"/>
      <w:bookmarkEnd w:id="220"/>
      <w:bookmarkStart w:id="221" w:name="_Toc3550199"/>
      <w:bookmarkEnd w:id="221"/>
    </w:p>
    <w:sectPr>
      <w:footerReference r:id="rId11" w:type="default"/>
      <w:pgSz w:w="8335" w:h="11850"/>
      <w:pgMar w:top="1083" w:right="1083" w:bottom="1083" w:left="1083" w:header="851" w:footer="992" w:gutter="0"/>
      <w:pgNumType w:chapSep="period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UniversalMath1 BT">
    <w:altName w:val="Symbol"/>
    <w:panose1 w:val="00000000000000000000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jc w:val="right"/>
    </w:pPr>
  </w:p>
  <w:p>
    <w:pPr>
      <w:pStyle w:val="1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right="1080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5"/>
                            <w:rPr>
                              <w:rFonts w:eastAsiaTheme="minorEastAsi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rPr>
                        <w:rFonts w:eastAsiaTheme="minorEastAsia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5"/>
                            <w:rPr>
                              <w:rFonts w:eastAsiaTheme="minor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I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rPr>
                        <w:rFonts w:eastAsiaTheme="minor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I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15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tabs>
        <w:tab w:val="left" w:pos="2620"/>
        <w:tab w:val="right" w:pos="6169"/>
      </w:tabs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5"/>
                            <w:tabs>
                              <w:tab w:val="left" w:pos="2620"/>
                              <w:tab w:val="right" w:pos="6169"/>
                            </w:tabs>
                          </w:pPr>
                          <w:r>
                            <w:tab/>
                          </w:r>
                          <w:r>
                            <w:tab/>
                          </w:r>
                          <w:r>
                            <w:tab/>
                          </w:r>
                          <w:r>
                            <w:t>·</w:t>
                          </w:r>
                          <w:r>
                            <w:rPr>
                              <w:rFonts w:ascii="Times New Roman" w:hAnsi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lang w:val="zh-CN"/>
                            </w:rPr>
                            <w:t>III</w:t>
                          </w:r>
                          <w:r>
                            <w:rPr>
                              <w:rFonts w:ascii="Times New Roman" w:hAnsi="Times New Roman"/>
                              <w:lang w:val="zh-CN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</w:rPr>
                            <w:t>·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5"/>
                      <w:tabs>
                        <w:tab w:val="left" w:pos="2620"/>
                        <w:tab w:val="right" w:pos="6169"/>
                      </w:tabs>
                    </w:pPr>
                    <w:r>
                      <w:tab/>
                    </w:r>
                    <w:r>
                      <w:tab/>
                    </w:r>
                    <w:r>
                      <w:tab/>
                    </w:r>
                    <w:r>
                      <w:t>·</w:t>
                    </w:r>
                    <w:r>
                      <w:rPr>
                        <w:rFonts w:ascii="Times New Roman" w:hAnsi="Times New Roman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lang w:val="zh-CN"/>
                      </w:rPr>
                      <w:t>III</w:t>
                    </w:r>
                    <w:r>
                      <w:rPr>
                        <w:rFonts w:ascii="Times New Roman" w:hAnsi="Times New Roman"/>
                        <w:lang w:val="zh-CN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</w:rPr>
                      <w:t>·</w:t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/>
      </w:rPr>
      <w:id w:val="1137536810"/>
      <w:docPartObj>
        <w:docPartGallery w:val="AutoText"/>
      </w:docPartObj>
    </w:sdtPr>
    <w:sdtEndPr>
      <w:rPr>
        <w:rFonts w:ascii="Times New Roman" w:hAnsi="Times New Roman"/>
      </w:rPr>
    </w:sdtEndPr>
    <w:sdtContent>
      <w:p>
        <w:pPr>
          <w:pStyle w:val="15"/>
          <w:rPr>
            <w:rFonts w:ascii="Times New Roman" w:hAnsi="Times New Roman"/>
          </w:rPr>
        </w:pPr>
        <w:r>
          <w:rPr>
            <w:rFonts w:ascii="Times New Roman" w:hAnsi="Times New Roman"/>
          </w:rPr>
          <w:t>·</w:t>
        </w:r>
        <w:r>
          <w:rPr>
            <w:rFonts w:ascii="Times New Roman" w:hAnsi="Times New Roman"/>
          </w:rPr>
          <w:fldChar w:fldCharType="begin"/>
        </w:r>
        <w:r>
          <w:rPr>
            <w:rFonts w:ascii="Times New Roman" w:hAnsi="Times New Roman"/>
          </w:rPr>
          <w:instrText xml:space="preserve">PAGE   \* MERGEFORMAT</w:instrText>
        </w:r>
        <w:r>
          <w:rPr>
            <w:rFonts w:ascii="Times New Roman" w:hAnsi="Times New Roman"/>
          </w:rPr>
          <w:fldChar w:fldCharType="separate"/>
        </w:r>
        <w:r>
          <w:rPr>
            <w:rFonts w:ascii="Times New Roman" w:hAnsi="Times New Roman"/>
          </w:rPr>
          <w:t>IV</w:t>
        </w:r>
        <w:r>
          <w:rPr>
            <w:rFonts w:ascii="Times New Roman" w:hAnsi="Times New Roman"/>
          </w:rPr>
          <w:fldChar w:fldCharType="end"/>
        </w:r>
        <w:r>
          <w:rPr>
            <w:rFonts w:ascii="Times New Roman" w:hAnsi="Times New Roman"/>
          </w:rPr>
          <w:t>·</w:t>
        </w:r>
      </w:p>
    </w:sdtContent>
  </w:sdt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tabs>
        <w:tab w:val="left" w:pos="2620"/>
        <w:tab w:val="right" w:pos="6169"/>
      </w:tabs>
    </w:pPr>
    <w:r>
      <w:tab/>
    </w:r>
    <w:r>
      <w:tab/>
    </w:r>
    <w:r>
      <w:tab/>
    </w:r>
    <w:r>
      <w:t>·</w:t>
    </w: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PAGE   \* MERGEFORMAT</w:instrText>
    </w:r>
    <w:r>
      <w:rPr>
        <w:rFonts w:ascii="Times New Roman" w:hAnsi="Times New Roman"/>
      </w:rPr>
      <w:fldChar w:fldCharType="separate"/>
    </w:r>
    <w:r>
      <w:rPr>
        <w:rFonts w:ascii="Times New Roman" w:hAnsi="Times New Roman"/>
        <w:lang w:val="zh-CN"/>
      </w:rPr>
      <w:t>5</w:t>
    </w:r>
    <w:r>
      <w:rPr>
        <w:rFonts w:ascii="Times New Roman" w:hAnsi="Times New Roman"/>
        <w:lang w:val="zh-CN"/>
      </w:rPr>
      <w:fldChar w:fldCharType="end"/>
    </w:r>
    <w:r>
      <w:rPr>
        <w:rFonts w:ascii="Times New Roman" w:hAnsi="Times New Roman"/>
      </w:rPr>
      <w:t>·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73577274"/>
    </w:sdtPr>
    <w:sdtContent>
      <w:p>
        <w:pPr>
          <w:pStyle w:val="15"/>
        </w:pPr>
        <w:r>
          <w:rPr>
            <w:rFonts w:ascii="Times New Roman" w:hAnsi="Times New Roman"/>
          </w:rPr>
          <w:t>·</w:t>
        </w:r>
        <w:r>
          <w:rPr>
            <w:rFonts w:ascii="Times New Roman" w:hAnsi="Times New Roman"/>
          </w:rPr>
          <w:fldChar w:fldCharType="begin"/>
        </w:r>
        <w:r>
          <w:rPr>
            <w:rFonts w:ascii="Times New Roman" w:hAnsi="Times New Roman"/>
          </w:rPr>
          <w:instrText xml:space="preserve">PAGE   \* MERGEFORMAT</w:instrText>
        </w:r>
        <w:r>
          <w:rPr>
            <w:rFonts w:ascii="Times New Roman" w:hAnsi="Times New Roman"/>
          </w:rPr>
          <w:fldChar w:fldCharType="separate"/>
        </w:r>
        <w:r>
          <w:rPr>
            <w:rFonts w:ascii="Times New Roman" w:hAnsi="Times New Roman"/>
            <w:lang w:val="zh-CN"/>
          </w:rPr>
          <w:t>6</w:t>
        </w:r>
        <w:r>
          <w:rPr>
            <w:rFonts w:ascii="Times New Roman" w:hAnsi="Times New Roman"/>
          </w:rPr>
          <w:fldChar w:fldCharType="end"/>
        </w:r>
        <w:r>
          <w:t>·</w:t>
        </w:r>
      </w:p>
    </w:sdtContent>
  </w:sdt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tabs>
        <w:tab w:val="left" w:pos="2620"/>
        <w:tab w:val="right" w:pos="6169"/>
      </w:tabs>
    </w:pPr>
    <w:r>
      <w:tab/>
    </w:r>
    <w:r>
      <w:tab/>
    </w:r>
    <w:r>
      <w:tab/>
    </w:r>
    <w:r>
      <w:t>·</w:t>
    </w: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PAGE   \* MERGEFORMAT</w:instrText>
    </w:r>
    <w:r>
      <w:rPr>
        <w:rFonts w:ascii="Times New Roman" w:hAnsi="Times New Roman"/>
      </w:rPr>
      <w:fldChar w:fldCharType="separate"/>
    </w:r>
    <w:r>
      <w:rPr>
        <w:rFonts w:ascii="Times New Roman" w:hAnsi="Times New Roman"/>
        <w:lang w:val="zh-CN"/>
      </w:rPr>
      <w:t>37</w:t>
    </w:r>
    <w:r>
      <w:rPr>
        <w:rFonts w:ascii="Times New Roman" w:hAnsi="Times New Roman"/>
        <w:lang w:val="zh-CN"/>
      </w:rPr>
      <w:fldChar w:fldCharType="end"/>
    </w:r>
    <w:r>
      <w:rPr>
        <w:rFonts w:ascii="Times New Roman" w:hAnsi="Times New Roman"/>
      </w:rPr>
      <w:t>·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hideSpellingErrors/>
  <w:documentProtection w:enforcement="0"/>
  <w:defaultTabStop w:val="420"/>
  <w:evenAndOddHeaders w:val="1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5FD"/>
    <w:rsid w:val="00000047"/>
    <w:rsid w:val="000002A2"/>
    <w:rsid w:val="000004D0"/>
    <w:rsid w:val="0000118A"/>
    <w:rsid w:val="00001A27"/>
    <w:rsid w:val="000026A3"/>
    <w:rsid w:val="00002A30"/>
    <w:rsid w:val="00002FE3"/>
    <w:rsid w:val="00003723"/>
    <w:rsid w:val="0000499B"/>
    <w:rsid w:val="0000500A"/>
    <w:rsid w:val="00005863"/>
    <w:rsid w:val="0000668A"/>
    <w:rsid w:val="00006AA1"/>
    <w:rsid w:val="00007413"/>
    <w:rsid w:val="00007E9B"/>
    <w:rsid w:val="00007FD8"/>
    <w:rsid w:val="00010E40"/>
    <w:rsid w:val="00011192"/>
    <w:rsid w:val="00011D60"/>
    <w:rsid w:val="000127B1"/>
    <w:rsid w:val="00012B93"/>
    <w:rsid w:val="00012CEA"/>
    <w:rsid w:val="000156A7"/>
    <w:rsid w:val="000159D3"/>
    <w:rsid w:val="00016B62"/>
    <w:rsid w:val="00017C78"/>
    <w:rsid w:val="0002043F"/>
    <w:rsid w:val="0002076B"/>
    <w:rsid w:val="0002099A"/>
    <w:rsid w:val="000210EE"/>
    <w:rsid w:val="00021814"/>
    <w:rsid w:val="00021B45"/>
    <w:rsid w:val="00021E8D"/>
    <w:rsid w:val="0002293E"/>
    <w:rsid w:val="00022E94"/>
    <w:rsid w:val="000238D5"/>
    <w:rsid w:val="0002440A"/>
    <w:rsid w:val="000249A8"/>
    <w:rsid w:val="00025556"/>
    <w:rsid w:val="000258CF"/>
    <w:rsid w:val="00026A4E"/>
    <w:rsid w:val="00026AB9"/>
    <w:rsid w:val="00026C49"/>
    <w:rsid w:val="00026FC3"/>
    <w:rsid w:val="00027BB9"/>
    <w:rsid w:val="0003008D"/>
    <w:rsid w:val="00030114"/>
    <w:rsid w:val="000309CF"/>
    <w:rsid w:val="00030B0F"/>
    <w:rsid w:val="000316F2"/>
    <w:rsid w:val="00031908"/>
    <w:rsid w:val="00031C8A"/>
    <w:rsid w:val="000321F9"/>
    <w:rsid w:val="00032359"/>
    <w:rsid w:val="000324BD"/>
    <w:rsid w:val="00032659"/>
    <w:rsid w:val="00032A3C"/>
    <w:rsid w:val="00032BB1"/>
    <w:rsid w:val="00033DDA"/>
    <w:rsid w:val="00033DEF"/>
    <w:rsid w:val="0003497C"/>
    <w:rsid w:val="00034AC0"/>
    <w:rsid w:val="00034CB5"/>
    <w:rsid w:val="00034F9B"/>
    <w:rsid w:val="000359C8"/>
    <w:rsid w:val="00035B9C"/>
    <w:rsid w:val="000366A8"/>
    <w:rsid w:val="000366F3"/>
    <w:rsid w:val="00037D03"/>
    <w:rsid w:val="00037E41"/>
    <w:rsid w:val="00040678"/>
    <w:rsid w:val="000407F3"/>
    <w:rsid w:val="000412B6"/>
    <w:rsid w:val="00041B19"/>
    <w:rsid w:val="000421E8"/>
    <w:rsid w:val="000427B6"/>
    <w:rsid w:val="000428D3"/>
    <w:rsid w:val="00042C0B"/>
    <w:rsid w:val="0004328B"/>
    <w:rsid w:val="00043821"/>
    <w:rsid w:val="000439A3"/>
    <w:rsid w:val="00043D36"/>
    <w:rsid w:val="00045CD5"/>
    <w:rsid w:val="000462B5"/>
    <w:rsid w:val="00047299"/>
    <w:rsid w:val="00047A43"/>
    <w:rsid w:val="00047CDD"/>
    <w:rsid w:val="00050E93"/>
    <w:rsid w:val="000510FA"/>
    <w:rsid w:val="0005114E"/>
    <w:rsid w:val="000511AE"/>
    <w:rsid w:val="0005172F"/>
    <w:rsid w:val="000519E0"/>
    <w:rsid w:val="00051F16"/>
    <w:rsid w:val="00051FE1"/>
    <w:rsid w:val="0005214F"/>
    <w:rsid w:val="00053295"/>
    <w:rsid w:val="00053B66"/>
    <w:rsid w:val="00053D2D"/>
    <w:rsid w:val="000557ED"/>
    <w:rsid w:val="000558D2"/>
    <w:rsid w:val="00055EF5"/>
    <w:rsid w:val="00056194"/>
    <w:rsid w:val="00057B40"/>
    <w:rsid w:val="000605B3"/>
    <w:rsid w:val="00060EEB"/>
    <w:rsid w:val="0006136C"/>
    <w:rsid w:val="00061927"/>
    <w:rsid w:val="00061BB8"/>
    <w:rsid w:val="00062C0C"/>
    <w:rsid w:val="00062CD9"/>
    <w:rsid w:val="00063AFC"/>
    <w:rsid w:val="00063C65"/>
    <w:rsid w:val="0006519C"/>
    <w:rsid w:val="00066191"/>
    <w:rsid w:val="000661C1"/>
    <w:rsid w:val="0006660C"/>
    <w:rsid w:val="0006798A"/>
    <w:rsid w:val="00067AAC"/>
    <w:rsid w:val="00067C71"/>
    <w:rsid w:val="00067CF0"/>
    <w:rsid w:val="0007116F"/>
    <w:rsid w:val="000713B5"/>
    <w:rsid w:val="00071559"/>
    <w:rsid w:val="000725F3"/>
    <w:rsid w:val="0007274C"/>
    <w:rsid w:val="00074A33"/>
    <w:rsid w:val="0007525D"/>
    <w:rsid w:val="0007555D"/>
    <w:rsid w:val="00075E34"/>
    <w:rsid w:val="00075FCC"/>
    <w:rsid w:val="0007618F"/>
    <w:rsid w:val="0007683F"/>
    <w:rsid w:val="0007794A"/>
    <w:rsid w:val="00077C4A"/>
    <w:rsid w:val="00077EE3"/>
    <w:rsid w:val="00080CDF"/>
    <w:rsid w:val="0008134D"/>
    <w:rsid w:val="00081AB3"/>
    <w:rsid w:val="000821B1"/>
    <w:rsid w:val="00082BBC"/>
    <w:rsid w:val="00083C76"/>
    <w:rsid w:val="00083D68"/>
    <w:rsid w:val="00084057"/>
    <w:rsid w:val="000840B2"/>
    <w:rsid w:val="000851E5"/>
    <w:rsid w:val="0008616A"/>
    <w:rsid w:val="00086235"/>
    <w:rsid w:val="000866E2"/>
    <w:rsid w:val="0008737E"/>
    <w:rsid w:val="00087712"/>
    <w:rsid w:val="00087BF8"/>
    <w:rsid w:val="00087D81"/>
    <w:rsid w:val="0009075A"/>
    <w:rsid w:val="00090825"/>
    <w:rsid w:val="00091859"/>
    <w:rsid w:val="000949A2"/>
    <w:rsid w:val="000953ED"/>
    <w:rsid w:val="0009657C"/>
    <w:rsid w:val="00096CA5"/>
    <w:rsid w:val="00097542"/>
    <w:rsid w:val="00097879"/>
    <w:rsid w:val="000A071C"/>
    <w:rsid w:val="000A19F2"/>
    <w:rsid w:val="000A1AEF"/>
    <w:rsid w:val="000A2290"/>
    <w:rsid w:val="000A2980"/>
    <w:rsid w:val="000A2B1D"/>
    <w:rsid w:val="000A2F4C"/>
    <w:rsid w:val="000A3261"/>
    <w:rsid w:val="000A36DD"/>
    <w:rsid w:val="000A3F9D"/>
    <w:rsid w:val="000A510A"/>
    <w:rsid w:val="000A68C0"/>
    <w:rsid w:val="000A7282"/>
    <w:rsid w:val="000B0C44"/>
    <w:rsid w:val="000B101E"/>
    <w:rsid w:val="000B1496"/>
    <w:rsid w:val="000B16C7"/>
    <w:rsid w:val="000B1CC2"/>
    <w:rsid w:val="000B265B"/>
    <w:rsid w:val="000B354B"/>
    <w:rsid w:val="000B393C"/>
    <w:rsid w:val="000B3A01"/>
    <w:rsid w:val="000B3D80"/>
    <w:rsid w:val="000B4069"/>
    <w:rsid w:val="000B407A"/>
    <w:rsid w:val="000B4B5E"/>
    <w:rsid w:val="000B5194"/>
    <w:rsid w:val="000B5BE0"/>
    <w:rsid w:val="000B5E23"/>
    <w:rsid w:val="000B62B4"/>
    <w:rsid w:val="000B6528"/>
    <w:rsid w:val="000B707B"/>
    <w:rsid w:val="000C06B9"/>
    <w:rsid w:val="000C09B8"/>
    <w:rsid w:val="000C11CB"/>
    <w:rsid w:val="000C11E5"/>
    <w:rsid w:val="000C1862"/>
    <w:rsid w:val="000C1B23"/>
    <w:rsid w:val="000C212F"/>
    <w:rsid w:val="000C2756"/>
    <w:rsid w:val="000C28D4"/>
    <w:rsid w:val="000C2EBE"/>
    <w:rsid w:val="000C2F8F"/>
    <w:rsid w:val="000C2F9D"/>
    <w:rsid w:val="000C3DCA"/>
    <w:rsid w:val="000C570B"/>
    <w:rsid w:val="000C6198"/>
    <w:rsid w:val="000C67B9"/>
    <w:rsid w:val="000C6BFD"/>
    <w:rsid w:val="000C7491"/>
    <w:rsid w:val="000D0731"/>
    <w:rsid w:val="000D0EFD"/>
    <w:rsid w:val="000D1D99"/>
    <w:rsid w:val="000D2125"/>
    <w:rsid w:val="000D28EB"/>
    <w:rsid w:val="000D2C4F"/>
    <w:rsid w:val="000D2E0A"/>
    <w:rsid w:val="000D372B"/>
    <w:rsid w:val="000D3CA6"/>
    <w:rsid w:val="000D3F13"/>
    <w:rsid w:val="000D4ABA"/>
    <w:rsid w:val="000D51FA"/>
    <w:rsid w:val="000D5251"/>
    <w:rsid w:val="000D5341"/>
    <w:rsid w:val="000D55AD"/>
    <w:rsid w:val="000D5D20"/>
    <w:rsid w:val="000D6109"/>
    <w:rsid w:val="000D69BC"/>
    <w:rsid w:val="000D7D70"/>
    <w:rsid w:val="000E03CE"/>
    <w:rsid w:val="000E052D"/>
    <w:rsid w:val="000E0711"/>
    <w:rsid w:val="000E0AF9"/>
    <w:rsid w:val="000E0B02"/>
    <w:rsid w:val="000E164D"/>
    <w:rsid w:val="000E17B8"/>
    <w:rsid w:val="000E24CD"/>
    <w:rsid w:val="000E320A"/>
    <w:rsid w:val="000E3D99"/>
    <w:rsid w:val="000E41B0"/>
    <w:rsid w:val="000E4C0F"/>
    <w:rsid w:val="000E4CDB"/>
    <w:rsid w:val="000E4D60"/>
    <w:rsid w:val="000E5084"/>
    <w:rsid w:val="000E51B0"/>
    <w:rsid w:val="000E52C2"/>
    <w:rsid w:val="000E5C8E"/>
    <w:rsid w:val="000E5E13"/>
    <w:rsid w:val="000E6228"/>
    <w:rsid w:val="000E648A"/>
    <w:rsid w:val="000E65B6"/>
    <w:rsid w:val="000E6AA1"/>
    <w:rsid w:val="000E765B"/>
    <w:rsid w:val="000E78DA"/>
    <w:rsid w:val="000E7F77"/>
    <w:rsid w:val="000F0227"/>
    <w:rsid w:val="000F05A1"/>
    <w:rsid w:val="000F0758"/>
    <w:rsid w:val="000F0FAD"/>
    <w:rsid w:val="000F1274"/>
    <w:rsid w:val="000F1F70"/>
    <w:rsid w:val="000F27FF"/>
    <w:rsid w:val="000F303A"/>
    <w:rsid w:val="000F3BAB"/>
    <w:rsid w:val="000F3E05"/>
    <w:rsid w:val="000F53D8"/>
    <w:rsid w:val="000F5515"/>
    <w:rsid w:val="000F6538"/>
    <w:rsid w:val="000F6739"/>
    <w:rsid w:val="000F70E4"/>
    <w:rsid w:val="000F7D93"/>
    <w:rsid w:val="001002BE"/>
    <w:rsid w:val="00100CAA"/>
    <w:rsid w:val="00101017"/>
    <w:rsid w:val="00101341"/>
    <w:rsid w:val="00101574"/>
    <w:rsid w:val="00102736"/>
    <w:rsid w:val="001029B1"/>
    <w:rsid w:val="00102AC7"/>
    <w:rsid w:val="001033F3"/>
    <w:rsid w:val="001035F8"/>
    <w:rsid w:val="00103BB1"/>
    <w:rsid w:val="00105A5A"/>
    <w:rsid w:val="00106770"/>
    <w:rsid w:val="00107445"/>
    <w:rsid w:val="001074AE"/>
    <w:rsid w:val="00107901"/>
    <w:rsid w:val="00110372"/>
    <w:rsid w:val="001105CB"/>
    <w:rsid w:val="00110807"/>
    <w:rsid w:val="0011180B"/>
    <w:rsid w:val="0011181A"/>
    <w:rsid w:val="00113678"/>
    <w:rsid w:val="00114CD0"/>
    <w:rsid w:val="00115412"/>
    <w:rsid w:val="00115B0F"/>
    <w:rsid w:val="001164ED"/>
    <w:rsid w:val="00116A72"/>
    <w:rsid w:val="00116C31"/>
    <w:rsid w:val="00117163"/>
    <w:rsid w:val="001178E4"/>
    <w:rsid w:val="00117F96"/>
    <w:rsid w:val="00120518"/>
    <w:rsid w:val="0012076C"/>
    <w:rsid w:val="00120CC3"/>
    <w:rsid w:val="00120DFF"/>
    <w:rsid w:val="001216F3"/>
    <w:rsid w:val="001224A0"/>
    <w:rsid w:val="00123BCA"/>
    <w:rsid w:val="00123EE8"/>
    <w:rsid w:val="00124FBC"/>
    <w:rsid w:val="00125583"/>
    <w:rsid w:val="0012597F"/>
    <w:rsid w:val="00125A92"/>
    <w:rsid w:val="001309FE"/>
    <w:rsid w:val="00130A9F"/>
    <w:rsid w:val="00131F01"/>
    <w:rsid w:val="0013292C"/>
    <w:rsid w:val="0013294E"/>
    <w:rsid w:val="00132CBC"/>
    <w:rsid w:val="00132E19"/>
    <w:rsid w:val="0013342B"/>
    <w:rsid w:val="00134494"/>
    <w:rsid w:val="00134550"/>
    <w:rsid w:val="00134F4B"/>
    <w:rsid w:val="001350E1"/>
    <w:rsid w:val="00135B1F"/>
    <w:rsid w:val="001361EC"/>
    <w:rsid w:val="001369C3"/>
    <w:rsid w:val="001369F1"/>
    <w:rsid w:val="00137BF9"/>
    <w:rsid w:val="00137C6D"/>
    <w:rsid w:val="001400BD"/>
    <w:rsid w:val="001401F3"/>
    <w:rsid w:val="001406C2"/>
    <w:rsid w:val="00141384"/>
    <w:rsid w:val="00141A43"/>
    <w:rsid w:val="00141B1F"/>
    <w:rsid w:val="00142655"/>
    <w:rsid w:val="00142F8F"/>
    <w:rsid w:val="00145019"/>
    <w:rsid w:val="00145835"/>
    <w:rsid w:val="001458BF"/>
    <w:rsid w:val="0014626A"/>
    <w:rsid w:val="00146484"/>
    <w:rsid w:val="001473CB"/>
    <w:rsid w:val="001501BB"/>
    <w:rsid w:val="00150399"/>
    <w:rsid w:val="001508D0"/>
    <w:rsid w:val="0015138C"/>
    <w:rsid w:val="00151A9D"/>
    <w:rsid w:val="00151FBC"/>
    <w:rsid w:val="00152C5C"/>
    <w:rsid w:val="00152DB0"/>
    <w:rsid w:val="00152F88"/>
    <w:rsid w:val="00153047"/>
    <w:rsid w:val="001539F8"/>
    <w:rsid w:val="00153B50"/>
    <w:rsid w:val="001540E9"/>
    <w:rsid w:val="00155B03"/>
    <w:rsid w:val="00155BAA"/>
    <w:rsid w:val="0015643D"/>
    <w:rsid w:val="001576D0"/>
    <w:rsid w:val="001600E8"/>
    <w:rsid w:val="00160955"/>
    <w:rsid w:val="00160DA7"/>
    <w:rsid w:val="001615B2"/>
    <w:rsid w:val="001637BB"/>
    <w:rsid w:val="00163C17"/>
    <w:rsid w:val="00163E84"/>
    <w:rsid w:val="0016434F"/>
    <w:rsid w:val="00164353"/>
    <w:rsid w:val="00165210"/>
    <w:rsid w:val="001655E6"/>
    <w:rsid w:val="001657E3"/>
    <w:rsid w:val="00165D74"/>
    <w:rsid w:val="00165E13"/>
    <w:rsid w:val="00165F2E"/>
    <w:rsid w:val="00167246"/>
    <w:rsid w:val="00167824"/>
    <w:rsid w:val="00167AC4"/>
    <w:rsid w:val="001704EF"/>
    <w:rsid w:val="00171395"/>
    <w:rsid w:val="0017196A"/>
    <w:rsid w:val="00171D23"/>
    <w:rsid w:val="001724EF"/>
    <w:rsid w:val="00172B0F"/>
    <w:rsid w:val="001730D3"/>
    <w:rsid w:val="001743E9"/>
    <w:rsid w:val="00174B17"/>
    <w:rsid w:val="00174E3F"/>
    <w:rsid w:val="00176300"/>
    <w:rsid w:val="0017773C"/>
    <w:rsid w:val="00177CB3"/>
    <w:rsid w:val="0018003C"/>
    <w:rsid w:val="00180273"/>
    <w:rsid w:val="0018032F"/>
    <w:rsid w:val="00180E76"/>
    <w:rsid w:val="00180EB7"/>
    <w:rsid w:val="0018102A"/>
    <w:rsid w:val="001810E8"/>
    <w:rsid w:val="00181492"/>
    <w:rsid w:val="0018321A"/>
    <w:rsid w:val="0018356E"/>
    <w:rsid w:val="001856F7"/>
    <w:rsid w:val="00185854"/>
    <w:rsid w:val="001861D3"/>
    <w:rsid w:val="0018666B"/>
    <w:rsid w:val="001876EB"/>
    <w:rsid w:val="001877CD"/>
    <w:rsid w:val="00187996"/>
    <w:rsid w:val="00190FE5"/>
    <w:rsid w:val="00191659"/>
    <w:rsid w:val="00192E3E"/>
    <w:rsid w:val="00194310"/>
    <w:rsid w:val="001945D6"/>
    <w:rsid w:val="001949B6"/>
    <w:rsid w:val="0019500D"/>
    <w:rsid w:val="001961C2"/>
    <w:rsid w:val="0019639A"/>
    <w:rsid w:val="001A0559"/>
    <w:rsid w:val="001A0F88"/>
    <w:rsid w:val="001A1CF4"/>
    <w:rsid w:val="001A20E7"/>
    <w:rsid w:val="001A2D6C"/>
    <w:rsid w:val="001A301B"/>
    <w:rsid w:val="001A3C18"/>
    <w:rsid w:val="001A44A3"/>
    <w:rsid w:val="001A4ED8"/>
    <w:rsid w:val="001A5765"/>
    <w:rsid w:val="001A5CDD"/>
    <w:rsid w:val="001B08E9"/>
    <w:rsid w:val="001B1299"/>
    <w:rsid w:val="001B1AB0"/>
    <w:rsid w:val="001B20A9"/>
    <w:rsid w:val="001B2781"/>
    <w:rsid w:val="001B38A3"/>
    <w:rsid w:val="001B49A4"/>
    <w:rsid w:val="001B5256"/>
    <w:rsid w:val="001B5389"/>
    <w:rsid w:val="001B6981"/>
    <w:rsid w:val="001B6C86"/>
    <w:rsid w:val="001B6D4F"/>
    <w:rsid w:val="001B714F"/>
    <w:rsid w:val="001B7F2B"/>
    <w:rsid w:val="001C083F"/>
    <w:rsid w:val="001C0AB5"/>
    <w:rsid w:val="001C0D05"/>
    <w:rsid w:val="001C14A3"/>
    <w:rsid w:val="001C1E0A"/>
    <w:rsid w:val="001C279D"/>
    <w:rsid w:val="001C318B"/>
    <w:rsid w:val="001C352E"/>
    <w:rsid w:val="001C36C0"/>
    <w:rsid w:val="001C4433"/>
    <w:rsid w:val="001C4AB5"/>
    <w:rsid w:val="001C57DD"/>
    <w:rsid w:val="001C5C53"/>
    <w:rsid w:val="001C6C3E"/>
    <w:rsid w:val="001C7E2B"/>
    <w:rsid w:val="001D0473"/>
    <w:rsid w:val="001D1120"/>
    <w:rsid w:val="001D18B3"/>
    <w:rsid w:val="001D24AE"/>
    <w:rsid w:val="001D3368"/>
    <w:rsid w:val="001D3719"/>
    <w:rsid w:val="001D38FD"/>
    <w:rsid w:val="001D3A2F"/>
    <w:rsid w:val="001D4513"/>
    <w:rsid w:val="001D46A5"/>
    <w:rsid w:val="001D4751"/>
    <w:rsid w:val="001D65CD"/>
    <w:rsid w:val="001D6DD3"/>
    <w:rsid w:val="001D7852"/>
    <w:rsid w:val="001D7B88"/>
    <w:rsid w:val="001D7BD4"/>
    <w:rsid w:val="001E118D"/>
    <w:rsid w:val="001E1521"/>
    <w:rsid w:val="001E1651"/>
    <w:rsid w:val="001E25E9"/>
    <w:rsid w:val="001E35DC"/>
    <w:rsid w:val="001E5BF8"/>
    <w:rsid w:val="001E5ECD"/>
    <w:rsid w:val="001E62BA"/>
    <w:rsid w:val="001E679B"/>
    <w:rsid w:val="001E6942"/>
    <w:rsid w:val="001E7044"/>
    <w:rsid w:val="001E79B3"/>
    <w:rsid w:val="001E7DD5"/>
    <w:rsid w:val="001F10FB"/>
    <w:rsid w:val="001F1285"/>
    <w:rsid w:val="001F157A"/>
    <w:rsid w:val="001F1ADF"/>
    <w:rsid w:val="001F1D8C"/>
    <w:rsid w:val="001F2573"/>
    <w:rsid w:val="001F27C8"/>
    <w:rsid w:val="001F28C9"/>
    <w:rsid w:val="001F2EF5"/>
    <w:rsid w:val="001F38D3"/>
    <w:rsid w:val="001F4A19"/>
    <w:rsid w:val="001F646D"/>
    <w:rsid w:val="001F6F6D"/>
    <w:rsid w:val="001F7349"/>
    <w:rsid w:val="001F76C8"/>
    <w:rsid w:val="001F7BEE"/>
    <w:rsid w:val="001F7C7C"/>
    <w:rsid w:val="00200B44"/>
    <w:rsid w:val="002015D2"/>
    <w:rsid w:val="00201802"/>
    <w:rsid w:val="00201A61"/>
    <w:rsid w:val="00201EFC"/>
    <w:rsid w:val="00202299"/>
    <w:rsid w:val="002023FF"/>
    <w:rsid w:val="002030C6"/>
    <w:rsid w:val="0020332F"/>
    <w:rsid w:val="002045E6"/>
    <w:rsid w:val="002046FF"/>
    <w:rsid w:val="00204DCF"/>
    <w:rsid w:val="002052E4"/>
    <w:rsid w:val="00205438"/>
    <w:rsid w:val="002054A0"/>
    <w:rsid w:val="0020609E"/>
    <w:rsid w:val="0020660F"/>
    <w:rsid w:val="0020761D"/>
    <w:rsid w:val="00207792"/>
    <w:rsid w:val="002078E1"/>
    <w:rsid w:val="00207988"/>
    <w:rsid w:val="00207FF5"/>
    <w:rsid w:val="002100E8"/>
    <w:rsid w:val="002109A7"/>
    <w:rsid w:val="00210F1E"/>
    <w:rsid w:val="00211CA4"/>
    <w:rsid w:val="0021242F"/>
    <w:rsid w:val="00212A13"/>
    <w:rsid w:val="00212B9D"/>
    <w:rsid w:val="002133B9"/>
    <w:rsid w:val="00213A9A"/>
    <w:rsid w:val="00213EFF"/>
    <w:rsid w:val="00213F85"/>
    <w:rsid w:val="00214870"/>
    <w:rsid w:val="0021598B"/>
    <w:rsid w:val="002165F7"/>
    <w:rsid w:val="002170AD"/>
    <w:rsid w:val="00217F86"/>
    <w:rsid w:val="0022016F"/>
    <w:rsid w:val="002207E6"/>
    <w:rsid w:val="00220B7C"/>
    <w:rsid w:val="00220DBE"/>
    <w:rsid w:val="00220E9A"/>
    <w:rsid w:val="00220F49"/>
    <w:rsid w:val="00221C20"/>
    <w:rsid w:val="002225B9"/>
    <w:rsid w:val="002236C0"/>
    <w:rsid w:val="00223C48"/>
    <w:rsid w:val="00224307"/>
    <w:rsid w:val="002245D3"/>
    <w:rsid w:val="00224C8C"/>
    <w:rsid w:val="00225113"/>
    <w:rsid w:val="00225140"/>
    <w:rsid w:val="00225338"/>
    <w:rsid w:val="00225D03"/>
    <w:rsid w:val="00226284"/>
    <w:rsid w:val="002267F0"/>
    <w:rsid w:val="00226803"/>
    <w:rsid w:val="00226C63"/>
    <w:rsid w:val="0022758A"/>
    <w:rsid w:val="002304C8"/>
    <w:rsid w:val="002321EC"/>
    <w:rsid w:val="002323A0"/>
    <w:rsid w:val="00232635"/>
    <w:rsid w:val="00232A39"/>
    <w:rsid w:val="00235F15"/>
    <w:rsid w:val="0023622A"/>
    <w:rsid w:val="00236398"/>
    <w:rsid w:val="00236F99"/>
    <w:rsid w:val="002401F3"/>
    <w:rsid w:val="00240B0E"/>
    <w:rsid w:val="0024197E"/>
    <w:rsid w:val="00242301"/>
    <w:rsid w:val="00242664"/>
    <w:rsid w:val="00242673"/>
    <w:rsid w:val="0024427F"/>
    <w:rsid w:val="00244336"/>
    <w:rsid w:val="00245B4C"/>
    <w:rsid w:val="00245CA1"/>
    <w:rsid w:val="00245E9D"/>
    <w:rsid w:val="00245ED9"/>
    <w:rsid w:val="0024611B"/>
    <w:rsid w:val="0024659B"/>
    <w:rsid w:val="002469CB"/>
    <w:rsid w:val="00246A30"/>
    <w:rsid w:val="00247370"/>
    <w:rsid w:val="002479A8"/>
    <w:rsid w:val="00247BAA"/>
    <w:rsid w:val="00250057"/>
    <w:rsid w:val="00251EA8"/>
    <w:rsid w:val="00253BBE"/>
    <w:rsid w:val="002540D5"/>
    <w:rsid w:val="0025467C"/>
    <w:rsid w:val="00254A13"/>
    <w:rsid w:val="00254C61"/>
    <w:rsid w:val="002555A8"/>
    <w:rsid w:val="0025567E"/>
    <w:rsid w:val="002559D6"/>
    <w:rsid w:val="002571E7"/>
    <w:rsid w:val="00257896"/>
    <w:rsid w:val="00260E25"/>
    <w:rsid w:val="002611D0"/>
    <w:rsid w:val="00262128"/>
    <w:rsid w:val="00262176"/>
    <w:rsid w:val="00262585"/>
    <w:rsid w:val="00262B2A"/>
    <w:rsid w:val="00263A16"/>
    <w:rsid w:val="00263ECC"/>
    <w:rsid w:val="002654B7"/>
    <w:rsid w:val="00265808"/>
    <w:rsid w:val="002660F5"/>
    <w:rsid w:val="0026651D"/>
    <w:rsid w:val="00266836"/>
    <w:rsid w:val="00266B68"/>
    <w:rsid w:val="00266CAD"/>
    <w:rsid w:val="00267F74"/>
    <w:rsid w:val="00267FF9"/>
    <w:rsid w:val="00270E38"/>
    <w:rsid w:val="00272E38"/>
    <w:rsid w:val="002732BA"/>
    <w:rsid w:val="002748BB"/>
    <w:rsid w:val="00274D03"/>
    <w:rsid w:val="00275696"/>
    <w:rsid w:val="00275EE8"/>
    <w:rsid w:val="00277BE4"/>
    <w:rsid w:val="00280504"/>
    <w:rsid w:val="002817BF"/>
    <w:rsid w:val="00281BA4"/>
    <w:rsid w:val="0028214E"/>
    <w:rsid w:val="002830BF"/>
    <w:rsid w:val="0028446A"/>
    <w:rsid w:val="002851AB"/>
    <w:rsid w:val="002851D5"/>
    <w:rsid w:val="0028590E"/>
    <w:rsid w:val="0028782A"/>
    <w:rsid w:val="0028784B"/>
    <w:rsid w:val="00290FC4"/>
    <w:rsid w:val="00292784"/>
    <w:rsid w:val="00292794"/>
    <w:rsid w:val="00292A68"/>
    <w:rsid w:val="0029339B"/>
    <w:rsid w:val="00293E1D"/>
    <w:rsid w:val="00294CED"/>
    <w:rsid w:val="0029506C"/>
    <w:rsid w:val="002957E7"/>
    <w:rsid w:val="00296B10"/>
    <w:rsid w:val="002A003D"/>
    <w:rsid w:val="002A029E"/>
    <w:rsid w:val="002A0587"/>
    <w:rsid w:val="002A10E6"/>
    <w:rsid w:val="002A110E"/>
    <w:rsid w:val="002A1769"/>
    <w:rsid w:val="002A2F29"/>
    <w:rsid w:val="002A2FC6"/>
    <w:rsid w:val="002A312C"/>
    <w:rsid w:val="002A3D68"/>
    <w:rsid w:val="002A3FF5"/>
    <w:rsid w:val="002A407D"/>
    <w:rsid w:val="002A4E20"/>
    <w:rsid w:val="002A5219"/>
    <w:rsid w:val="002A55C6"/>
    <w:rsid w:val="002A5714"/>
    <w:rsid w:val="002A5D61"/>
    <w:rsid w:val="002A613C"/>
    <w:rsid w:val="002A6A31"/>
    <w:rsid w:val="002A742C"/>
    <w:rsid w:val="002A79E4"/>
    <w:rsid w:val="002A7C59"/>
    <w:rsid w:val="002A7CF1"/>
    <w:rsid w:val="002B07DC"/>
    <w:rsid w:val="002B1550"/>
    <w:rsid w:val="002B1670"/>
    <w:rsid w:val="002B173E"/>
    <w:rsid w:val="002B1E94"/>
    <w:rsid w:val="002B24B4"/>
    <w:rsid w:val="002B2E00"/>
    <w:rsid w:val="002B32AD"/>
    <w:rsid w:val="002B36DB"/>
    <w:rsid w:val="002B426E"/>
    <w:rsid w:val="002B4817"/>
    <w:rsid w:val="002B4FBA"/>
    <w:rsid w:val="002B5F94"/>
    <w:rsid w:val="002B62E3"/>
    <w:rsid w:val="002B6ABD"/>
    <w:rsid w:val="002B6D7A"/>
    <w:rsid w:val="002C0105"/>
    <w:rsid w:val="002C0365"/>
    <w:rsid w:val="002C0836"/>
    <w:rsid w:val="002C0897"/>
    <w:rsid w:val="002C0F0D"/>
    <w:rsid w:val="002C1205"/>
    <w:rsid w:val="002C131D"/>
    <w:rsid w:val="002C189E"/>
    <w:rsid w:val="002C1CC0"/>
    <w:rsid w:val="002C222C"/>
    <w:rsid w:val="002C255A"/>
    <w:rsid w:val="002C268D"/>
    <w:rsid w:val="002C30BC"/>
    <w:rsid w:val="002C362C"/>
    <w:rsid w:val="002C365E"/>
    <w:rsid w:val="002C3DAA"/>
    <w:rsid w:val="002C4101"/>
    <w:rsid w:val="002C520F"/>
    <w:rsid w:val="002C5608"/>
    <w:rsid w:val="002C587F"/>
    <w:rsid w:val="002C5DF9"/>
    <w:rsid w:val="002C64AC"/>
    <w:rsid w:val="002C6995"/>
    <w:rsid w:val="002C6CC3"/>
    <w:rsid w:val="002C7C02"/>
    <w:rsid w:val="002C7E75"/>
    <w:rsid w:val="002C7F3B"/>
    <w:rsid w:val="002D01C5"/>
    <w:rsid w:val="002D12AC"/>
    <w:rsid w:val="002D2CAA"/>
    <w:rsid w:val="002D2E08"/>
    <w:rsid w:val="002D3A78"/>
    <w:rsid w:val="002D42D3"/>
    <w:rsid w:val="002D51A7"/>
    <w:rsid w:val="002D5753"/>
    <w:rsid w:val="002D589C"/>
    <w:rsid w:val="002D5FD0"/>
    <w:rsid w:val="002D6458"/>
    <w:rsid w:val="002D67DC"/>
    <w:rsid w:val="002D69C4"/>
    <w:rsid w:val="002D6F3C"/>
    <w:rsid w:val="002D7A10"/>
    <w:rsid w:val="002D7BEE"/>
    <w:rsid w:val="002D7F57"/>
    <w:rsid w:val="002E0280"/>
    <w:rsid w:val="002E0D70"/>
    <w:rsid w:val="002E1761"/>
    <w:rsid w:val="002E1C16"/>
    <w:rsid w:val="002E2322"/>
    <w:rsid w:val="002E2F7E"/>
    <w:rsid w:val="002E3E6A"/>
    <w:rsid w:val="002E3F6B"/>
    <w:rsid w:val="002E450A"/>
    <w:rsid w:val="002E4666"/>
    <w:rsid w:val="002E4F0F"/>
    <w:rsid w:val="002E53F5"/>
    <w:rsid w:val="002E6147"/>
    <w:rsid w:val="002E64A9"/>
    <w:rsid w:val="002E7709"/>
    <w:rsid w:val="002E7B69"/>
    <w:rsid w:val="002F0B4F"/>
    <w:rsid w:val="002F0BDC"/>
    <w:rsid w:val="002F17F4"/>
    <w:rsid w:val="002F1FD5"/>
    <w:rsid w:val="002F235A"/>
    <w:rsid w:val="002F2587"/>
    <w:rsid w:val="002F2BEB"/>
    <w:rsid w:val="002F2C80"/>
    <w:rsid w:val="002F32AD"/>
    <w:rsid w:val="002F3BC5"/>
    <w:rsid w:val="002F3DC5"/>
    <w:rsid w:val="002F4EE6"/>
    <w:rsid w:val="002F655B"/>
    <w:rsid w:val="002F6B70"/>
    <w:rsid w:val="003008C4"/>
    <w:rsid w:val="003011FD"/>
    <w:rsid w:val="003013BE"/>
    <w:rsid w:val="003022EC"/>
    <w:rsid w:val="003024C7"/>
    <w:rsid w:val="00302549"/>
    <w:rsid w:val="00304442"/>
    <w:rsid w:val="003056A3"/>
    <w:rsid w:val="003057A5"/>
    <w:rsid w:val="00306691"/>
    <w:rsid w:val="0030671F"/>
    <w:rsid w:val="003067C6"/>
    <w:rsid w:val="003069E3"/>
    <w:rsid w:val="00307C7C"/>
    <w:rsid w:val="00310375"/>
    <w:rsid w:val="0031091A"/>
    <w:rsid w:val="00311C09"/>
    <w:rsid w:val="00312136"/>
    <w:rsid w:val="00313419"/>
    <w:rsid w:val="00313468"/>
    <w:rsid w:val="00314036"/>
    <w:rsid w:val="00314775"/>
    <w:rsid w:val="0031558C"/>
    <w:rsid w:val="00315841"/>
    <w:rsid w:val="00315902"/>
    <w:rsid w:val="00315B78"/>
    <w:rsid w:val="00316430"/>
    <w:rsid w:val="0031698B"/>
    <w:rsid w:val="00316A4A"/>
    <w:rsid w:val="00316AAF"/>
    <w:rsid w:val="00320508"/>
    <w:rsid w:val="00320612"/>
    <w:rsid w:val="00320C15"/>
    <w:rsid w:val="00320C9C"/>
    <w:rsid w:val="00320D1B"/>
    <w:rsid w:val="003215C6"/>
    <w:rsid w:val="0032185B"/>
    <w:rsid w:val="00321893"/>
    <w:rsid w:val="003220F2"/>
    <w:rsid w:val="0032255D"/>
    <w:rsid w:val="00323B00"/>
    <w:rsid w:val="0032417D"/>
    <w:rsid w:val="003243E7"/>
    <w:rsid w:val="003246A5"/>
    <w:rsid w:val="003247E2"/>
    <w:rsid w:val="0032489D"/>
    <w:rsid w:val="00325654"/>
    <w:rsid w:val="00325FC0"/>
    <w:rsid w:val="003262A2"/>
    <w:rsid w:val="00326A1D"/>
    <w:rsid w:val="00327EB7"/>
    <w:rsid w:val="00330233"/>
    <w:rsid w:val="00330969"/>
    <w:rsid w:val="00330AC0"/>
    <w:rsid w:val="003314C5"/>
    <w:rsid w:val="0033176E"/>
    <w:rsid w:val="00331E7A"/>
    <w:rsid w:val="003330B6"/>
    <w:rsid w:val="003335F9"/>
    <w:rsid w:val="0033370D"/>
    <w:rsid w:val="003338EE"/>
    <w:rsid w:val="00333953"/>
    <w:rsid w:val="003342FE"/>
    <w:rsid w:val="003354E6"/>
    <w:rsid w:val="00336522"/>
    <w:rsid w:val="003371C5"/>
    <w:rsid w:val="00337368"/>
    <w:rsid w:val="003376E9"/>
    <w:rsid w:val="00337AB8"/>
    <w:rsid w:val="00337B06"/>
    <w:rsid w:val="003401DA"/>
    <w:rsid w:val="00340B4B"/>
    <w:rsid w:val="00340DBA"/>
    <w:rsid w:val="00340E3D"/>
    <w:rsid w:val="003410A4"/>
    <w:rsid w:val="003423D7"/>
    <w:rsid w:val="0034314A"/>
    <w:rsid w:val="00344BC3"/>
    <w:rsid w:val="00344E85"/>
    <w:rsid w:val="0034553D"/>
    <w:rsid w:val="00346225"/>
    <w:rsid w:val="003467FC"/>
    <w:rsid w:val="00346FF4"/>
    <w:rsid w:val="00347A15"/>
    <w:rsid w:val="00350E0B"/>
    <w:rsid w:val="003515F1"/>
    <w:rsid w:val="00355543"/>
    <w:rsid w:val="0035590B"/>
    <w:rsid w:val="00355BE4"/>
    <w:rsid w:val="00355D43"/>
    <w:rsid w:val="00356DFD"/>
    <w:rsid w:val="00356E98"/>
    <w:rsid w:val="00356F82"/>
    <w:rsid w:val="003573D6"/>
    <w:rsid w:val="00357C4C"/>
    <w:rsid w:val="0036070E"/>
    <w:rsid w:val="00360FDF"/>
    <w:rsid w:val="003619E9"/>
    <w:rsid w:val="00362F27"/>
    <w:rsid w:val="003630C6"/>
    <w:rsid w:val="003642FA"/>
    <w:rsid w:val="00364E68"/>
    <w:rsid w:val="00366E33"/>
    <w:rsid w:val="00366F4A"/>
    <w:rsid w:val="00367045"/>
    <w:rsid w:val="0036790A"/>
    <w:rsid w:val="00367C77"/>
    <w:rsid w:val="00367EC1"/>
    <w:rsid w:val="00367EF3"/>
    <w:rsid w:val="003708CB"/>
    <w:rsid w:val="00370AFF"/>
    <w:rsid w:val="00370C6D"/>
    <w:rsid w:val="00371EB0"/>
    <w:rsid w:val="003720BA"/>
    <w:rsid w:val="00372398"/>
    <w:rsid w:val="0037262C"/>
    <w:rsid w:val="00372ECE"/>
    <w:rsid w:val="00373458"/>
    <w:rsid w:val="00373576"/>
    <w:rsid w:val="00373F69"/>
    <w:rsid w:val="003741EC"/>
    <w:rsid w:val="0037494D"/>
    <w:rsid w:val="003749A6"/>
    <w:rsid w:val="00374E1D"/>
    <w:rsid w:val="00374F67"/>
    <w:rsid w:val="00375A59"/>
    <w:rsid w:val="00375BEE"/>
    <w:rsid w:val="00376088"/>
    <w:rsid w:val="003763BB"/>
    <w:rsid w:val="0037695B"/>
    <w:rsid w:val="00376F9E"/>
    <w:rsid w:val="00377672"/>
    <w:rsid w:val="00377E46"/>
    <w:rsid w:val="00377EF8"/>
    <w:rsid w:val="00377F69"/>
    <w:rsid w:val="0038036B"/>
    <w:rsid w:val="0038130E"/>
    <w:rsid w:val="00381866"/>
    <w:rsid w:val="00381C5C"/>
    <w:rsid w:val="00381DBD"/>
    <w:rsid w:val="003821BF"/>
    <w:rsid w:val="003827B5"/>
    <w:rsid w:val="00383585"/>
    <w:rsid w:val="003849CF"/>
    <w:rsid w:val="0038555C"/>
    <w:rsid w:val="003856D7"/>
    <w:rsid w:val="00385729"/>
    <w:rsid w:val="003862A3"/>
    <w:rsid w:val="0038635B"/>
    <w:rsid w:val="003863A1"/>
    <w:rsid w:val="003871D3"/>
    <w:rsid w:val="00387207"/>
    <w:rsid w:val="003877AD"/>
    <w:rsid w:val="00387841"/>
    <w:rsid w:val="00390032"/>
    <w:rsid w:val="0039020E"/>
    <w:rsid w:val="003907DE"/>
    <w:rsid w:val="003910ED"/>
    <w:rsid w:val="003911E7"/>
    <w:rsid w:val="00391775"/>
    <w:rsid w:val="00391FE3"/>
    <w:rsid w:val="00392DEF"/>
    <w:rsid w:val="00393382"/>
    <w:rsid w:val="003935E0"/>
    <w:rsid w:val="00393615"/>
    <w:rsid w:val="00393797"/>
    <w:rsid w:val="00393AC1"/>
    <w:rsid w:val="003945FC"/>
    <w:rsid w:val="003960E8"/>
    <w:rsid w:val="00396164"/>
    <w:rsid w:val="00396706"/>
    <w:rsid w:val="00396B90"/>
    <w:rsid w:val="00396EA2"/>
    <w:rsid w:val="00397BCD"/>
    <w:rsid w:val="00397D3D"/>
    <w:rsid w:val="00397E78"/>
    <w:rsid w:val="003A0406"/>
    <w:rsid w:val="003A094C"/>
    <w:rsid w:val="003A0F88"/>
    <w:rsid w:val="003A11E5"/>
    <w:rsid w:val="003A12C6"/>
    <w:rsid w:val="003A1717"/>
    <w:rsid w:val="003A2589"/>
    <w:rsid w:val="003A2690"/>
    <w:rsid w:val="003A290D"/>
    <w:rsid w:val="003A2AEB"/>
    <w:rsid w:val="003A3091"/>
    <w:rsid w:val="003A4352"/>
    <w:rsid w:val="003A5100"/>
    <w:rsid w:val="003A5711"/>
    <w:rsid w:val="003A591B"/>
    <w:rsid w:val="003A5E16"/>
    <w:rsid w:val="003A6539"/>
    <w:rsid w:val="003A6768"/>
    <w:rsid w:val="003A68A8"/>
    <w:rsid w:val="003A6CB0"/>
    <w:rsid w:val="003A703A"/>
    <w:rsid w:val="003A7575"/>
    <w:rsid w:val="003A794A"/>
    <w:rsid w:val="003A7F1E"/>
    <w:rsid w:val="003A7F6B"/>
    <w:rsid w:val="003B0ED6"/>
    <w:rsid w:val="003B184E"/>
    <w:rsid w:val="003B198D"/>
    <w:rsid w:val="003B1AA8"/>
    <w:rsid w:val="003B1B84"/>
    <w:rsid w:val="003B1F11"/>
    <w:rsid w:val="003B25A5"/>
    <w:rsid w:val="003B2776"/>
    <w:rsid w:val="003B3CAE"/>
    <w:rsid w:val="003B45BD"/>
    <w:rsid w:val="003B48B5"/>
    <w:rsid w:val="003B4BB4"/>
    <w:rsid w:val="003B524D"/>
    <w:rsid w:val="003B5773"/>
    <w:rsid w:val="003B5D24"/>
    <w:rsid w:val="003B77AC"/>
    <w:rsid w:val="003B796F"/>
    <w:rsid w:val="003C0549"/>
    <w:rsid w:val="003C094A"/>
    <w:rsid w:val="003C09C6"/>
    <w:rsid w:val="003C0D60"/>
    <w:rsid w:val="003C0D88"/>
    <w:rsid w:val="003C362E"/>
    <w:rsid w:val="003C3AE5"/>
    <w:rsid w:val="003C3D24"/>
    <w:rsid w:val="003C42FC"/>
    <w:rsid w:val="003C43AE"/>
    <w:rsid w:val="003C4530"/>
    <w:rsid w:val="003C4728"/>
    <w:rsid w:val="003C4A73"/>
    <w:rsid w:val="003C7A29"/>
    <w:rsid w:val="003C7CFF"/>
    <w:rsid w:val="003C7D40"/>
    <w:rsid w:val="003D009F"/>
    <w:rsid w:val="003D028B"/>
    <w:rsid w:val="003D0393"/>
    <w:rsid w:val="003D03BC"/>
    <w:rsid w:val="003D0750"/>
    <w:rsid w:val="003D0A32"/>
    <w:rsid w:val="003D0AE9"/>
    <w:rsid w:val="003D0FD8"/>
    <w:rsid w:val="003D0FFB"/>
    <w:rsid w:val="003D2D9E"/>
    <w:rsid w:val="003D2E92"/>
    <w:rsid w:val="003D3467"/>
    <w:rsid w:val="003D3665"/>
    <w:rsid w:val="003D3BDA"/>
    <w:rsid w:val="003D3FA8"/>
    <w:rsid w:val="003D4FC0"/>
    <w:rsid w:val="003D6051"/>
    <w:rsid w:val="003D7890"/>
    <w:rsid w:val="003D79E0"/>
    <w:rsid w:val="003D7BFE"/>
    <w:rsid w:val="003E08FB"/>
    <w:rsid w:val="003E10E2"/>
    <w:rsid w:val="003E1C78"/>
    <w:rsid w:val="003E2C30"/>
    <w:rsid w:val="003E3C3A"/>
    <w:rsid w:val="003E457F"/>
    <w:rsid w:val="003E4FCE"/>
    <w:rsid w:val="003E5692"/>
    <w:rsid w:val="003E61F5"/>
    <w:rsid w:val="003E644A"/>
    <w:rsid w:val="003E683D"/>
    <w:rsid w:val="003E68DD"/>
    <w:rsid w:val="003E75D8"/>
    <w:rsid w:val="003E78ED"/>
    <w:rsid w:val="003E7CFE"/>
    <w:rsid w:val="003F01D5"/>
    <w:rsid w:val="003F046B"/>
    <w:rsid w:val="003F1AAC"/>
    <w:rsid w:val="003F2178"/>
    <w:rsid w:val="003F22BB"/>
    <w:rsid w:val="003F2688"/>
    <w:rsid w:val="003F29E5"/>
    <w:rsid w:val="003F2D0C"/>
    <w:rsid w:val="003F3DFB"/>
    <w:rsid w:val="003F4076"/>
    <w:rsid w:val="003F49E5"/>
    <w:rsid w:val="003F4A0D"/>
    <w:rsid w:val="003F517D"/>
    <w:rsid w:val="003F60FC"/>
    <w:rsid w:val="003F6853"/>
    <w:rsid w:val="003F6D2B"/>
    <w:rsid w:val="003F799C"/>
    <w:rsid w:val="004000C5"/>
    <w:rsid w:val="00400349"/>
    <w:rsid w:val="004009B4"/>
    <w:rsid w:val="00400ABC"/>
    <w:rsid w:val="00401484"/>
    <w:rsid w:val="004015CD"/>
    <w:rsid w:val="004016CB"/>
    <w:rsid w:val="00402283"/>
    <w:rsid w:val="004051B5"/>
    <w:rsid w:val="00405595"/>
    <w:rsid w:val="00405701"/>
    <w:rsid w:val="00407332"/>
    <w:rsid w:val="00407528"/>
    <w:rsid w:val="00407708"/>
    <w:rsid w:val="0040782C"/>
    <w:rsid w:val="004078AE"/>
    <w:rsid w:val="00407D66"/>
    <w:rsid w:val="00413EE2"/>
    <w:rsid w:val="00414AA9"/>
    <w:rsid w:val="004150F3"/>
    <w:rsid w:val="004153D8"/>
    <w:rsid w:val="00415E08"/>
    <w:rsid w:val="004167C7"/>
    <w:rsid w:val="00416D96"/>
    <w:rsid w:val="004170C7"/>
    <w:rsid w:val="00417C42"/>
    <w:rsid w:val="00417EF6"/>
    <w:rsid w:val="004202CD"/>
    <w:rsid w:val="00421136"/>
    <w:rsid w:val="0042191D"/>
    <w:rsid w:val="00421C7E"/>
    <w:rsid w:val="004223C0"/>
    <w:rsid w:val="00422403"/>
    <w:rsid w:val="0042240A"/>
    <w:rsid w:val="004224A2"/>
    <w:rsid w:val="004228C8"/>
    <w:rsid w:val="00422AA2"/>
    <w:rsid w:val="00422D2A"/>
    <w:rsid w:val="00422D2C"/>
    <w:rsid w:val="00423327"/>
    <w:rsid w:val="0042343D"/>
    <w:rsid w:val="004234AC"/>
    <w:rsid w:val="00423A2B"/>
    <w:rsid w:val="00423D80"/>
    <w:rsid w:val="00423E8D"/>
    <w:rsid w:val="00424759"/>
    <w:rsid w:val="00425232"/>
    <w:rsid w:val="00426192"/>
    <w:rsid w:val="00426909"/>
    <w:rsid w:val="004269B1"/>
    <w:rsid w:val="004272E8"/>
    <w:rsid w:val="0042750D"/>
    <w:rsid w:val="00427FC3"/>
    <w:rsid w:val="0043080E"/>
    <w:rsid w:val="00430C96"/>
    <w:rsid w:val="0043136B"/>
    <w:rsid w:val="00432ACB"/>
    <w:rsid w:val="00432E77"/>
    <w:rsid w:val="00433235"/>
    <w:rsid w:val="00433873"/>
    <w:rsid w:val="004349B5"/>
    <w:rsid w:val="00436591"/>
    <w:rsid w:val="00437043"/>
    <w:rsid w:val="004370D9"/>
    <w:rsid w:val="00437294"/>
    <w:rsid w:val="0043738A"/>
    <w:rsid w:val="0043778E"/>
    <w:rsid w:val="00437AB7"/>
    <w:rsid w:val="00437BF1"/>
    <w:rsid w:val="004408A6"/>
    <w:rsid w:val="00440BD6"/>
    <w:rsid w:val="0044158B"/>
    <w:rsid w:val="004426B7"/>
    <w:rsid w:val="00442E5D"/>
    <w:rsid w:val="0044470C"/>
    <w:rsid w:val="00444BF4"/>
    <w:rsid w:val="004456D0"/>
    <w:rsid w:val="00446181"/>
    <w:rsid w:val="00446316"/>
    <w:rsid w:val="00447783"/>
    <w:rsid w:val="00447E0D"/>
    <w:rsid w:val="004501CD"/>
    <w:rsid w:val="004507B6"/>
    <w:rsid w:val="004515CD"/>
    <w:rsid w:val="00451C7E"/>
    <w:rsid w:val="004527B4"/>
    <w:rsid w:val="004529D5"/>
    <w:rsid w:val="00453431"/>
    <w:rsid w:val="00453B82"/>
    <w:rsid w:val="00454241"/>
    <w:rsid w:val="00454552"/>
    <w:rsid w:val="00455843"/>
    <w:rsid w:val="00455F10"/>
    <w:rsid w:val="00456671"/>
    <w:rsid w:val="004567BB"/>
    <w:rsid w:val="00456E28"/>
    <w:rsid w:val="0045756E"/>
    <w:rsid w:val="00461023"/>
    <w:rsid w:val="00461080"/>
    <w:rsid w:val="00461BF7"/>
    <w:rsid w:val="00462E95"/>
    <w:rsid w:val="004636BD"/>
    <w:rsid w:val="004637B5"/>
    <w:rsid w:val="00463932"/>
    <w:rsid w:val="0046397E"/>
    <w:rsid w:val="004644EB"/>
    <w:rsid w:val="00464CC6"/>
    <w:rsid w:val="00465492"/>
    <w:rsid w:val="0046596B"/>
    <w:rsid w:val="00465F8E"/>
    <w:rsid w:val="0046618E"/>
    <w:rsid w:val="00466BCF"/>
    <w:rsid w:val="00467C0B"/>
    <w:rsid w:val="004702EE"/>
    <w:rsid w:val="004705AB"/>
    <w:rsid w:val="004705B0"/>
    <w:rsid w:val="004706E2"/>
    <w:rsid w:val="00470D31"/>
    <w:rsid w:val="00471003"/>
    <w:rsid w:val="00471329"/>
    <w:rsid w:val="00471FF2"/>
    <w:rsid w:val="004720D9"/>
    <w:rsid w:val="004720DD"/>
    <w:rsid w:val="0047234A"/>
    <w:rsid w:val="0047287D"/>
    <w:rsid w:val="00472A63"/>
    <w:rsid w:val="00472ADC"/>
    <w:rsid w:val="00473ABB"/>
    <w:rsid w:val="0047413D"/>
    <w:rsid w:val="00475BC3"/>
    <w:rsid w:val="00475C95"/>
    <w:rsid w:val="00476118"/>
    <w:rsid w:val="00476448"/>
    <w:rsid w:val="00476AFD"/>
    <w:rsid w:val="00477151"/>
    <w:rsid w:val="00477433"/>
    <w:rsid w:val="00477458"/>
    <w:rsid w:val="00477801"/>
    <w:rsid w:val="00477B36"/>
    <w:rsid w:val="00477C93"/>
    <w:rsid w:val="00477FBB"/>
    <w:rsid w:val="00480033"/>
    <w:rsid w:val="004806C0"/>
    <w:rsid w:val="00480A86"/>
    <w:rsid w:val="00480AF6"/>
    <w:rsid w:val="00480E6F"/>
    <w:rsid w:val="004815C0"/>
    <w:rsid w:val="00481CDF"/>
    <w:rsid w:val="00481F11"/>
    <w:rsid w:val="00482048"/>
    <w:rsid w:val="00482966"/>
    <w:rsid w:val="00482BEC"/>
    <w:rsid w:val="00482F17"/>
    <w:rsid w:val="00483E67"/>
    <w:rsid w:val="004843F7"/>
    <w:rsid w:val="004845E0"/>
    <w:rsid w:val="00484D11"/>
    <w:rsid w:val="00485CCF"/>
    <w:rsid w:val="00486C41"/>
    <w:rsid w:val="00486EA5"/>
    <w:rsid w:val="00486EC7"/>
    <w:rsid w:val="004876E3"/>
    <w:rsid w:val="004879D3"/>
    <w:rsid w:val="004914C9"/>
    <w:rsid w:val="0049178C"/>
    <w:rsid w:val="0049206D"/>
    <w:rsid w:val="004920B1"/>
    <w:rsid w:val="00492751"/>
    <w:rsid w:val="0049288C"/>
    <w:rsid w:val="00492E93"/>
    <w:rsid w:val="00493001"/>
    <w:rsid w:val="004936FD"/>
    <w:rsid w:val="00493A11"/>
    <w:rsid w:val="00493D52"/>
    <w:rsid w:val="00495018"/>
    <w:rsid w:val="004953A8"/>
    <w:rsid w:val="00495A01"/>
    <w:rsid w:val="00495EFC"/>
    <w:rsid w:val="004961E5"/>
    <w:rsid w:val="0049686C"/>
    <w:rsid w:val="004971C5"/>
    <w:rsid w:val="00497274"/>
    <w:rsid w:val="00497292"/>
    <w:rsid w:val="004A04CD"/>
    <w:rsid w:val="004A206E"/>
    <w:rsid w:val="004A2643"/>
    <w:rsid w:val="004A2A1A"/>
    <w:rsid w:val="004A3137"/>
    <w:rsid w:val="004A38AC"/>
    <w:rsid w:val="004A3B51"/>
    <w:rsid w:val="004A3B68"/>
    <w:rsid w:val="004A4152"/>
    <w:rsid w:val="004A41DE"/>
    <w:rsid w:val="004A47BC"/>
    <w:rsid w:val="004A50F3"/>
    <w:rsid w:val="004A527B"/>
    <w:rsid w:val="004A5441"/>
    <w:rsid w:val="004A61B3"/>
    <w:rsid w:val="004A6291"/>
    <w:rsid w:val="004A71B6"/>
    <w:rsid w:val="004A738B"/>
    <w:rsid w:val="004A79B5"/>
    <w:rsid w:val="004A7DD2"/>
    <w:rsid w:val="004B0154"/>
    <w:rsid w:val="004B059D"/>
    <w:rsid w:val="004B074D"/>
    <w:rsid w:val="004B0A5A"/>
    <w:rsid w:val="004B1238"/>
    <w:rsid w:val="004B14E8"/>
    <w:rsid w:val="004B1D95"/>
    <w:rsid w:val="004B2A9B"/>
    <w:rsid w:val="004B2AC7"/>
    <w:rsid w:val="004B41DE"/>
    <w:rsid w:val="004B50AD"/>
    <w:rsid w:val="004B6089"/>
    <w:rsid w:val="004B6502"/>
    <w:rsid w:val="004B6618"/>
    <w:rsid w:val="004B6A0A"/>
    <w:rsid w:val="004B72A0"/>
    <w:rsid w:val="004B79A5"/>
    <w:rsid w:val="004C02EA"/>
    <w:rsid w:val="004C05D4"/>
    <w:rsid w:val="004C1755"/>
    <w:rsid w:val="004C2106"/>
    <w:rsid w:val="004C21B6"/>
    <w:rsid w:val="004C21EE"/>
    <w:rsid w:val="004C27BE"/>
    <w:rsid w:val="004C29B6"/>
    <w:rsid w:val="004C39CF"/>
    <w:rsid w:val="004C3B27"/>
    <w:rsid w:val="004C3E9D"/>
    <w:rsid w:val="004C45F4"/>
    <w:rsid w:val="004C5536"/>
    <w:rsid w:val="004C5806"/>
    <w:rsid w:val="004C58C6"/>
    <w:rsid w:val="004C5B04"/>
    <w:rsid w:val="004C5F13"/>
    <w:rsid w:val="004C6B09"/>
    <w:rsid w:val="004C6FF9"/>
    <w:rsid w:val="004C726E"/>
    <w:rsid w:val="004D0A72"/>
    <w:rsid w:val="004D0C3D"/>
    <w:rsid w:val="004D0CC9"/>
    <w:rsid w:val="004D1CA4"/>
    <w:rsid w:val="004D1FDB"/>
    <w:rsid w:val="004D30F6"/>
    <w:rsid w:val="004D3252"/>
    <w:rsid w:val="004D3ACB"/>
    <w:rsid w:val="004D3E39"/>
    <w:rsid w:val="004D4BEC"/>
    <w:rsid w:val="004D5B5C"/>
    <w:rsid w:val="004D63AA"/>
    <w:rsid w:val="004D6703"/>
    <w:rsid w:val="004D689F"/>
    <w:rsid w:val="004D69B6"/>
    <w:rsid w:val="004D69DF"/>
    <w:rsid w:val="004D6C00"/>
    <w:rsid w:val="004D6F45"/>
    <w:rsid w:val="004D71C4"/>
    <w:rsid w:val="004D794C"/>
    <w:rsid w:val="004E0118"/>
    <w:rsid w:val="004E060E"/>
    <w:rsid w:val="004E0625"/>
    <w:rsid w:val="004E17DE"/>
    <w:rsid w:val="004E1E28"/>
    <w:rsid w:val="004E2078"/>
    <w:rsid w:val="004E2358"/>
    <w:rsid w:val="004E23FC"/>
    <w:rsid w:val="004E30ED"/>
    <w:rsid w:val="004E3159"/>
    <w:rsid w:val="004E3561"/>
    <w:rsid w:val="004E37B6"/>
    <w:rsid w:val="004E3FCE"/>
    <w:rsid w:val="004E4101"/>
    <w:rsid w:val="004E4719"/>
    <w:rsid w:val="004E57B4"/>
    <w:rsid w:val="004E5AE9"/>
    <w:rsid w:val="004E5B57"/>
    <w:rsid w:val="004E794F"/>
    <w:rsid w:val="004E79CC"/>
    <w:rsid w:val="004F0150"/>
    <w:rsid w:val="004F0493"/>
    <w:rsid w:val="004F0673"/>
    <w:rsid w:val="004F098D"/>
    <w:rsid w:val="004F0F08"/>
    <w:rsid w:val="004F1E5F"/>
    <w:rsid w:val="004F2902"/>
    <w:rsid w:val="004F33CB"/>
    <w:rsid w:val="004F340B"/>
    <w:rsid w:val="004F34C6"/>
    <w:rsid w:val="004F3523"/>
    <w:rsid w:val="004F5759"/>
    <w:rsid w:val="004F5F06"/>
    <w:rsid w:val="004F62B8"/>
    <w:rsid w:val="004F6D27"/>
    <w:rsid w:val="004F6F97"/>
    <w:rsid w:val="004F7177"/>
    <w:rsid w:val="004F75F3"/>
    <w:rsid w:val="004F7DFD"/>
    <w:rsid w:val="0050007D"/>
    <w:rsid w:val="00501E67"/>
    <w:rsid w:val="00502DF0"/>
    <w:rsid w:val="005034F4"/>
    <w:rsid w:val="00503912"/>
    <w:rsid w:val="005050A7"/>
    <w:rsid w:val="00505481"/>
    <w:rsid w:val="00505D51"/>
    <w:rsid w:val="00505D56"/>
    <w:rsid w:val="0050607B"/>
    <w:rsid w:val="005063F7"/>
    <w:rsid w:val="005064B2"/>
    <w:rsid w:val="00506628"/>
    <w:rsid w:val="005068A5"/>
    <w:rsid w:val="005120A4"/>
    <w:rsid w:val="005127C4"/>
    <w:rsid w:val="00512B23"/>
    <w:rsid w:val="00512C24"/>
    <w:rsid w:val="00513521"/>
    <w:rsid w:val="00514626"/>
    <w:rsid w:val="0051545E"/>
    <w:rsid w:val="00515A82"/>
    <w:rsid w:val="0051653B"/>
    <w:rsid w:val="00517704"/>
    <w:rsid w:val="00521FA2"/>
    <w:rsid w:val="00521FE9"/>
    <w:rsid w:val="005220F9"/>
    <w:rsid w:val="005225A5"/>
    <w:rsid w:val="005226CF"/>
    <w:rsid w:val="005226DC"/>
    <w:rsid w:val="00522984"/>
    <w:rsid w:val="00522E9C"/>
    <w:rsid w:val="0052403B"/>
    <w:rsid w:val="0052467F"/>
    <w:rsid w:val="005252A4"/>
    <w:rsid w:val="00525658"/>
    <w:rsid w:val="005262C7"/>
    <w:rsid w:val="0052650E"/>
    <w:rsid w:val="00526775"/>
    <w:rsid w:val="00526895"/>
    <w:rsid w:val="00526BA0"/>
    <w:rsid w:val="00527A67"/>
    <w:rsid w:val="00527A7A"/>
    <w:rsid w:val="00530480"/>
    <w:rsid w:val="00530880"/>
    <w:rsid w:val="00530B65"/>
    <w:rsid w:val="00531CDF"/>
    <w:rsid w:val="00531EF6"/>
    <w:rsid w:val="005324A8"/>
    <w:rsid w:val="00534693"/>
    <w:rsid w:val="0053493C"/>
    <w:rsid w:val="00534E71"/>
    <w:rsid w:val="0053536B"/>
    <w:rsid w:val="00535857"/>
    <w:rsid w:val="00536959"/>
    <w:rsid w:val="00537439"/>
    <w:rsid w:val="005404E6"/>
    <w:rsid w:val="00540807"/>
    <w:rsid w:val="00540B80"/>
    <w:rsid w:val="00540D78"/>
    <w:rsid w:val="00541DCF"/>
    <w:rsid w:val="00541E0D"/>
    <w:rsid w:val="00542128"/>
    <w:rsid w:val="005425FD"/>
    <w:rsid w:val="00542F26"/>
    <w:rsid w:val="00544AE4"/>
    <w:rsid w:val="00544B2B"/>
    <w:rsid w:val="005454EE"/>
    <w:rsid w:val="00545768"/>
    <w:rsid w:val="005458E5"/>
    <w:rsid w:val="005459B0"/>
    <w:rsid w:val="00545AE0"/>
    <w:rsid w:val="00545D61"/>
    <w:rsid w:val="00545DF3"/>
    <w:rsid w:val="00545F7F"/>
    <w:rsid w:val="00546AEC"/>
    <w:rsid w:val="00547576"/>
    <w:rsid w:val="00547958"/>
    <w:rsid w:val="00547A63"/>
    <w:rsid w:val="00550131"/>
    <w:rsid w:val="00550961"/>
    <w:rsid w:val="00551977"/>
    <w:rsid w:val="00551DFC"/>
    <w:rsid w:val="00551EE6"/>
    <w:rsid w:val="0055228A"/>
    <w:rsid w:val="0055277B"/>
    <w:rsid w:val="005527E3"/>
    <w:rsid w:val="0055334F"/>
    <w:rsid w:val="005535AB"/>
    <w:rsid w:val="005540A7"/>
    <w:rsid w:val="0055461E"/>
    <w:rsid w:val="00555178"/>
    <w:rsid w:val="005556F0"/>
    <w:rsid w:val="00555EB3"/>
    <w:rsid w:val="00556000"/>
    <w:rsid w:val="00556550"/>
    <w:rsid w:val="00556740"/>
    <w:rsid w:val="00556826"/>
    <w:rsid w:val="005575B9"/>
    <w:rsid w:val="00557B19"/>
    <w:rsid w:val="00560813"/>
    <w:rsid w:val="00560F35"/>
    <w:rsid w:val="005617DB"/>
    <w:rsid w:val="00561899"/>
    <w:rsid w:val="005618ED"/>
    <w:rsid w:val="00561A79"/>
    <w:rsid w:val="00562138"/>
    <w:rsid w:val="005628AB"/>
    <w:rsid w:val="005638B9"/>
    <w:rsid w:val="00563F2C"/>
    <w:rsid w:val="00564073"/>
    <w:rsid w:val="0056410B"/>
    <w:rsid w:val="005647D5"/>
    <w:rsid w:val="00564E51"/>
    <w:rsid w:val="0056662F"/>
    <w:rsid w:val="005675F2"/>
    <w:rsid w:val="0057020F"/>
    <w:rsid w:val="005705AA"/>
    <w:rsid w:val="00571C3A"/>
    <w:rsid w:val="005723F5"/>
    <w:rsid w:val="0057285D"/>
    <w:rsid w:val="00572B2B"/>
    <w:rsid w:val="00572EB7"/>
    <w:rsid w:val="005736C0"/>
    <w:rsid w:val="00573893"/>
    <w:rsid w:val="00573FD7"/>
    <w:rsid w:val="0057412D"/>
    <w:rsid w:val="00574416"/>
    <w:rsid w:val="00574F0C"/>
    <w:rsid w:val="005750AC"/>
    <w:rsid w:val="00575209"/>
    <w:rsid w:val="00575810"/>
    <w:rsid w:val="0057628E"/>
    <w:rsid w:val="0057631A"/>
    <w:rsid w:val="00576DB9"/>
    <w:rsid w:val="005776C7"/>
    <w:rsid w:val="005809F7"/>
    <w:rsid w:val="00580EB5"/>
    <w:rsid w:val="005811C1"/>
    <w:rsid w:val="00581B4A"/>
    <w:rsid w:val="00581E35"/>
    <w:rsid w:val="0058216B"/>
    <w:rsid w:val="00582856"/>
    <w:rsid w:val="00582EA7"/>
    <w:rsid w:val="005849E4"/>
    <w:rsid w:val="00584B15"/>
    <w:rsid w:val="00585284"/>
    <w:rsid w:val="005854AD"/>
    <w:rsid w:val="00585D8F"/>
    <w:rsid w:val="00586410"/>
    <w:rsid w:val="00586E70"/>
    <w:rsid w:val="00587204"/>
    <w:rsid w:val="005873B7"/>
    <w:rsid w:val="005874E7"/>
    <w:rsid w:val="00587778"/>
    <w:rsid w:val="00590E3D"/>
    <w:rsid w:val="00591235"/>
    <w:rsid w:val="00593488"/>
    <w:rsid w:val="0059389E"/>
    <w:rsid w:val="005938B2"/>
    <w:rsid w:val="00593C4B"/>
    <w:rsid w:val="00594345"/>
    <w:rsid w:val="00594E59"/>
    <w:rsid w:val="00594E70"/>
    <w:rsid w:val="00595085"/>
    <w:rsid w:val="005950BF"/>
    <w:rsid w:val="005950CE"/>
    <w:rsid w:val="00595511"/>
    <w:rsid w:val="00595B99"/>
    <w:rsid w:val="00596F12"/>
    <w:rsid w:val="005970D8"/>
    <w:rsid w:val="005975EF"/>
    <w:rsid w:val="005A00C3"/>
    <w:rsid w:val="005A02E1"/>
    <w:rsid w:val="005A04C2"/>
    <w:rsid w:val="005A0A77"/>
    <w:rsid w:val="005A15D2"/>
    <w:rsid w:val="005A1DFB"/>
    <w:rsid w:val="005A21CD"/>
    <w:rsid w:val="005A251D"/>
    <w:rsid w:val="005A2E30"/>
    <w:rsid w:val="005A2F5B"/>
    <w:rsid w:val="005A2FB7"/>
    <w:rsid w:val="005A3FC7"/>
    <w:rsid w:val="005A4140"/>
    <w:rsid w:val="005A4BF4"/>
    <w:rsid w:val="005A4BFF"/>
    <w:rsid w:val="005A5196"/>
    <w:rsid w:val="005A5539"/>
    <w:rsid w:val="005A5A8F"/>
    <w:rsid w:val="005A6299"/>
    <w:rsid w:val="005A6CA8"/>
    <w:rsid w:val="005A709F"/>
    <w:rsid w:val="005A7825"/>
    <w:rsid w:val="005A7C36"/>
    <w:rsid w:val="005A7F46"/>
    <w:rsid w:val="005B0766"/>
    <w:rsid w:val="005B08F3"/>
    <w:rsid w:val="005B0C41"/>
    <w:rsid w:val="005B0C4E"/>
    <w:rsid w:val="005B0DA4"/>
    <w:rsid w:val="005B220F"/>
    <w:rsid w:val="005B4174"/>
    <w:rsid w:val="005B4330"/>
    <w:rsid w:val="005B4B67"/>
    <w:rsid w:val="005B4E52"/>
    <w:rsid w:val="005B4ECA"/>
    <w:rsid w:val="005B54D5"/>
    <w:rsid w:val="005B581F"/>
    <w:rsid w:val="005B5B99"/>
    <w:rsid w:val="005B5E9A"/>
    <w:rsid w:val="005B785D"/>
    <w:rsid w:val="005B7B08"/>
    <w:rsid w:val="005B7B86"/>
    <w:rsid w:val="005B7BBD"/>
    <w:rsid w:val="005B7BC1"/>
    <w:rsid w:val="005B7EF8"/>
    <w:rsid w:val="005C065B"/>
    <w:rsid w:val="005C241C"/>
    <w:rsid w:val="005C246C"/>
    <w:rsid w:val="005C2536"/>
    <w:rsid w:val="005C2EA4"/>
    <w:rsid w:val="005C34B9"/>
    <w:rsid w:val="005C3D5F"/>
    <w:rsid w:val="005C4284"/>
    <w:rsid w:val="005C4ED2"/>
    <w:rsid w:val="005C50AD"/>
    <w:rsid w:val="005C5136"/>
    <w:rsid w:val="005C5492"/>
    <w:rsid w:val="005C5CEA"/>
    <w:rsid w:val="005C5F68"/>
    <w:rsid w:val="005C632D"/>
    <w:rsid w:val="005C6D3D"/>
    <w:rsid w:val="005C79FD"/>
    <w:rsid w:val="005D020F"/>
    <w:rsid w:val="005D0638"/>
    <w:rsid w:val="005D16FE"/>
    <w:rsid w:val="005D3198"/>
    <w:rsid w:val="005D40DF"/>
    <w:rsid w:val="005D4E0C"/>
    <w:rsid w:val="005D4E11"/>
    <w:rsid w:val="005D528D"/>
    <w:rsid w:val="005D5695"/>
    <w:rsid w:val="005D5F82"/>
    <w:rsid w:val="005D731C"/>
    <w:rsid w:val="005D7F8C"/>
    <w:rsid w:val="005E0372"/>
    <w:rsid w:val="005E09DB"/>
    <w:rsid w:val="005E0F22"/>
    <w:rsid w:val="005E194E"/>
    <w:rsid w:val="005E20EF"/>
    <w:rsid w:val="005E24AE"/>
    <w:rsid w:val="005E3824"/>
    <w:rsid w:val="005E3974"/>
    <w:rsid w:val="005E3B64"/>
    <w:rsid w:val="005E3C84"/>
    <w:rsid w:val="005E3DFB"/>
    <w:rsid w:val="005E6DC5"/>
    <w:rsid w:val="005E767E"/>
    <w:rsid w:val="005E796B"/>
    <w:rsid w:val="005F05B2"/>
    <w:rsid w:val="005F07A2"/>
    <w:rsid w:val="005F089C"/>
    <w:rsid w:val="005F182C"/>
    <w:rsid w:val="005F1B9E"/>
    <w:rsid w:val="005F2870"/>
    <w:rsid w:val="005F2B37"/>
    <w:rsid w:val="005F3F80"/>
    <w:rsid w:val="005F586F"/>
    <w:rsid w:val="005F6C82"/>
    <w:rsid w:val="005F723D"/>
    <w:rsid w:val="005F743D"/>
    <w:rsid w:val="005F7AF3"/>
    <w:rsid w:val="00601577"/>
    <w:rsid w:val="006016D1"/>
    <w:rsid w:val="0060185C"/>
    <w:rsid w:val="00601DFF"/>
    <w:rsid w:val="00601E92"/>
    <w:rsid w:val="00602381"/>
    <w:rsid w:val="00602E5F"/>
    <w:rsid w:val="00603203"/>
    <w:rsid w:val="006035B5"/>
    <w:rsid w:val="006037F0"/>
    <w:rsid w:val="00604626"/>
    <w:rsid w:val="00604846"/>
    <w:rsid w:val="0060496E"/>
    <w:rsid w:val="00604B47"/>
    <w:rsid w:val="00605853"/>
    <w:rsid w:val="0060596B"/>
    <w:rsid w:val="00605B3D"/>
    <w:rsid w:val="00606771"/>
    <w:rsid w:val="006068AF"/>
    <w:rsid w:val="00606C54"/>
    <w:rsid w:val="00607A14"/>
    <w:rsid w:val="00610362"/>
    <w:rsid w:val="00610DAD"/>
    <w:rsid w:val="00612A39"/>
    <w:rsid w:val="00612DAE"/>
    <w:rsid w:val="00612F34"/>
    <w:rsid w:val="00614592"/>
    <w:rsid w:val="00614924"/>
    <w:rsid w:val="00614B3E"/>
    <w:rsid w:val="00616499"/>
    <w:rsid w:val="00617958"/>
    <w:rsid w:val="006200AF"/>
    <w:rsid w:val="00620466"/>
    <w:rsid w:val="00620E13"/>
    <w:rsid w:val="006213E8"/>
    <w:rsid w:val="006243A5"/>
    <w:rsid w:val="00624F92"/>
    <w:rsid w:val="006250DF"/>
    <w:rsid w:val="0062518A"/>
    <w:rsid w:val="00625445"/>
    <w:rsid w:val="0062612F"/>
    <w:rsid w:val="00627FCF"/>
    <w:rsid w:val="0063010B"/>
    <w:rsid w:val="00631A12"/>
    <w:rsid w:val="006321AC"/>
    <w:rsid w:val="006325EE"/>
    <w:rsid w:val="0063281F"/>
    <w:rsid w:val="00633A2A"/>
    <w:rsid w:val="006342F9"/>
    <w:rsid w:val="0063470F"/>
    <w:rsid w:val="0063478C"/>
    <w:rsid w:val="00634BCB"/>
    <w:rsid w:val="006353C5"/>
    <w:rsid w:val="00635418"/>
    <w:rsid w:val="006356CF"/>
    <w:rsid w:val="00635D7F"/>
    <w:rsid w:val="006360C0"/>
    <w:rsid w:val="00636E66"/>
    <w:rsid w:val="00637496"/>
    <w:rsid w:val="00637A95"/>
    <w:rsid w:val="00637C19"/>
    <w:rsid w:val="00637FE8"/>
    <w:rsid w:val="006419A8"/>
    <w:rsid w:val="006420EB"/>
    <w:rsid w:val="006423C9"/>
    <w:rsid w:val="006424BC"/>
    <w:rsid w:val="00643AA8"/>
    <w:rsid w:val="00644325"/>
    <w:rsid w:val="00644546"/>
    <w:rsid w:val="00644A3B"/>
    <w:rsid w:val="00646D55"/>
    <w:rsid w:val="00646F9C"/>
    <w:rsid w:val="00647197"/>
    <w:rsid w:val="00647492"/>
    <w:rsid w:val="00647569"/>
    <w:rsid w:val="00647930"/>
    <w:rsid w:val="006500C2"/>
    <w:rsid w:val="00650F73"/>
    <w:rsid w:val="0065145F"/>
    <w:rsid w:val="00652792"/>
    <w:rsid w:val="00653063"/>
    <w:rsid w:val="00653148"/>
    <w:rsid w:val="00653715"/>
    <w:rsid w:val="00653B6C"/>
    <w:rsid w:val="00653BE3"/>
    <w:rsid w:val="006549FC"/>
    <w:rsid w:val="00654ABF"/>
    <w:rsid w:val="00654D49"/>
    <w:rsid w:val="00655259"/>
    <w:rsid w:val="006554ED"/>
    <w:rsid w:val="006554FF"/>
    <w:rsid w:val="0065559A"/>
    <w:rsid w:val="00655D11"/>
    <w:rsid w:val="00655D4C"/>
    <w:rsid w:val="006563C3"/>
    <w:rsid w:val="00657274"/>
    <w:rsid w:val="006578EF"/>
    <w:rsid w:val="006578FA"/>
    <w:rsid w:val="00660808"/>
    <w:rsid w:val="00660A51"/>
    <w:rsid w:val="0066221A"/>
    <w:rsid w:val="006623B7"/>
    <w:rsid w:val="00662D1D"/>
    <w:rsid w:val="00662FFA"/>
    <w:rsid w:val="006633A0"/>
    <w:rsid w:val="00663630"/>
    <w:rsid w:val="006640F2"/>
    <w:rsid w:val="00664285"/>
    <w:rsid w:val="00664A4F"/>
    <w:rsid w:val="00664A7F"/>
    <w:rsid w:val="0066566E"/>
    <w:rsid w:val="00665D06"/>
    <w:rsid w:val="00666070"/>
    <w:rsid w:val="006668F6"/>
    <w:rsid w:val="00666BBE"/>
    <w:rsid w:val="00667CA9"/>
    <w:rsid w:val="0067033E"/>
    <w:rsid w:val="00670393"/>
    <w:rsid w:val="006703D0"/>
    <w:rsid w:val="00670BE0"/>
    <w:rsid w:val="006713E1"/>
    <w:rsid w:val="00671680"/>
    <w:rsid w:val="00671844"/>
    <w:rsid w:val="00671A20"/>
    <w:rsid w:val="00671DB7"/>
    <w:rsid w:val="00673502"/>
    <w:rsid w:val="00673564"/>
    <w:rsid w:val="0067369B"/>
    <w:rsid w:val="00673D43"/>
    <w:rsid w:val="00674215"/>
    <w:rsid w:val="0067447C"/>
    <w:rsid w:val="00675653"/>
    <w:rsid w:val="00675B17"/>
    <w:rsid w:val="00675C4C"/>
    <w:rsid w:val="00675DA3"/>
    <w:rsid w:val="0067705A"/>
    <w:rsid w:val="00677567"/>
    <w:rsid w:val="0067767A"/>
    <w:rsid w:val="006805BD"/>
    <w:rsid w:val="006810C3"/>
    <w:rsid w:val="00681D30"/>
    <w:rsid w:val="00682999"/>
    <w:rsid w:val="006837D7"/>
    <w:rsid w:val="00683A8E"/>
    <w:rsid w:val="00684AF9"/>
    <w:rsid w:val="00684C25"/>
    <w:rsid w:val="00685D7A"/>
    <w:rsid w:val="00685F35"/>
    <w:rsid w:val="0068655E"/>
    <w:rsid w:val="006905A5"/>
    <w:rsid w:val="006908FB"/>
    <w:rsid w:val="006909A9"/>
    <w:rsid w:val="00691306"/>
    <w:rsid w:val="00691D6A"/>
    <w:rsid w:val="00692E7E"/>
    <w:rsid w:val="00693CC3"/>
    <w:rsid w:val="0069404E"/>
    <w:rsid w:val="00694932"/>
    <w:rsid w:val="00694D90"/>
    <w:rsid w:val="00695282"/>
    <w:rsid w:val="00695758"/>
    <w:rsid w:val="00695B00"/>
    <w:rsid w:val="00696062"/>
    <w:rsid w:val="00696571"/>
    <w:rsid w:val="006972B1"/>
    <w:rsid w:val="006974FE"/>
    <w:rsid w:val="006978BD"/>
    <w:rsid w:val="00697EA5"/>
    <w:rsid w:val="006A06A4"/>
    <w:rsid w:val="006A19D6"/>
    <w:rsid w:val="006A1ADA"/>
    <w:rsid w:val="006A1ED1"/>
    <w:rsid w:val="006A2266"/>
    <w:rsid w:val="006A242F"/>
    <w:rsid w:val="006A302D"/>
    <w:rsid w:val="006A35D3"/>
    <w:rsid w:val="006A3B32"/>
    <w:rsid w:val="006A3F50"/>
    <w:rsid w:val="006A4B99"/>
    <w:rsid w:val="006A4BEC"/>
    <w:rsid w:val="006A51C3"/>
    <w:rsid w:val="006A54E6"/>
    <w:rsid w:val="006A637B"/>
    <w:rsid w:val="006A67B9"/>
    <w:rsid w:val="006A680F"/>
    <w:rsid w:val="006A6CAF"/>
    <w:rsid w:val="006A6CCE"/>
    <w:rsid w:val="006A6E57"/>
    <w:rsid w:val="006A776A"/>
    <w:rsid w:val="006A79C7"/>
    <w:rsid w:val="006A7BE6"/>
    <w:rsid w:val="006B0214"/>
    <w:rsid w:val="006B1226"/>
    <w:rsid w:val="006B1233"/>
    <w:rsid w:val="006B14E0"/>
    <w:rsid w:val="006B1B7D"/>
    <w:rsid w:val="006B26E6"/>
    <w:rsid w:val="006B3602"/>
    <w:rsid w:val="006B3E6E"/>
    <w:rsid w:val="006B3F20"/>
    <w:rsid w:val="006B479B"/>
    <w:rsid w:val="006B630F"/>
    <w:rsid w:val="006B6441"/>
    <w:rsid w:val="006B7AEB"/>
    <w:rsid w:val="006C080E"/>
    <w:rsid w:val="006C1A2C"/>
    <w:rsid w:val="006C26A0"/>
    <w:rsid w:val="006C28BB"/>
    <w:rsid w:val="006C28C9"/>
    <w:rsid w:val="006C2928"/>
    <w:rsid w:val="006C2ACC"/>
    <w:rsid w:val="006C30D3"/>
    <w:rsid w:val="006C39C1"/>
    <w:rsid w:val="006C4AFA"/>
    <w:rsid w:val="006C53B7"/>
    <w:rsid w:val="006C5DB9"/>
    <w:rsid w:val="006C6129"/>
    <w:rsid w:val="006C65BB"/>
    <w:rsid w:val="006C73E6"/>
    <w:rsid w:val="006C7C00"/>
    <w:rsid w:val="006D00BF"/>
    <w:rsid w:val="006D015D"/>
    <w:rsid w:val="006D092E"/>
    <w:rsid w:val="006D18FD"/>
    <w:rsid w:val="006D22C3"/>
    <w:rsid w:val="006D232F"/>
    <w:rsid w:val="006D2764"/>
    <w:rsid w:val="006D34B6"/>
    <w:rsid w:val="006D36CE"/>
    <w:rsid w:val="006D49FA"/>
    <w:rsid w:val="006D4AC0"/>
    <w:rsid w:val="006D4D79"/>
    <w:rsid w:val="006D617D"/>
    <w:rsid w:val="006D6CCD"/>
    <w:rsid w:val="006D7C6F"/>
    <w:rsid w:val="006D7F48"/>
    <w:rsid w:val="006E04BD"/>
    <w:rsid w:val="006E058C"/>
    <w:rsid w:val="006E070D"/>
    <w:rsid w:val="006E0AD9"/>
    <w:rsid w:val="006E0CD6"/>
    <w:rsid w:val="006E0CD9"/>
    <w:rsid w:val="006E1230"/>
    <w:rsid w:val="006E12AD"/>
    <w:rsid w:val="006E26C9"/>
    <w:rsid w:val="006E3532"/>
    <w:rsid w:val="006E4C0A"/>
    <w:rsid w:val="006E55AE"/>
    <w:rsid w:val="006E6310"/>
    <w:rsid w:val="006E6A49"/>
    <w:rsid w:val="006E7553"/>
    <w:rsid w:val="006E75FD"/>
    <w:rsid w:val="006E76FC"/>
    <w:rsid w:val="006E7CDA"/>
    <w:rsid w:val="006F03B2"/>
    <w:rsid w:val="006F0AC4"/>
    <w:rsid w:val="006F12F9"/>
    <w:rsid w:val="006F169A"/>
    <w:rsid w:val="006F1ABD"/>
    <w:rsid w:val="006F4110"/>
    <w:rsid w:val="006F4259"/>
    <w:rsid w:val="006F434B"/>
    <w:rsid w:val="006F485C"/>
    <w:rsid w:val="006F4B75"/>
    <w:rsid w:val="006F520F"/>
    <w:rsid w:val="006F56EF"/>
    <w:rsid w:val="006F6683"/>
    <w:rsid w:val="006F6CD8"/>
    <w:rsid w:val="006F704F"/>
    <w:rsid w:val="006F7B2F"/>
    <w:rsid w:val="0070031C"/>
    <w:rsid w:val="0070077A"/>
    <w:rsid w:val="00702198"/>
    <w:rsid w:val="00702252"/>
    <w:rsid w:val="00702805"/>
    <w:rsid w:val="00702B47"/>
    <w:rsid w:val="00703815"/>
    <w:rsid w:val="00703A34"/>
    <w:rsid w:val="00705542"/>
    <w:rsid w:val="007059BE"/>
    <w:rsid w:val="00705C8B"/>
    <w:rsid w:val="00706169"/>
    <w:rsid w:val="0070789F"/>
    <w:rsid w:val="00710BB8"/>
    <w:rsid w:val="00710EE1"/>
    <w:rsid w:val="00711BA9"/>
    <w:rsid w:val="00711BE7"/>
    <w:rsid w:val="007124A7"/>
    <w:rsid w:val="00713388"/>
    <w:rsid w:val="00713E70"/>
    <w:rsid w:val="00713FBC"/>
    <w:rsid w:val="0071414D"/>
    <w:rsid w:val="0071448E"/>
    <w:rsid w:val="007146AC"/>
    <w:rsid w:val="00715ED3"/>
    <w:rsid w:val="00716787"/>
    <w:rsid w:val="007167CF"/>
    <w:rsid w:val="007168A2"/>
    <w:rsid w:val="007174C7"/>
    <w:rsid w:val="00717739"/>
    <w:rsid w:val="007177F5"/>
    <w:rsid w:val="00717CE2"/>
    <w:rsid w:val="0072080B"/>
    <w:rsid w:val="00721525"/>
    <w:rsid w:val="00721E3D"/>
    <w:rsid w:val="00722514"/>
    <w:rsid w:val="0072267E"/>
    <w:rsid w:val="00722B3E"/>
    <w:rsid w:val="00723946"/>
    <w:rsid w:val="00723975"/>
    <w:rsid w:val="00723F02"/>
    <w:rsid w:val="007247EC"/>
    <w:rsid w:val="0072498C"/>
    <w:rsid w:val="0072512F"/>
    <w:rsid w:val="00725ED6"/>
    <w:rsid w:val="0072620B"/>
    <w:rsid w:val="00726382"/>
    <w:rsid w:val="00726638"/>
    <w:rsid w:val="007268DA"/>
    <w:rsid w:val="00726EC6"/>
    <w:rsid w:val="007279E3"/>
    <w:rsid w:val="00730232"/>
    <w:rsid w:val="00730744"/>
    <w:rsid w:val="007312E0"/>
    <w:rsid w:val="00731B6E"/>
    <w:rsid w:val="00731D03"/>
    <w:rsid w:val="0073254B"/>
    <w:rsid w:val="0073278A"/>
    <w:rsid w:val="00732947"/>
    <w:rsid w:val="0073312A"/>
    <w:rsid w:val="00733F7C"/>
    <w:rsid w:val="00734104"/>
    <w:rsid w:val="007341AB"/>
    <w:rsid w:val="00734B14"/>
    <w:rsid w:val="00734CEE"/>
    <w:rsid w:val="0073573F"/>
    <w:rsid w:val="00735903"/>
    <w:rsid w:val="00735D6C"/>
    <w:rsid w:val="0073620F"/>
    <w:rsid w:val="00736413"/>
    <w:rsid w:val="00736713"/>
    <w:rsid w:val="00736B28"/>
    <w:rsid w:val="00736B31"/>
    <w:rsid w:val="007378F7"/>
    <w:rsid w:val="00737DA6"/>
    <w:rsid w:val="00737F5C"/>
    <w:rsid w:val="00741019"/>
    <w:rsid w:val="00741304"/>
    <w:rsid w:val="00741C09"/>
    <w:rsid w:val="007420E8"/>
    <w:rsid w:val="00743050"/>
    <w:rsid w:val="0074411C"/>
    <w:rsid w:val="0074571B"/>
    <w:rsid w:val="00745D40"/>
    <w:rsid w:val="00746183"/>
    <w:rsid w:val="00746934"/>
    <w:rsid w:val="00746EF0"/>
    <w:rsid w:val="00747D2D"/>
    <w:rsid w:val="00750B96"/>
    <w:rsid w:val="00750FBC"/>
    <w:rsid w:val="0075140E"/>
    <w:rsid w:val="007519CE"/>
    <w:rsid w:val="00752949"/>
    <w:rsid w:val="00752B37"/>
    <w:rsid w:val="0075331D"/>
    <w:rsid w:val="00753941"/>
    <w:rsid w:val="00753A09"/>
    <w:rsid w:val="00753C12"/>
    <w:rsid w:val="00753D6D"/>
    <w:rsid w:val="007541CA"/>
    <w:rsid w:val="007549FD"/>
    <w:rsid w:val="00754FDC"/>
    <w:rsid w:val="007550BF"/>
    <w:rsid w:val="007551A0"/>
    <w:rsid w:val="00755F28"/>
    <w:rsid w:val="00755F91"/>
    <w:rsid w:val="007561A0"/>
    <w:rsid w:val="00756387"/>
    <w:rsid w:val="00756A5E"/>
    <w:rsid w:val="007570D3"/>
    <w:rsid w:val="00757124"/>
    <w:rsid w:val="0076041E"/>
    <w:rsid w:val="007613C4"/>
    <w:rsid w:val="00761D86"/>
    <w:rsid w:val="00762025"/>
    <w:rsid w:val="00763D23"/>
    <w:rsid w:val="00764C9E"/>
    <w:rsid w:val="00766C54"/>
    <w:rsid w:val="00767055"/>
    <w:rsid w:val="0076705B"/>
    <w:rsid w:val="0076730B"/>
    <w:rsid w:val="00767504"/>
    <w:rsid w:val="00767763"/>
    <w:rsid w:val="00767E96"/>
    <w:rsid w:val="00770333"/>
    <w:rsid w:val="0077152B"/>
    <w:rsid w:val="007725C5"/>
    <w:rsid w:val="007734F6"/>
    <w:rsid w:val="00773A73"/>
    <w:rsid w:val="00773D0A"/>
    <w:rsid w:val="00774777"/>
    <w:rsid w:val="00774F46"/>
    <w:rsid w:val="0077597E"/>
    <w:rsid w:val="00776F50"/>
    <w:rsid w:val="00777665"/>
    <w:rsid w:val="007776AC"/>
    <w:rsid w:val="007806B0"/>
    <w:rsid w:val="007812FF"/>
    <w:rsid w:val="0078142A"/>
    <w:rsid w:val="00781A9B"/>
    <w:rsid w:val="00781B4C"/>
    <w:rsid w:val="00781F17"/>
    <w:rsid w:val="00782AD3"/>
    <w:rsid w:val="00782DDA"/>
    <w:rsid w:val="00782F77"/>
    <w:rsid w:val="00783A16"/>
    <w:rsid w:val="00784332"/>
    <w:rsid w:val="00784507"/>
    <w:rsid w:val="007846E8"/>
    <w:rsid w:val="00784E61"/>
    <w:rsid w:val="0078532E"/>
    <w:rsid w:val="00785B0F"/>
    <w:rsid w:val="00786111"/>
    <w:rsid w:val="00786832"/>
    <w:rsid w:val="00787539"/>
    <w:rsid w:val="0079038C"/>
    <w:rsid w:val="00790A3E"/>
    <w:rsid w:val="00790D1F"/>
    <w:rsid w:val="00790FA8"/>
    <w:rsid w:val="007916EC"/>
    <w:rsid w:val="00792010"/>
    <w:rsid w:val="0079244D"/>
    <w:rsid w:val="007924D2"/>
    <w:rsid w:val="007926FE"/>
    <w:rsid w:val="00793856"/>
    <w:rsid w:val="00794036"/>
    <w:rsid w:val="007957CD"/>
    <w:rsid w:val="00795834"/>
    <w:rsid w:val="00795CE7"/>
    <w:rsid w:val="0079658F"/>
    <w:rsid w:val="00796B31"/>
    <w:rsid w:val="00797BC1"/>
    <w:rsid w:val="007A04E5"/>
    <w:rsid w:val="007A0507"/>
    <w:rsid w:val="007A1476"/>
    <w:rsid w:val="007A2C9A"/>
    <w:rsid w:val="007A339C"/>
    <w:rsid w:val="007A38FB"/>
    <w:rsid w:val="007A3A9D"/>
    <w:rsid w:val="007A4768"/>
    <w:rsid w:val="007A4F5D"/>
    <w:rsid w:val="007A532C"/>
    <w:rsid w:val="007A578D"/>
    <w:rsid w:val="007A5DC9"/>
    <w:rsid w:val="007A6C45"/>
    <w:rsid w:val="007A6D8B"/>
    <w:rsid w:val="007A70A4"/>
    <w:rsid w:val="007A7857"/>
    <w:rsid w:val="007A7A75"/>
    <w:rsid w:val="007A7E4D"/>
    <w:rsid w:val="007B047D"/>
    <w:rsid w:val="007B0F16"/>
    <w:rsid w:val="007B2B19"/>
    <w:rsid w:val="007B2DBE"/>
    <w:rsid w:val="007B3044"/>
    <w:rsid w:val="007B39B8"/>
    <w:rsid w:val="007B4FF1"/>
    <w:rsid w:val="007B5C65"/>
    <w:rsid w:val="007B5E46"/>
    <w:rsid w:val="007B7172"/>
    <w:rsid w:val="007B7A51"/>
    <w:rsid w:val="007C00AF"/>
    <w:rsid w:val="007C015B"/>
    <w:rsid w:val="007C029A"/>
    <w:rsid w:val="007C127D"/>
    <w:rsid w:val="007C16B7"/>
    <w:rsid w:val="007C23E9"/>
    <w:rsid w:val="007C27D7"/>
    <w:rsid w:val="007C3175"/>
    <w:rsid w:val="007C3502"/>
    <w:rsid w:val="007C4818"/>
    <w:rsid w:val="007C4885"/>
    <w:rsid w:val="007C49D1"/>
    <w:rsid w:val="007C4EA8"/>
    <w:rsid w:val="007C57A8"/>
    <w:rsid w:val="007C5A2C"/>
    <w:rsid w:val="007C5CEF"/>
    <w:rsid w:val="007C6340"/>
    <w:rsid w:val="007C68CE"/>
    <w:rsid w:val="007C6EC3"/>
    <w:rsid w:val="007C7504"/>
    <w:rsid w:val="007C752B"/>
    <w:rsid w:val="007D0766"/>
    <w:rsid w:val="007D0AF0"/>
    <w:rsid w:val="007D14A2"/>
    <w:rsid w:val="007D239F"/>
    <w:rsid w:val="007D2A86"/>
    <w:rsid w:val="007D2D14"/>
    <w:rsid w:val="007D44E9"/>
    <w:rsid w:val="007D4977"/>
    <w:rsid w:val="007D4A17"/>
    <w:rsid w:val="007D4D2E"/>
    <w:rsid w:val="007D4D9B"/>
    <w:rsid w:val="007D4E48"/>
    <w:rsid w:val="007D5456"/>
    <w:rsid w:val="007D5799"/>
    <w:rsid w:val="007D579E"/>
    <w:rsid w:val="007D594A"/>
    <w:rsid w:val="007D5D76"/>
    <w:rsid w:val="007D5F3C"/>
    <w:rsid w:val="007D5F95"/>
    <w:rsid w:val="007D6577"/>
    <w:rsid w:val="007D7346"/>
    <w:rsid w:val="007D7EEC"/>
    <w:rsid w:val="007D7F79"/>
    <w:rsid w:val="007E0750"/>
    <w:rsid w:val="007E08EE"/>
    <w:rsid w:val="007E0B17"/>
    <w:rsid w:val="007E0EB9"/>
    <w:rsid w:val="007E0F81"/>
    <w:rsid w:val="007E0FC7"/>
    <w:rsid w:val="007E19E8"/>
    <w:rsid w:val="007E1EF8"/>
    <w:rsid w:val="007E2690"/>
    <w:rsid w:val="007E303F"/>
    <w:rsid w:val="007E30CF"/>
    <w:rsid w:val="007E3397"/>
    <w:rsid w:val="007E33CC"/>
    <w:rsid w:val="007E48A8"/>
    <w:rsid w:val="007E4CE2"/>
    <w:rsid w:val="007E4D8D"/>
    <w:rsid w:val="007E4F34"/>
    <w:rsid w:val="007E505D"/>
    <w:rsid w:val="007E514C"/>
    <w:rsid w:val="007E66DC"/>
    <w:rsid w:val="007E78A6"/>
    <w:rsid w:val="007E7D19"/>
    <w:rsid w:val="007E7F83"/>
    <w:rsid w:val="007F0143"/>
    <w:rsid w:val="007F13EF"/>
    <w:rsid w:val="007F17C9"/>
    <w:rsid w:val="007F1B88"/>
    <w:rsid w:val="007F29A4"/>
    <w:rsid w:val="007F2CF1"/>
    <w:rsid w:val="007F2DC2"/>
    <w:rsid w:val="007F31E6"/>
    <w:rsid w:val="007F3581"/>
    <w:rsid w:val="007F4E59"/>
    <w:rsid w:val="007F53DD"/>
    <w:rsid w:val="007F58A9"/>
    <w:rsid w:val="007F593E"/>
    <w:rsid w:val="007F5EB8"/>
    <w:rsid w:val="007F6663"/>
    <w:rsid w:val="007F6B81"/>
    <w:rsid w:val="007F6E93"/>
    <w:rsid w:val="007F6FBA"/>
    <w:rsid w:val="007F7BE1"/>
    <w:rsid w:val="008007D6"/>
    <w:rsid w:val="008012CA"/>
    <w:rsid w:val="008020F4"/>
    <w:rsid w:val="0080222B"/>
    <w:rsid w:val="00803203"/>
    <w:rsid w:val="00804787"/>
    <w:rsid w:val="008048E7"/>
    <w:rsid w:val="008049E5"/>
    <w:rsid w:val="00804B3C"/>
    <w:rsid w:val="00805676"/>
    <w:rsid w:val="00805689"/>
    <w:rsid w:val="00805E3B"/>
    <w:rsid w:val="00805E62"/>
    <w:rsid w:val="008060BD"/>
    <w:rsid w:val="008062E8"/>
    <w:rsid w:val="00807592"/>
    <w:rsid w:val="0080777A"/>
    <w:rsid w:val="008078A2"/>
    <w:rsid w:val="00810483"/>
    <w:rsid w:val="00810557"/>
    <w:rsid w:val="00810F70"/>
    <w:rsid w:val="0081183C"/>
    <w:rsid w:val="00811C08"/>
    <w:rsid w:val="00811CDF"/>
    <w:rsid w:val="008138AB"/>
    <w:rsid w:val="00814508"/>
    <w:rsid w:val="00814E81"/>
    <w:rsid w:val="008151FA"/>
    <w:rsid w:val="00815247"/>
    <w:rsid w:val="00815C05"/>
    <w:rsid w:val="00815D2B"/>
    <w:rsid w:val="008163F0"/>
    <w:rsid w:val="008177E6"/>
    <w:rsid w:val="00817A00"/>
    <w:rsid w:val="00817C1A"/>
    <w:rsid w:val="008205FE"/>
    <w:rsid w:val="00820E9C"/>
    <w:rsid w:val="0082171C"/>
    <w:rsid w:val="00821824"/>
    <w:rsid w:val="0082278D"/>
    <w:rsid w:val="00822810"/>
    <w:rsid w:val="008231D7"/>
    <w:rsid w:val="00823B70"/>
    <w:rsid w:val="00823E23"/>
    <w:rsid w:val="008240D7"/>
    <w:rsid w:val="008240E0"/>
    <w:rsid w:val="00824B8C"/>
    <w:rsid w:val="0082520A"/>
    <w:rsid w:val="0082657B"/>
    <w:rsid w:val="008308F6"/>
    <w:rsid w:val="0083175D"/>
    <w:rsid w:val="00831DE5"/>
    <w:rsid w:val="0083246E"/>
    <w:rsid w:val="00832B63"/>
    <w:rsid w:val="00833B78"/>
    <w:rsid w:val="00834C2E"/>
    <w:rsid w:val="00835023"/>
    <w:rsid w:val="008354BE"/>
    <w:rsid w:val="00835828"/>
    <w:rsid w:val="00835FBE"/>
    <w:rsid w:val="00836338"/>
    <w:rsid w:val="00836BA7"/>
    <w:rsid w:val="00836DBA"/>
    <w:rsid w:val="008373EF"/>
    <w:rsid w:val="00837422"/>
    <w:rsid w:val="008377F4"/>
    <w:rsid w:val="00837D77"/>
    <w:rsid w:val="00837DE3"/>
    <w:rsid w:val="008402C6"/>
    <w:rsid w:val="00840483"/>
    <w:rsid w:val="008406D1"/>
    <w:rsid w:val="0084072B"/>
    <w:rsid w:val="00841269"/>
    <w:rsid w:val="00841445"/>
    <w:rsid w:val="00842770"/>
    <w:rsid w:val="0084341B"/>
    <w:rsid w:val="008439A7"/>
    <w:rsid w:val="008445CC"/>
    <w:rsid w:val="00844D57"/>
    <w:rsid w:val="0084695A"/>
    <w:rsid w:val="0084727C"/>
    <w:rsid w:val="0085065F"/>
    <w:rsid w:val="008507B9"/>
    <w:rsid w:val="00853952"/>
    <w:rsid w:val="0085420A"/>
    <w:rsid w:val="008542F0"/>
    <w:rsid w:val="008547D2"/>
    <w:rsid w:val="00854823"/>
    <w:rsid w:val="00854F67"/>
    <w:rsid w:val="00855898"/>
    <w:rsid w:val="0085760E"/>
    <w:rsid w:val="0086067D"/>
    <w:rsid w:val="008608C2"/>
    <w:rsid w:val="00860C75"/>
    <w:rsid w:val="0086166E"/>
    <w:rsid w:val="008624F7"/>
    <w:rsid w:val="0086294F"/>
    <w:rsid w:val="008629E5"/>
    <w:rsid w:val="00862FAE"/>
    <w:rsid w:val="00863876"/>
    <w:rsid w:val="008641F4"/>
    <w:rsid w:val="0086590D"/>
    <w:rsid w:val="00865E4A"/>
    <w:rsid w:val="00866D41"/>
    <w:rsid w:val="00867E44"/>
    <w:rsid w:val="00867F18"/>
    <w:rsid w:val="00867FA9"/>
    <w:rsid w:val="00870510"/>
    <w:rsid w:val="00870A5A"/>
    <w:rsid w:val="00870D34"/>
    <w:rsid w:val="00870E06"/>
    <w:rsid w:val="00870EBD"/>
    <w:rsid w:val="008711F7"/>
    <w:rsid w:val="00871C53"/>
    <w:rsid w:val="00871C78"/>
    <w:rsid w:val="008726FA"/>
    <w:rsid w:val="00872894"/>
    <w:rsid w:val="0087291B"/>
    <w:rsid w:val="008731B3"/>
    <w:rsid w:val="00873266"/>
    <w:rsid w:val="008733B5"/>
    <w:rsid w:val="008738A3"/>
    <w:rsid w:val="0087397B"/>
    <w:rsid w:val="00873A7A"/>
    <w:rsid w:val="00873DEF"/>
    <w:rsid w:val="008742CE"/>
    <w:rsid w:val="00874678"/>
    <w:rsid w:val="0087495B"/>
    <w:rsid w:val="00874A73"/>
    <w:rsid w:val="0087555C"/>
    <w:rsid w:val="00875B41"/>
    <w:rsid w:val="00876434"/>
    <w:rsid w:val="008764BB"/>
    <w:rsid w:val="0087663B"/>
    <w:rsid w:val="00876A64"/>
    <w:rsid w:val="0087722B"/>
    <w:rsid w:val="0088052C"/>
    <w:rsid w:val="00880919"/>
    <w:rsid w:val="00881203"/>
    <w:rsid w:val="00881BCA"/>
    <w:rsid w:val="00881D76"/>
    <w:rsid w:val="008821D3"/>
    <w:rsid w:val="008827C6"/>
    <w:rsid w:val="008830B5"/>
    <w:rsid w:val="008850AE"/>
    <w:rsid w:val="008878FB"/>
    <w:rsid w:val="00887C4A"/>
    <w:rsid w:val="008904DD"/>
    <w:rsid w:val="008908B1"/>
    <w:rsid w:val="008922A3"/>
    <w:rsid w:val="008929C1"/>
    <w:rsid w:val="00893255"/>
    <w:rsid w:val="00893399"/>
    <w:rsid w:val="0089362F"/>
    <w:rsid w:val="008943E7"/>
    <w:rsid w:val="00894F64"/>
    <w:rsid w:val="0089538C"/>
    <w:rsid w:val="008955B8"/>
    <w:rsid w:val="008955FF"/>
    <w:rsid w:val="008958D8"/>
    <w:rsid w:val="00895C9B"/>
    <w:rsid w:val="0089653D"/>
    <w:rsid w:val="00896A23"/>
    <w:rsid w:val="00896AA2"/>
    <w:rsid w:val="008971C9"/>
    <w:rsid w:val="00897717"/>
    <w:rsid w:val="00897936"/>
    <w:rsid w:val="00897C8C"/>
    <w:rsid w:val="008A047D"/>
    <w:rsid w:val="008A1190"/>
    <w:rsid w:val="008A3071"/>
    <w:rsid w:val="008A3C2C"/>
    <w:rsid w:val="008A3C36"/>
    <w:rsid w:val="008A4AB2"/>
    <w:rsid w:val="008A4E16"/>
    <w:rsid w:val="008A565A"/>
    <w:rsid w:val="008A5E2A"/>
    <w:rsid w:val="008A714C"/>
    <w:rsid w:val="008A7ADE"/>
    <w:rsid w:val="008A7ED4"/>
    <w:rsid w:val="008A7F2D"/>
    <w:rsid w:val="008B02DD"/>
    <w:rsid w:val="008B101E"/>
    <w:rsid w:val="008B1223"/>
    <w:rsid w:val="008B127F"/>
    <w:rsid w:val="008B13B4"/>
    <w:rsid w:val="008B1473"/>
    <w:rsid w:val="008B1F27"/>
    <w:rsid w:val="008B20AF"/>
    <w:rsid w:val="008B20F4"/>
    <w:rsid w:val="008B23BF"/>
    <w:rsid w:val="008B2632"/>
    <w:rsid w:val="008B2650"/>
    <w:rsid w:val="008B29EA"/>
    <w:rsid w:val="008B3835"/>
    <w:rsid w:val="008B391F"/>
    <w:rsid w:val="008B3C9B"/>
    <w:rsid w:val="008B3D3E"/>
    <w:rsid w:val="008B3DDF"/>
    <w:rsid w:val="008B3E4B"/>
    <w:rsid w:val="008B4BF1"/>
    <w:rsid w:val="008B4DEB"/>
    <w:rsid w:val="008B4F03"/>
    <w:rsid w:val="008B5C29"/>
    <w:rsid w:val="008B637A"/>
    <w:rsid w:val="008B70E2"/>
    <w:rsid w:val="008B796B"/>
    <w:rsid w:val="008C0DCA"/>
    <w:rsid w:val="008C0F90"/>
    <w:rsid w:val="008C1082"/>
    <w:rsid w:val="008C1CF1"/>
    <w:rsid w:val="008C1E27"/>
    <w:rsid w:val="008C2228"/>
    <w:rsid w:val="008C33DC"/>
    <w:rsid w:val="008C3418"/>
    <w:rsid w:val="008C3689"/>
    <w:rsid w:val="008C377F"/>
    <w:rsid w:val="008C396E"/>
    <w:rsid w:val="008C3ABE"/>
    <w:rsid w:val="008C3D49"/>
    <w:rsid w:val="008C4280"/>
    <w:rsid w:val="008C49B4"/>
    <w:rsid w:val="008C7A07"/>
    <w:rsid w:val="008C7BF9"/>
    <w:rsid w:val="008D0860"/>
    <w:rsid w:val="008D146C"/>
    <w:rsid w:val="008D22E5"/>
    <w:rsid w:val="008D2A12"/>
    <w:rsid w:val="008D2B54"/>
    <w:rsid w:val="008D2C08"/>
    <w:rsid w:val="008D2E0D"/>
    <w:rsid w:val="008D2EB4"/>
    <w:rsid w:val="008D3032"/>
    <w:rsid w:val="008D3267"/>
    <w:rsid w:val="008D3496"/>
    <w:rsid w:val="008D454C"/>
    <w:rsid w:val="008D46F2"/>
    <w:rsid w:val="008D47B3"/>
    <w:rsid w:val="008D4C32"/>
    <w:rsid w:val="008D4C7A"/>
    <w:rsid w:val="008D4D37"/>
    <w:rsid w:val="008D51BD"/>
    <w:rsid w:val="008D54E5"/>
    <w:rsid w:val="008D5CEB"/>
    <w:rsid w:val="008D65A2"/>
    <w:rsid w:val="008D66EF"/>
    <w:rsid w:val="008E02CC"/>
    <w:rsid w:val="008E02EB"/>
    <w:rsid w:val="008E07AC"/>
    <w:rsid w:val="008E086E"/>
    <w:rsid w:val="008E11B7"/>
    <w:rsid w:val="008E126A"/>
    <w:rsid w:val="008E267E"/>
    <w:rsid w:val="008E2A19"/>
    <w:rsid w:val="008E350C"/>
    <w:rsid w:val="008E361D"/>
    <w:rsid w:val="008E37FD"/>
    <w:rsid w:val="008E38AD"/>
    <w:rsid w:val="008E4747"/>
    <w:rsid w:val="008E5668"/>
    <w:rsid w:val="008E56CF"/>
    <w:rsid w:val="008E59B1"/>
    <w:rsid w:val="008E67A7"/>
    <w:rsid w:val="008E6BD8"/>
    <w:rsid w:val="008E7F1C"/>
    <w:rsid w:val="008F04BD"/>
    <w:rsid w:val="008F1308"/>
    <w:rsid w:val="008F14B2"/>
    <w:rsid w:val="008F1EBE"/>
    <w:rsid w:val="008F24A5"/>
    <w:rsid w:val="008F31D1"/>
    <w:rsid w:val="008F3C18"/>
    <w:rsid w:val="008F42C8"/>
    <w:rsid w:val="008F567E"/>
    <w:rsid w:val="008F584C"/>
    <w:rsid w:val="008F5929"/>
    <w:rsid w:val="008F592F"/>
    <w:rsid w:val="008F6B46"/>
    <w:rsid w:val="008F77A7"/>
    <w:rsid w:val="008F7C94"/>
    <w:rsid w:val="009015DF"/>
    <w:rsid w:val="0090278D"/>
    <w:rsid w:val="00902ED4"/>
    <w:rsid w:val="009032D8"/>
    <w:rsid w:val="009036D0"/>
    <w:rsid w:val="00903ACE"/>
    <w:rsid w:val="00903B12"/>
    <w:rsid w:val="00904887"/>
    <w:rsid w:val="00905364"/>
    <w:rsid w:val="00905439"/>
    <w:rsid w:val="009059A4"/>
    <w:rsid w:val="00906B85"/>
    <w:rsid w:val="00906CF4"/>
    <w:rsid w:val="00907172"/>
    <w:rsid w:val="00907A4D"/>
    <w:rsid w:val="00907E39"/>
    <w:rsid w:val="009100E7"/>
    <w:rsid w:val="009105BB"/>
    <w:rsid w:val="00910F94"/>
    <w:rsid w:val="0091146D"/>
    <w:rsid w:val="00911BFA"/>
    <w:rsid w:val="00911DD1"/>
    <w:rsid w:val="00911F74"/>
    <w:rsid w:val="009121F5"/>
    <w:rsid w:val="0091248B"/>
    <w:rsid w:val="00912E0B"/>
    <w:rsid w:val="0091355E"/>
    <w:rsid w:val="00913594"/>
    <w:rsid w:val="00913F97"/>
    <w:rsid w:val="00914455"/>
    <w:rsid w:val="00914CD2"/>
    <w:rsid w:val="00915F51"/>
    <w:rsid w:val="00916E72"/>
    <w:rsid w:val="00917042"/>
    <w:rsid w:val="00917980"/>
    <w:rsid w:val="00917C90"/>
    <w:rsid w:val="00921185"/>
    <w:rsid w:val="009216C4"/>
    <w:rsid w:val="009219B2"/>
    <w:rsid w:val="00921CF0"/>
    <w:rsid w:val="009224F7"/>
    <w:rsid w:val="00922921"/>
    <w:rsid w:val="00922AAA"/>
    <w:rsid w:val="0092374A"/>
    <w:rsid w:val="00923E77"/>
    <w:rsid w:val="009249D4"/>
    <w:rsid w:val="00924F4C"/>
    <w:rsid w:val="0092537A"/>
    <w:rsid w:val="00926427"/>
    <w:rsid w:val="00926540"/>
    <w:rsid w:val="00926D9D"/>
    <w:rsid w:val="00927A8F"/>
    <w:rsid w:val="00930430"/>
    <w:rsid w:val="0093053B"/>
    <w:rsid w:val="00930B50"/>
    <w:rsid w:val="00931524"/>
    <w:rsid w:val="0093156D"/>
    <w:rsid w:val="00932610"/>
    <w:rsid w:val="0093328E"/>
    <w:rsid w:val="009336B1"/>
    <w:rsid w:val="00935F53"/>
    <w:rsid w:val="00936026"/>
    <w:rsid w:val="00936289"/>
    <w:rsid w:val="00936401"/>
    <w:rsid w:val="009376C4"/>
    <w:rsid w:val="00937EDD"/>
    <w:rsid w:val="00941030"/>
    <w:rsid w:val="00941541"/>
    <w:rsid w:val="00941733"/>
    <w:rsid w:val="009418AF"/>
    <w:rsid w:val="0094246C"/>
    <w:rsid w:val="00942B0C"/>
    <w:rsid w:val="00943459"/>
    <w:rsid w:val="00943F73"/>
    <w:rsid w:val="00944DC0"/>
    <w:rsid w:val="00944EA9"/>
    <w:rsid w:val="00945441"/>
    <w:rsid w:val="0094552A"/>
    <w:rsid w:val="00945DF9"/>
    <w:rsid w:val="00946140"/>
    <w:rsid w:val="0094638E"/>
    <w:rsid w:val="00947274"/>
    <w:rsid w:val="009476F5"/>
    <w:rsid w:val="00947A03"/>
    <w:rsid w:val="00947AF0"/>
    <w:rsid w:val="00950A6D"/>
    <w:rsid w:val="00951586"/>
    <w:rsid w:val="009518BB"/>
    <w:rsid w:val="00951FF0"/>
    <w:rsid w:val="00952CAD"/>
    <w:rsid w:val="00953401"/>
    <w:rsid w:val="0095402A"/>
    <w:rsid w:val="009552BD"/>
    <w:rsid w:val="00955867"/>
    <w:rsid w:val="0095631A"/>
    <w:rsid w:val="009566D3"/>
    <w:rsid w:val="0095691E"/>
    <w:rsid w:val="00956BB8"/>
    <w:rsid w:val="00956E27"/>
    <w:rsid w:val="00956FDF"/>
    <w:rsid w:val="009578F2"/>
    <w:rsid w:val="009606E5"/>
    <w:rsid w:val="00960F34"/>
    <w:rsid w:val="009623CB"/>
    <w:rsid w:val="00962801"/>
    <w:rsid w:val="00963333"/>
    <w:rsid w:val="00963A5C"/>
    <w:rsid w:val="0096444C"/>
    <w:rsid w:val="00965887"/>
    <w:rsid w:val="0096593E"/>
    <w:rsid w:val="00965A6B"/>
    <w:rsid w:val="00965C24"/>
    <w:rsid w:val="00965CE0"/>
    <w:rsid w:val="0096645C"/>
    <w:rsid w:val="00966615"/>
    <w:rsid w:val="00966625"/>
    <w:rsid w:val="00966D3C"/>
    <w:rsid w:val="00966F1F"/>
    <w:rsid w:val="009670FF"/>
    <w:rsid w:val="0096712F"/>
    <w:rsid w:val="009677FC"/>
    <w:rsid w:val="0096781B"/>
    <w:rsid w:val="0096788B"/>
    <w:rsid w:val="00970EF4"/>
    <w:rsid w:val="009715D8"/>
    <w:rsid w:val="009719B0"/>
    <w:rsid w:val="00972035"/>
    <w:rsid w:val="009725DA"/>
    <w:rsid w:val="00972621"/>
    <w:rsid w:val="00972DC4"/>
    <w:rsid w:val="00972DE7"/>
    <w:rsid w:val="00972F70"/>
    <w:rsid w:val="00973115"/>
    <w:rsid w:val="009732ED"/>
    <w:rsid w:val="00973C5F"/>
    <w:rsid w:val="00976430"/>
    <w:rsid w:val="009765C6"/>
    <w:rsid w:val="00977180"/>
    <w:rsid w:val="009772F0"/>
    <w:rsid w:val="009773BE"/>
    <w:rsid w:val="0097762B"/>
    <w:rsid w:val="00980F36"/>
    <w:rsid w:val="009814CA"/>
    <w:rsid w:val="009816B3"/>
    <w:rsid w:val="00981FC4"/>
    <w:rsid w:val="009821B7"/>
    <w:rsid w:val="00983801"/>
    <w:rsid w:val="00983DE6"/>
    <w:rsid w:val="00983E36"/>
    <w:rsid w:val="00984268"/>
    <w:rsid w:val="0098538E"/>
    <w:rsid w:val="00985EE5"/>
    <w:rsid w:val="009860C4"/>
    <w:rsid w:val="00986393"/>
    <w:rsid w:val="009863CF"/>
    <w:rsid w:val="00987167"/>
    <w:rsid w:val="00987460"/>
    <w:rsid w:val="00987E2E"/>
    <w:rsid w:val="00990664"/>
    <w:rsid w:val="00990FEC"/>
    <w:rsid w:val="009917C7"/>
    <w:rsid w:val="00991A28"/>
    <w:rsid w:val="00991EAA"/>
    <w:rsid w:val="0099227C"/>
    <w:rsid w:val="0099228A"/>
    <w:rsid w:val="00992334"/>
    <w:rsid w:val="009923B1"/>
    <w:rsid w:val="009925B5"/>
    <w:rsid w:val="00994046"/>
    <w:rsid w:val="009950D6"/>
    <w:rsid w:val="0099615D"/>
    <w:rsid w:val="009971E2"/>
    <w:rsid w:val="00997247"/>
    <w:rsid w:val="009972A8"/>
    <w:rsid w:val="009972C1"/>
    <w:rsid w:val="00997AA5"/>
    <w:rsid w:val="00997C00"/>
    <w:rsid w:val="00997D5B"/>
    <w:rsid w:val="009A029A"/>
    <w:rsid w:val="009A0810"/>
    <w:rsid w:val="009A0E05"/>
    <w:rsid w:val="009A2456"/>
    <w:rsid w:val="009A2565"/>
    <w:rsid w:val="009A28E8"/>
    <w:rsid w:val="009A2F81"/>
    <w:rsid w:val="009A3004"/>
    <w:rsid w:val="009A3B83"/>
    <w:rsid w:val="009A3BB5"/>
    <w:rsid w:val="009A4020"/>
    <w:rsid w:val="009A4B40"/>
    <w:rsid w:val="009A4C58"/>
    <w:rsid w:val="009A66C8"/>
    <w:rsid w:val="009A6B4B"/>
    <w:rsid w:val="009A6CCA"/>
    <w:rsid w:val="009A6F2E"/>
    <w:rsid w:val="009A7455"/>
    <w:rsid w:val="009B0AB1"/>
    <w:rsid w:val="009B0B13"/>
    <w:rsid w:val="009B27C6"/>
    <w:rsid w:val="009B2D98"/>
    <w:rsid w:val="009B3304"/>
    <w:rsid w:val="009B3632"/>
    <w:rsid w:val="009B42A3"/>
    <w:rsid w:val="009B4579"/>
    <w:rsid w:val="009B4A16"/>
    <w:rsid w:val="009B4B8B"/>
    <w:rsid w:val="009B4F71"/>
    <w:rsid w:val="009B5645"/>
    <w:rsid w:val="009B5D46"/>
    <w:rsid w:val="009B5F34"/>
    <w:rsid w:val="009B5F6F"/>
    <w:rsid w:val="009B79E4"/>
    <w:rsid w:val="009C0CE4"/>
    <w:rsid w:val="009C1348"/>
    <w:rsid w:val="009C35CB"/>
    <w:rsid w:val="009C4E34"/>
    <w:rsid w:val="009C4FDE"/>
    <w:rsid w:val="009C511F"/>
    <w:rsid w:val="009C5CEF"/>
    <w:rsid w:val="009C66CB"/>
    <w:rsid w:val="009C710C"/>
    <w:rsid w:val="009C7A78"/>
    <w:rsid w:val="009D01ED"/>
    <w:rsid w:val="009D02BE"/>
    <w:rsid w:val="009D0C9E"/>
    <w:rsid w:val="009D11BA"/>
    <w:rsid w:val="009D16A3"/>
    <w:rsid w:val="009D2426"/>
    <w:rsid w:val="009D2757"/>
    <w:rsid w:val="009D2819"/>
    <w:rsid w:val="009D29C7"/>
    <w:rsid w:val="009D3EF9"/>
    <w:rsid w:val="009D5495"/>
    <w:rsid w:val="009D5506"/>
    <w:rsid w:val="009D5953"/>
    <w:rsid w:val="009D75B5"/>
    <w:rsid w:val="009D7A9E"/>
    <w:rsid w:val="009E019B"/>
    <w:rsid w:val="009E0706"/>
    <w:rsid w:val="009E0B83"/>
    <w:rsid w:val="009E155A"/>
    <w:rsid w:val="009E283A"/>
    <w:rsid w:val="009E2A24"/>
    <w:rsid w:val="009E36DE"/>
    <w:rsid w:val="009E41E6"/>
    <w:rsid w:val="009E430A"/>
    <w:rsid w:val="009E44ED"/>
    <w:rsid w:val="009E4894"/>
    <w:rsid w:val="009E5241"/>
    <w:rsid w:val="009E554F"/>
    <w:rsid w:val="009E5EC7"/>
    <w:rsid w:val="009E632A"/>
    <w:rsid w:val="009E64DD"/>
    <w:rsid w:val="009E6500"/>
    <w:rsid w:val="009E651D"/>
    <w:rsid w:val="009E6586"/>
    <w:rsid w:val="009E6A67"/>
    <w:rsid w:val="009E6EE9"/>
    <w:rsid w:val="009E73A3"/>
    <w:rsid w:val="009E741B"/>
    <w:rsid w:val="009F0207"/>
    <w:rsid w:val="009F0C8C"/>
    <w:rsid w:val="009F104F"/>
    <w:rsid w:val="009F42D4"/>
    <w:rsid w:val="009F46ED"/>
    <w:rsid w:val="009F4729"/>
    <w:rsid w:val="009F4B40"/>
    <w:rsid w:val="009F5E50"/>
    <w:rsid w:val="009F6615"/>
    <w:rsid w:val="009F68D5"/>
    <w:rsid w:val="009F6EDB"/>
    <w:rsid w:val="009F7548"/>
    <w:rsid w:val="009F772F"/>
    <w:rsid w:val="009F7C7C"/>
    <w:rsid w:val="009F7FCF"/>
    <w:rsid w:val="00A0001C"/>
    <w:rsid w:val="00A00E77"/>
    <w:rsid w:val="00A01858"/>
    <w:rsid w:val="00A03B25"/>
    <w:rsid w:val="00A05020"/>
    <w:rsid w:val="00A059DD"/>
    <w:rsid w:val="00A068C2"/>
    <w:rsid w:val="00A06FC4"/>
    <w:rsid w:val="00A071AE"/>
    <w:rsid w:val="00A072EF"/>
    <w:rsid w:val="00A10736"/>
    <w:rsid w:val="00A10A66"/>
    <w:rsid w:val="00A119E4"/>
    <w:rsid w:val="00A11A36"/>
    <w:rsid w:val="00A11DCC"/>
    <w:rsid w:val="00A12422"/>
    <w:rsid w:val="00A1337A"/>
    <w:rsid w:val="00A1352E"/>
    <w:rsid w:val="00A1366B"/>
    <w:rsid w:val="00A139EA"/>
    <w:rsid w:val="00A13AC8"/>
    <w:rsid w:val="00A13DB4"/>
    <w:rsid w:val="00A1484E"/>
    <w:rsid w:val="00A14F1B"/>
    <w:rsid w:val="00A14FFC"/>
    <w:rsid w:val="00A155FD"/>
    <w:rsid w:val="00A1684E"/>
    <w:rsid w:val="00A16A77"/>
    <w:rsid w:val="00A16D3A"/>
    <w:rsid w:val="00A1707B"/>
    <w:rsid w:val="00A17E60"/>
    <w:rsid w:val="00A20B10"/>
    <w:rsid w:val="00A21A3B"/>
    <w:rsid w:val="00A224BF"/>
    <w:rsid w:val="00A22617"/>
    <w:rsid w:val="00A22938"/>
    <w:rsid w:val="00A23147"/>
    <w:rsid w:val="00A24102"/>
    <w:rsid w:val="00A246AA"/>
    <w:rsid w:val="00A24826"/>
    <w:rsid w:val="00A2494E"/>
    <w:rsid w:val="00A25630"/>
    <w:rsid w:val="00A2623F"/>
    <w:rsid w:val="00A26314"/>
    <w:rsid w:val="00A26568"/>
    <w:rsid w:val="00A265BE"/>
    <w:rsid w:val="00A27205"/>
    <w:rsid w:val="00A27670"/>
    <w:rsid w:val="00A278F9"/>
    <w:rsid w:val="00A27F26"/>
    <w:rsid w:val="00A300FD"/>
    <w:rsid w:val="00A3044E"/>
    <w:rsid w:val="00A30905"/>
    <w:rsid w:val="00A30A60"/>
    <w:rsid w:val="00A30AF1"/>
    <w:rsid w:val="00A31F8E"/>
    <w:rsid w:val="00A32225"/>
    <w:rsid w:val="00A32981"/>
    <w:rsid w:val="00A346BC"/>
    <w:rsid w:val="00A34846"/>
    <w:rsid w:val="00A34BFE"/>
    <w:rsid w:val="00A351BD"/>
    <w:rsid w:val="00A358BB"/>
    <w:rsid w:val="00A36C4F"/>
    <w:rsid w:val="00A37A27"/>
    <w:rsid w:val="00A37B8D"/>
    <w:rsid w:val="00A37F2A"/>
    <w:rsid w:val="00A40A67"/>
    <w:rsid w:val="00A4175B"/>
    <w:rsid w:val="00A41A1A"/>
    <w:rsid w:val="00A41B2B"/>
    <w:rsid w:val="00A41DAF"/>
    <w:rsid w:val="00A42359"/>
    <w:rsid w:val="00A4279F"/>
    <w:rsid w:val="00A42D61"/>
    <w:rsid w:val="00A435BD"/>
    <w:rsid w:val="00A440B8"/>
    <w:rsid w:val="00A444DF"/>
    <w:rsid w:val="00A450FE"/>
    <w:rsid w:val="00A4560D"/>
    <w:rsid w:val="00A45752"/>
    <w:rsid w:val="00A45FB8"/>
    <w:rsid w:val="00A4690F"/>
    <w:rsid w:val="00A46B4E"/>
    <w:rsid w:val="00A5066A"/>
    <w:rsid w:val="00A5288F"/>
    <w:rsid w:val="00A52FAE"/>
    <w:rsid w:val="00A532C6"/>
    <w:rsid w:val="00A5345F"/>
    <w:rsid w:val="00A5349F"/>
    <w:rsid w:val="00A53887"/>
    <w:rsid w:val="00A53A4D"/>
    <w:rsid w:val="00A5472A"/>
    <w:rsid w:val="00A548ED"/>
    <w:rsid w:val="00A54E44"/>
    <w:rsid w:val="00A5507B"/>
    <w:rsid w:val="00A5675F"/>
    <w:rsid w:val="00A57AAF"/>
    <w:rsid w:val="00A60C83"/>
    <w:rsid w:val="00A6124D"/>
    <w:rsid w:val="00A61327"/>
    <w:rsid w:val="00A6293E"/>
    <w:rsid w:val="00A63532"/>
    <w:rsid w:val="00A6391A"/>
    <w:rsid w:val="00A64AB9"/>
    <w:rsid w:val="00A65089"/>
    <w:rsid w:val="00A6657F"/>
    <w:rsid w:val="00A6678B"/>
    <w:rsid w:val="00A66922"/>
    <w:rsid w:val="00A66A3B"/>
    <w:rsid w:val="00A67E55"/>
    <w:rsid w:val="00A67FD3"/>
    <w:rsid w:val="00A710BB"/>
    <w:rsid w:val="00A714D3"/>
    <w:rsid w:val="00A719C0"/>
    <w:rsid w:val="00A728F2"/>
    <w:rsid w:val="00A72A36"/>
    <w:rsid w:val="00A72B56"/>
    <w:rsid w:val="00A72E2C"/>
    <w:rsid w:val="00A72EC6"/>
    <w:rsid w:val="00A733FF"/>
    <w:rsid w:val="00A73655"/>
    <w:rsid w:val="00A73EDA"/>
    <w:rsid w:val="00A73F26"/>
    <w:rsid w:val="00A7476F"/>
    <w:rsid w:val="00A7578F"/>
    <w:rsid w:val="00A757C0"/>
    <w:rsid w:val="00A75BB5"/>
    <w:rsid w:val="00A76269"/>
    <w:rsid w:val="00A762A9"/>
    <w:rsid w:val="00A7639F"/>
    <w:rsid w:val="00A76DFB"/>
    <w:rsid w:val="00A77540"/>
    <w:rsid w:val="00A81349"/>
    <w:rsid w:val="00A81615"/>
    <w:rsid w:val="00A818D8"/>
    <w:rsid w:val="00A837F6"/>
    <w:rsid w:val="00A83EDB"/>
    <w:rsid w:val="00A843BA"/>
    <w:rsid w:val="00A8457A"/>
    <w:rsid w:val="00A84D12"/>
    <w:rsid w:val="00A84E7D"/>
    <w:rsid w:val="00A85763"/>
    <w:rsid w:val="00A85EB6"/>
    <w:rsid w:val="00A86044"/>
    <w:rsid w:val="00A86902"/>
    <w:rsid w:val="00A872E7"/>
    <w:rsid w:val="00A87CFD"/>
    <w:rsid w:val="00A87F66"/>
    <w:rsid w:val="00A90062"/>
    <w:rsid w:val="00A900E7"/>
    <w:rsid w:val="00A908D7"/>
    <w:rsid w:val="00A90D68"/>
    <w:rsid w:val="00A91BF2"/>
    <w:rsid w:val="00A91C74"/>
    <w:rsid w:val="00A91F5D"/>
    <w:rsid w:val="00A92C54"/>
    <w:rsid w:val="00A93F9C"/>
    <w:rsid w:val="00A9481D"/>
    <w:rsid w:val="00A95914"/>
    <w:rsid w:val="00A966CA"/>
    <w:rsid w:val="00A96D9C"/>
    <w:rsid w:val="00A97213"/>
    <w:rsid w:val="00AA0192"/>
    <w:rsid w:val="00AA1B41"/>
    <w:rsid w:val="00AA1EA1"/>
    <w:rsid w:val="00AA2C4A"/>
    <w:rsid w:val="00AA2FD0"/>
    <w:rsid w:val="00AA3C32"/>
    <w:rsid w:val="00AA409D"/>
    <w:rsid w:val="00AA469C"/>
    <w:rsid w:val="00AA4DF8"/>
    <w:rsid w:val="00AA76AB"/>
    <w:rsid w:val="00AB015A"/>
    <w:rsid w:val="00AB0576"/>
    <w:rsid w:val="00AB061F"/>
    <w:rsid w:val="00AB0E80"/>
    <w:rsid w:val="00AB152C"/>
    <w:rsid w:val="00AB1711"/>
    <w:rsid w:val="00AB177E"/>
    <w:rsid w:val="00AB17CA"/>
    <w:rsid w:val="00AB2F7B"/>
    <w:rsid w:val="00AB414E"/>
    <w:rsid w:val="00AB4980"/>
    <w:rsid w:val="00AB52C0"/>
    <w:rsid w:val="00AB532A"/>
    <w:rsid w:val="00AB5EB4"/>
    <w:rsid w:val="00AB675D"/>
    <w:rsid w:val="00AB67F4"/>
    <w:rsid w:val="00AB69D1"/>
    <w:rsid w:val="00AB6C74"/>
    <w:rsid w:val="00AB6EDC"/>
    <w:rsid w:val="00AB7337"/>
    <w:rsid w:val="00AB7D71"/>
    <w:rsid w:val="00AC0B18"/>
    <w:rsid w:val="00AC118F"/>
    <w:rsid w:val="00AC1264"/>
    <w:rsid w:val="00AC16E4"/>
    <w:rsid w:val="00AC199E"/>
    <w:rsid w:val="00AC2566"/>
    <w:rsid w:val="00AC2B54"/>
    <w:rsid w:val="00AC35B1"/>
    <w:rsid w:val="00AC3A30"/>
    <w:rsid w:val="00AC462B"/>
    <w:rsid w:val="00AC5698"/>
    <w:rsid w:val="00AC6E5E"/>
    <w:rsid w:val="00AC71A5"/>
    <w:rsid w:val="00AC72A4"/>
    <w:rsid w:val="00AC752A"/>
    <w:rsid w:val="00AD0023"/>
    <w:rsid w:val="00AD0B98"/>
    <w:rsid w:val="00AD0DEE"/>
    <w:rsid w:val="00AD16BF"/>
    <w:rsid w:val="00AD2C1E"/>
    <w:rsid w:val="00AD2D00"/>
    <w:rsid w:val="00AD31DA"/>
    <w:rsid w:val="00AD38EF"/>
    <w:rsid w:val="00AD3D38"/>
    <w:rsid w:val="00AD41AC"/>
    <w:rsid w:val="00AD4BEF"/>
    <w:rsid w:val="00AD6073"/>
    <w:rsid w:val="00AD7BD7"/>
    <w:rsid w:val="00AE074D"/>
    <w:rsid w:val="00AE0879"/>
    <w:rsid w:val="00AE1856"/>
    <w:rsid w:val="00AE215C"/>
    <w:rsid w:val="00AE27FF"/>
    <w:rsid w:val="00AE441C"/>
    <w:rsid w:val="00AE441E"/>
    <w:rsid w:val="00AE49F2"/>
    <w:rsid w:val="00AE4CE9"/>
    <w:rsid w:val="00AE5046"/>
    <w:rsid w:val="00AE511C"/>
    <w:rsid w:val="00AE5157"/>
    <w:rsid w:val="00AE6DFF"/>
    <w:rsid w:val="00AE71E3"/>
    <w:rsid w:val="00AF0227"/>
    <w:rsid w:val="00AF072A"/>
    <w:rsid w:val="00AF1BAD"/>
    <w:rsid w:val="00AF26DC"/>
    <w:rsid w:val="00AF281A"/>
    <w:rsid w:val="00AF2E0F"/>
    <w:rsid w:val="00AF314A"/>
    <w:rsid w:val="00AF31DB"/>
    <w:rsid w:val="00AF31DC"/>
    <w:rsid w:val="00AF320C"/>
    <w:rsid w:val="00AF3691"/>
    <w:rsid w:val="00AF3BBE"/>
    <w:rsid w:val="00AF4960"/>
    <w:rsid w:val="00AF4FDE"/>
    <w:rsid w:val="00AF510D"/>
    <w:rsid w:val="00AF53FE"/>
    <w:rsid w:val="00AF5C57"/>
    <w:rsid w:val="00AF5ECB"/>
    <w:rsid w:val="00AF66A4"/>
    <w:rsid w:val="00AF7D94"/>
    <w:rsid w:val="00B00101"/>
    <w:rsid w:val="00B00713"/>
    <w:rsid w:val="00B007C7"/>
    <w:rsid w:val="00B009DB"/>
    <w:rsid w:val="00B00F9C"/>
    <w:rsid w:val="00B01298"/>
    <w:rsid w:val="00B01AF4"/>
    <w:rsid w:val="00B01CFB"/>
    <w:rsid w:val="00B02112"/>
    <w:rsid w:val="00B021D7"/>
    <w:rsid w:val="00B028D8"/>
    <w:rsid w:val="00B04509"/>
    <w:rsid w:val="00B04577"/>
    <w:rsid w:val="00B04B0F"/>
    <w:rsid w:val="00B04B7D"/>
    <w:rsid w:val="00B05073"/>
    <w:rsid w:val="00B053AE"/>
    <w:rsid w:val="00B054E6"/>
    <w:rsid w:val="00B0633D"/>
    <w:rsid w:val="00B06497"/>
    <w:rsid w:val="00B06781"/>
    <w:rsid w:val="00B069B2"/>
    <w:rsid w:val="00B069F1"/>
    <w:rsid w:val="00B072F8"/>
    <w:rsid w:val="00B10770"/>
    <w:rsid w:val="00B10CE2"/>
    <w:rsid w:val="00B1368C"/>
    <w:rsid w:val="00B1391E"/>
    <w:rsid w:val="00B13AAD"/>
    <w:rsid w:val="00B14C1E"/>
    <w:rsid w:val="00B1542C"/>
    <w:rsid w:val="00B156E7"/>
    <w:rsid w:val="00B16218"/>
    <w:rsid w:val="00B16BDC"/>
    <w:rsid w:val="00B17654"/>
    <w:rsid w:val="00B20864"/>
    <w:rsid w:val="00B213BE"/>
    <w:rsid w:val="00B214E7"/>
    <w:rsid w:val="00B2181F"/>
    <w:rsid w:val="00B21E97"/>
    <w:rsid w:val="00B22275"/>
    <w:rsid w:val="00B222B6"/>
    <w:rsid w:val="00B225EA"/>
    <w:rsid w:val="00B2328C"/>
    <w:rsid w:val="00B23384"/>
    <w:rsid w:val="00B23AE4"/>
    <w:rsid w:val="00B25498"/>
    <w:rsid w:val="00B25550"/>
    <w:rsid w:val="00B25B63"/>
    <w:rsid w:val="00B26447"/>
    <w:rsid w:val="00B26822"/>
    <w:rsid w:val="00B26CB1"/>
    <w:rsid w:val="00B27CE1"/>
    <w:rsid w:val="00B30071"/>
    <w:rsid w:val="00B319F9"/>
    <w:rsid w:val="00B320D3"/>
    <w:rsid w:val="00B328B9"/>
    <w:rsid w:val="00B328BA"/>
    <w:rsid w:val="00B32BC7"/>
    <w:rsid w:val="00B32F46"/>
    <w:rsid w:val="00B34640"/>
    <w:rsid w:val="00B34C68"/>
    <w:rsid w:val="00B34D22"/>
    <w:rsid w:val="00B3535C"/>
    <w:rsid w:val="00B36430"/>
    <w:rsid w:val="00B3648B"/>
    <w:rsid w:val="00B36CC0"/>
    <w:rsid w:val="00B37903"/>
    <w:rsid w:val="00B37AC4"/>
    <w:rsid w:val="00B40039"/>
    <w:rsid w:val="00B402EF"/>
    <w:rsid w:val="00B40ADC"/>
    <w:rsid w:val="00B419E5"/>
    <w:rsid w:val="00B4282C"/>
    <w:rsid w:val="00B4366B"/>
    <w:rsid w:val="00B4384A"/>
    <w:rsid w:val="00B43E01"/>
    <w:rsid w:val="00B4444D"/>
    <w:rsid w:val="00B445FF"/>
    <w:rsid w:val="00B44A53"/>
    <w:rsid w:val="00B456D7"/>
    <w:rsid w:val="00B45F81"/>
    <w:rsid w:val="00B46693"/>
    <w:rsid w:val="00B468E6"/>
    <w:rsid w:val="00B475B0"/>
    <w:rsid w:val="00B47790"/>
    <w:rsid w:val="00B50A7A"/>
    <w:rsid w:val="00B50D3C"/>
    <w:rsid w:val="00B50DCE"/>
    <w:rsid w:val="00B51ECE"/>
    <w:rsid w:val="00B51FB7"/>
    <w:rsid w:val="00B52ABF"/>
    <w:rsid w:val="00B545EB"/>
    <w:rsid w:val="00B551DF"/>
    <w:rsid w:val="00B55A0A"/>
    <w:rsid w:val="00B56F1F"/>
    <w:rsid w:val="00B5725A"/>
    <w:rsid w:val="00B577AF"/>
    <w:rsid w:val="00B57C34"/>
    <w:rsid w:val="00B61234"/>
    <w:rsid w:val="00B619FD"/>
    <w:rsid w:val="00B61D14"/>
    <w:rsid w:val="00B62219"/>
    <w:rsid w:val="00B62ACD"/>
    <w:rsid w:val="00B62D9F"/>
    <w:rsid w:val="00B63903"/>
    <w:rsid w:val="00B63A7E"/>
    <w:rsid w:val="00B63ACC"/>
    <w:rsid w:val="00B63CE8"/>
    <w:rsid w:val="00B645FD"/>
    <w:rsid w:val="00B64BDB"/>
    <w:rsid w:val="00B65652"/>
    <w:rsid w:val="00B65A16"/>
    <w:rsid w:val="00B65ECB"/>
    <w:rsid w:val="00B66BF6"/>
    <w:rsid w:val="00B67EC0"/>
    <w:rsid w:val="00B7039B"/>
    <w:rsid w:val="00B70F77"/>
    <w:rsid w:val="00B713CD"/>
    <w:rsid w:val="00B718BC"/>
    <w:rsid w:val="00B728BA"/>
    <w:rsid w:val="00B72E01"/>
    <w:rsid w:val="00B7405C"/>
    <w:rsid w:val="00B74578"/>
    <w:rsid w:val="00B74A57"/>
    <w:rsid w:val="00B74BD0"/>
    <w:rsid w:val="00B752CC"/>
    <w:rsid w:val="00B75AE5"/>
    <w:rsid w:val="00B77440"/>
    <w:rsid w:val="00B777B6"/>
    <w:rsid w:val="00B77C0D"/>
    <w:rsid w:val="00B81F2C"/>
    <w:rsid w:val="00B82607"/>
    <w:rsid w:val="00B82A66"/>
    <w:rsid w:val="00B83A18"/>
    <w:rsid w:val="00B83C4B"/>
    <w:rsid w:val="00B84BA6"/>
    <w:rsid w:val="00B859F8"/>
    <w:rsid w:val="00B86674"/>
    <w:rsid w:val="00B868A5"/>
    <w:rsid w:val="00B8791A"/>
    <w:rsid w:val="00B879C8"/>
    <w:rsid w:val="00B900C7"/>
    <w:rsid w:val="00B90BC6"/>
    <w:rsid w:val="00B90CFF"/>
    <w:rsid w:val="00B9142A"/>
    <w:rsid w:val="00B9173D"/>
    <w:rsid w:val="00B91CB1"/>
    <w:rsid w:val="00B927F5"/>
    <w:rsid w:val="00B931DC"/>
    <w:rsid w:val="00B931E8"/>
    <w:rsid w:val="00B93704"/>
    <w:rsid w:val="00B93E99"/>
    <w:rsid w:val="00B94A42"/>
    <w:rsid w:val="00B94B2F"/>
    <w:rsid w:val="00B954CA"/>
    <w:rsid w:val="00B95623"/>
    <w:rsid w:val="00B9637F"/>
    <w:rsid w:val="00B963CA"/>
    <w:rsid w:val="00B96467"/>
    <w:rsid w:val="00B96C75"/>
    <w:rsid w:val="00B96E91"/>
    <w:rsid w:val="00BA0DD5"/>
    <w:rsid w:val="00BA10C0"/>
    <w:rsid w:val="00BA155D"/>
    <w:rsid w:val="00BA1571"/>
    <w:rsid w:val="00BA213C"/>
    <w:rsid w:val="00BA23E6"/>
    <w:rsid w:val="00BA2A1F"/>
    <w:rsid w:val="00BA393C"/>
    <w:rsid w:val="00BA40D0"/>
    <w:rsid w:val="00BA4577"/>
    <w:rsid w:val="00BA5381"/>
    <w:rsid w:val="00BA540E"/>
    <w:rsid w:val="00BA5751"/>
    <w:rsid w:val="00BA5AB7"/>
    <w:rsid w:val="00BA60C9"/>
    <w:rsid w:val="00BA6626"/>
    <w:rsid w:val="00BA6A61"/>
    <w:rsid w:val="00BA6CC6"/>
    <w:rsid w:val="00BA7286"/>
    <w:rsid w:val="00BA74B4"/>
    <w:rsid w:val="00BA754E"/>
    <w:rsid w:val="00BA75E8"/>
    <w:rsid w:val="00BA783F"/>
    <w:rsid w:val="00BB045E"/>
    <w:rsid w:val="00BB0C8E"/>
    <w:rsid w:val="00BB1795"/>
    <w:rsid w:val="00BB28C1"/>
    <w:rsid w:val="00BB2D81"/>
    <w:rsid w:val="00BB310F"/>
    <w:rsid w:val="00BB3166"/>
    <w:rsid w:val="00BB3FA6"/>
    <w:rsid w:val="00BB40A6"/>
    <w:rsid w:val="00BB4351"/>
    <w:rsid w:val="00BB43FB"/>
    <w:rsid w:val="00BB45BF"/>
    <w:rsid w:val="00BB45FE"/>
    <w:rsid w:val="00BB480B"/>
    <w:rsid w:val="00BB4A7A"/>
    <w:rsid w:val="00BB6E0D"/>
    <w:rsid w:val="00BB7A80"/>
    <w:rsid w:val="00BC033B"/>
    <w:rsid w:val="00BC142D"/>
    <w:rsid w:val="00BC2970"/>
    <w:rsid w:val="00BC2A01"/>
    <w:rsid w:val="00BC2FAF"/>
    <w:rsid w:val="00BC3AA7"/>
    <w:rsid w:val="00BC42A0"/>
    <w:rsid w:val="00BC455B"/>
    <w:rsid w:val="00BC54AE"/>
    <w:rsid w:val="00BC6361"/>
    <w:rsid w:val="00BC647B"/>
    <w:rsid w:val="00BD0282"/>
    <w:rsid w:val="00BD03F1"/>
    <w:rsid w:val="00BD0EB7"/>
    <w:rsid w:val="00BD1659"/>
    <w:rsid w:val="00BD2174"/>
    <w:rsid w:val="00BD2197"/>
    <w:rsid w:val="00BD44E4"/>
    <w:rsid w:val="00BD46CC"/>
    <w:rsid w:val="00BD53F3"/>
    <w:rsid w:val="00BD76AD"/>
    <w:rsid w:val="00BD7F6D"/>
    <w:rsid w:val="00BE059E"/>
    <w:rsid w:val="00BE0DD4"/>
    <w:rsid w:val="00BE1AA7"/>
    <w:rsid w:val="00BE307E"/>
    <w:rsid w:val="00BE31AD"/>
    <w:rsid w:val="00BE34BD"/>
    <w:rsid w:val="00BE34CA"/>
    <w:rsid w:val="00BE41D5"/>
    <w:rsid w:val="00BE44E9"/>
    <w:rsid w:val="00BE4CDF"/>
    <w:rsid w:val="00BE58B6"/>
    <w:rsid w:val="00BE5E87"/>
    <w:rsid w:val="00BE63B5"/>
    <w:rsid w:val="00BE686F"/>
    <w:rsid w:val="00BE6DAE"/>
    <w:rsid w:val="00BE7978"/>
    <w:rsid w:val="00BE7C5A"/>
    <w:rsid w:val="00BF13CE"/>
    <w:rsid w:val="00BF1527"/>
    <w:rsid w:val="00BF1E53"/>
    <w:rsid w:val="00BF1ED0"/>
    <w:rsid w:val="00BF212E"/>
    <w:rsid w:val="00BF227D"/>
    <w:rsid w:val="00BF255D"/>
    <w:rsid w:val="00BF27EF"/>
    <w:rsid w:val="00BF3165"/>
    <w:rsid w:val="00BF344F"/>
    <w:rsid w:val="00BF5055"/>
    <w:rsid w:val="00BF525B"/>
    <w:rsid w:val="00BF5BD3"/>
    <w:rsid w:val="00BF5C18"/>
    <w:rsid w:val="00BF6001"/>
    <w:rsid w:val="00BF6023"/>
    <w:rsid w:val="00BF61F4"/>
    <w:rsid w:val="00BF623A"/>
    <w:rsid w:val="00BF628F"/>
    <w:rsid w:val="00BF64A7"/>
    <w:rsid w:val="00BF7960"/>
    <w:rsid w:val="00C000E9"/>
    <w:rsid w:val="00C00247"/>
    <w:rsid w:val="00C00A2F"/>
    <w:rsid w:val="00C00D87"/>
    <w:rsid w:val="00C01112"/>
    <w:rsid w:val="00C01183"/>
    <w:rsid w:val="00C012A1"/>
    <w:rsid w:val="00C01D95"/>
    <w:rsid w:val="00C035DD"/>
    <w:rsid w:val="00C0383A"/>
    <w:rsid w:val="00C0485B"/>
    <w:rsid w:val="00C04C96"/>
    <w:rsid w:val="00C05E4E"/>
    <w:rsid w:val="00C05F4A"/>
    <w:rsid w:val="00C06310"/>
    <w:rsid w:val="00C075AE"/>
    <w:rsid w:val="00C07852"/>
    <w:rsid w:val="00C07916"/>
    <w:rsid w:val="00C07942"/>
    <w:rsid w:val="00C07AFF"/>
    <w:rsid w:val="00C11390"/>
    <w:rsid w:val="00C1169C"/>
    <w:rsid w:val="00C123F6"/>
    <w:rsid w:val="00C12687"/>
    <w:rsid w:val="00C130AC"/>
    <w:rsid w:val="00C13F96"/>
    <w:rsid w:val="00C1542C"/>
    <w:rsid w:val="00C15594"/>
    <w:rsid w:val="00C15849"/>
    <w:rsid w:val="00C1636A"/>
    <w:rsid w:val="00C16C0F"/>
    <w:rsid w:val="00C16C24"/>
    <w:rsid w:val="00C16CED"/>
    <w:rsid w:val="00C16E44"/>
    <w:rsid w:val="00C2091A"/>
    <w:rsid w:val="00C214DC"/>
    <w:rsid w:val="00C21C80"/>
    <w:rsid w:val="00C21F9E"/>
    <w:rsid w:val="00C22865"/>
    <w:rsid w:val="00C2298A"/>
    <w:rsid w:val="00C2318C"/>
    <w:rsid w:val="00C2351E"/>
    <w:rsid w:val="00C2420B"/>
    <w:rsid w:val="00C24BC9"/>
    <w:rsid w:val="00C25FFA"/>
    <w:rsid w:val="00C2709E"/>
    <w:rsid w:val="00C2784A"/>
    <w:rsid w:val="00C302C1"/>
    <w:rsid w:val="00C30A49"/>
    <w:rsid w:val="00C30D77"/>
    <w:rsid w:val="00C30FD6"/>
    <w:rsid w:val="00C31382"/>
    <w:rsid w:val="00C31896"/>
    <w:rsid w:val="00C3264C"/>
    <w:rsid w:val="00C32EB4"/>
    <w:rsid w:val="00C33062"/>
    <w:rsid w:val="00C3413B"/>
    <w:rsid w:val="00C35341"/>
    <w:rsid w:val="00C35F94"/>
    <w:rsid w:val="00C3616C"/>
    <w:rsid w:val="00C362AB"/>
    <w:rsid w:val="00C36A06"/>
    <w:rsid w:val="00C36CE1"/>
    <w:rsid w:val="00C375E3"/>
    <w:rsid w:val="00C37775"/>
    <w:rsid w:val="00C37F92"/>
    <w:rsid w:val="00C41702"/>
    <w:rsid w:val="00C41773"/>
    <w:rsid w:val="00C41E55"/>
    <w:rsid w:val="00C42387"/>
    <w:rsid w:val="00C42C36"/>
    <w:rsid w:val="00C432B5"/>
    <w:rsid w:val="00C441D2"/>
    <w:rsid w:val="00C44542"/>
    <w:rsid w:val="00C4533B"/>
    <w:rsid w:val="00C45478"/>
    <w:rsid w:val="00C455A8"/>
    <w:rsid w:val="00C45648"/>
    <w:rsid w:val="00C456EC"/>
    <w:rsid w:val="00C45B07"/>
    <w:rsid w:val="00C47F15"/>
    <w:rsid w:val="00C50083"/>
    <w:rsid w:val="00C50543"/>
    <w:rsid w:val="00C506BC"/>
    <w:rsid w:val="00C50DD2"/>
    <w:rsid w:val="00C50EAA"/>
    <w:rsid w:val="00C51E0D"/>
    <w:rsid w:val="00C52648"/>
    <w:rsid w:val="00C52814"/>
    <w:rsid w:val="00C53E9F"/>
    <w:rsid w:val="00C544DC"/>
    <w:rsid w:val="00C54C65"/>
    <w:rsid w:val="00C55549"/>
    <w:rsid w:val="00C55615"/>
    <w:rsid w:val="00C55E48"/>
    <w:rsid w:val="00C5699A"/>
    <w:rsid w:val="00C60206"/>
    <w:rsid w:val="00C61697"/>
    <w:rsid w:val="00C61BCB"/>
    <w:rsid w:val="00C6242E"/>
    <w:rsid w:val="00C62A58"/>
    <w:rsid w:val="00C62C4D"/>
    <w:rsid w:val="00C63730"/>
    <w:rsid w:val="00C64DD0"/>
    <w:rsid w:val="00C661C6"/>
    <w:rsid w:val="00C6670B"/>
    <w:rsid w:val="00C677A8"/>
    <w:rsid w:val="00C679ED"/>
    <w:rsid w:val="00C67D99"/>
    <w:rsid w:val="00C67E66"/>
    <w:rsid w:val="00C70869"/>
    <w:rsid w:val="00C70B20"/>
    <w:rsid w:val="00C717ED"/>
    <w:rsid w:val="00C723E2"/>
    <w:rsid w:val="00C73CD1"/>
    <w:rsid w:val="00C740B5"/>
    <w:rsid w:val="00C746D7"/>
    <w:rsid w:val="00C74CD9"/>
    <w:rsid w:val="00C75A8B"/>
    <w:rsid w:val="00C767B8"/>
    <w:rsid w:val="00C76853"/>
    <w:rsid w:val="00C76D25"/>
    <w:rsid w:val="00C77869"/>
    <w:rsid w:val="00C8002F"/>
    <w:rsid w:val="00C806D1"/>
    <w:rsid w:val="00C81BBD"/>
    <w:rsid w:val="00C82F22"/>
    <w:rsid w:val="00C83439"/>
    <w:rsid w:val="00C83E43"/>
    <w:rsid w:val="00C85593"/>
    <w:rsid w:val="00C85A5C"/>
    <w:rsid w:val="00C85CA8"/>
    <w:rsid w:val="00C86001"/>
    <w:rsid w:val="00C8672F"/>
    <w:rsid w:val="00C86874"/>
    <w:rsid w:val="00C86A34"/>
    <w:rsid w:val="00C86FC9"/>
    <w:rsid w:val="00C870C7"/>
    <w:rsid w:val="00C875B7"/>
    <w:rsid w:val="00C91160"/>
    <w:rsid w:val="00C91576"/>
    <w:rsid w:val="00C9189B"/>
    <w:rsid w:val="00C918F8"/>
    <w:rsid w:val="00C92125"/>
    <w:rsid w:val="00C92556"/>
    <w:rsid w:val="00C93BAB"/>
    <w:rsid w:val="00C93C46"/>
    <w:rsid w:val="00C94569"/>
    <w:rsid w:val="00C94FBB"/>
    <w:rsid w:val="00C950EE"/>
    <w:rsid w:val="00C96135"/>
    <w:rsid w:val="00C9651C"/>
    <w:rsid w:val="00C96822"/>
    <w:rsid w:val="00C96A03"/>
    <w:rsid w:val="00C97F83"/>
    <w:rsid w:val="00CA00BF"/>
    <w:rsid w:val="00CA00E3"/>
    <w:rsid w:val="00CA037E"/>
    <w:rsid w:val="00CA089D"/>
    <w:rsid w:val="00CA17D9"/>
    <w:rsid w:val="00CA2181"/>
    <w:rsid w:val="00CA286F"/>
    <w:rsid w:val="00CA358A"/>
    <w:rsid w:val="00CA3B12"/>
    <w:rsid w:val="00CA3B22"/>
    <w:rsid w:val="00CA40DF"/>
    <w:rsid w:val="00CA4A64"/>
    <w:rsid w:val="00CA4D6C"/>
    <w:rsid w:val="00CA4D6D"/>
    <w:rsid w:val="00CA558A"/>
    <w:rsid w:val="00CA6206"/>
    <w:rsid w:val="00CA6A2D"/>
    <w:rsid w:val="00CA6E24"/>
    <w:rsid w:val="00CA76CA"/>
    <w:rsid w:val="00CA79EA"/>
    <w:rsid w:val="00CB09E6"/>
    <w:rsid w:val="00CB0B49"/>
    <w:rsid w:val="00CB0FCD"/>
    <w:rsid w:val="00CB210D"/>
    <w:rsid w:val="00CB3E46"/>
    <w:rsid w:val="00CB4AD5"/>
    <w:rsid w:val="00CB59D0"/>
    <w:rsid w:val="00CB68CD"/>
    <w:rsid w:val="00CB6BBC"/>
    <w:rsid w:val="00CB727D"/>
    <w:rsid w:val="00CB775B"/>
    <w:rsid w:val="00CC0823"/>
    <w:rsid w:val="00CC1365"/>
    <w:rsid w:val="00CC1509"/>
    <w:rsid w:val="00CC2208"/>
    <w:rsid w:val="00CC221D"/>
    <w:rsid w:val="00CC381F"/>
    <w:rsid w:val="00CC3926"/>
    <w:rsid w:val="00CC46C2"/>
    <w:rsid w:val="00CC5130"/>
    <w:rsid w:val="00CC5679"/>
    <w:rsid w:val="00CC626D"/>
    <w:rsid w:val="00CC6C3D"/>
    <w:rsid w:val="00CD08F4"/>
    <w:rsid w:val="00CD1608"/>
    <w:rsid w:val="00CD26F3"/>
    <w:rsid w:val="00CD272A"/>
    <w:rsid w:val="00CD2E0E"/>
    <w:rsid w:val="00CD3460"/>
    <w:rsid w:val="00CD38D6"/>
    <w:rsid w:val="00CD3DBB"/>
    <w:rsid w:val="00CD4031"/>
    <w:rsid w:val="00CD44A4"/>
    <w:rsid w:val="00CD4CAE"/>
    <w:rsid w:val="00CD4E56"/>
    <w:rsid w:val="00CD5321"/>
    <w:rsid w:val="00CD658E"/>
    <w:rsid w:val="00CD6A39"/>
    <w:rsid w:val="00CD6B9D"/>
    <w:rsid w:val="00CD73E3"/>
    <w:rsid w:val="00CD75B2"/>
    <w:rsid w:val="00CD797B"/>
    <w:rsid w:val="00CD7F5B"/>
    <w:rsid w:val="00CE29FC"/>
    <w:rsid w:val="00CE2BA0"/>
    <w:rsid w:val="00CE367F"/>
    <w:rsid w:val="00CE4C48"/>
    <w:rsid w:val="00CE55D5"/>
    <w:rsid w:val="00CE583E"/>
    <w:rsid w:val="00CE66CB"/>
    <w:rsid w:val="00CE7BE2"/>
    <w:rsid w:val="00CF01F2"/>
    <w:rsid w:val="00CF0317"/>
    <w:rsid w:val="00CF046C"/>
    <w:rsid w:val="00CF0B58"/>
    <w:rsid w:val="00CF31BC"/>
    <w:rsid w:val="00CF37F2"/>
    <w:rsid w:val="00CF3840"/>
    <w:rsid w:val="00CF52FF"/>
    <w:rsid w:val="00CF535F"/>
    <w:rsid w:val="00CF54EB"/>
    <w:rsid w:val="00CF5CA0"/>
    <w:rsid w:val="00CF69CC"/>
    <w:rsid w:val="00CF6DBF"/>
    <w:rsid w:val="00CF6E28"/>
    <w:rsid w:val="00CF6F63"/>
    <w:rsid w:val="00CF70A8"/>
    <w:rsid w:val="00D002A3"/>
    <w:rsid w:val="00D0061E"/>
    <w:rsid w:val="00D00EB7"/>
    <w:rsid w:val="00D01254"/>
    <w:rsid w:val="00D0334A"/>
    <w:rsid w:val="00D03AAA"/>
    <w:rsid w:val="00D03B71"/>
    <w:rsid w:val="00D044A6"/>
    <w:rsid w:val="00D05635"/>
    <w:rsid w:val="00D056BC"/>
    <w:rsid w:val="00D056F5"/>
    <w:rsid w:val="00D05ABA"/>
    <w:rsid w:val="00D06596"/>
    <w:rsid w:val="00D06962"/>
    <w:rsid w:val="00D07622"/>
    <w:rsid w:val="00D07A65"/>
    <w:rsid w:val="00D11360"/>
    <w:rsid w:val="00D11386"/>
    <w:rsid w:val="00D1145D"/>
    <w:rsid w:val="00D11884"/>
    <w:rsid w:val="00D12165"/>
    <w:rsid w:val="00D12382"/>
    <w:rsid w:val="00D12670"/>
    <w:rsid w:val="00D126F1"/>
    <w:rsid w:val="00D12FA2"/>
    <w:rsid w:val="00D13098"/>
    <w:rsid w:val="00D13510"/>
    <w:rsid w:val="00D13DA3"/>
    <w:rsid w:val="00D142D6"/>
    <w:rsid w:val="00D14B24"/>
    <w:rsid w:val="00D14EBA"/>
    <w:rsid w:val="00D162B5"/>
    <w:rsid w:val="00D16660"/>
    <w:rsid w:val="00D1671E"/>
    <w:rsid w:val="00D1682A"/>
    <w:rsid w:val="00D1718D"/>
    <w:rsid w:val="00D2097B"/>
    <w:rsid w:val="00D20BE1"/>
    <w:rsid w:val="00D214DB"/>
    <w:rsid w:val="00D21B01"/>
    <w:rsid w:val="00D21DA0"/>
    <w:rsid w:val="00D2227A"/>
    <w:rsid w:val="00D225D6"/>
    <w:rsid w:val="00D227F3"/>
    <w:rsid w:val="00D22FEE"/>
    <w:rsid w:val="00D23024"/>
    <w:rsid w:val="00D23027"/>
    <w:rsid w:val="00D230E4"/>
    <w:rsid w:val="00D233A2"/>
    <w:rsid w:val="00D23700"/>
    <w:rsid w:val="00D24433"/>
    <w:rsid w:val="00D25E20"/>
    <w:rsid w:val="00D25E28"/>
    <w:rsid w:val="00D263E3"/>
    <w:rsid w:val="00D2778E"/>
    <w:rsid w:val="00D301F3"/>
    <w:rsid w:val="00D31A7E"/>
    <w:rsid w:val="00D31AC9"/>
    <w:rsid w:val="00D31C64"/>
    <w:rsid w:val="00D32457"/>
    <w:rsid w:val="00D327A4"/>
    <w:rsid w:val="00D32F07"/>
    <w:rsid w:val="00D33878"/>
    <w:rsid w:val="00D34048"/>
    <w:rsid w:val="00D35525"/>
    <w:rsid w:val="00D35544"/>
    <w:rsid w:val="00D362F8"/>
    <w:rsid w:val="00D36A98"/>
    <w:rsid w:val="00D37817"/>
    <w:rsid w:val="00D408C5"/>
    <w:rsid w:val="00D41514"/>
    <w:rsid w:val="00D41C5F"/>
    <w:rsid w:val="00D41FDB"/>
    <w:rsid w:val="00D42228"/>
    <w:rsid w:val="00D427FD"/>
    <w:rsid w:val="00D43448"/>
    <w:rsid w:val="00D438A6"/>
    <w:rsid w:val="00D43E16"/>
    <w:rsid w:val="00D44F5D"/>
    <w:rsid w:val="00D45249"/>
    <w:rsid w:val="00D461F6"/>
    <w:rsid w:val="00D468E2"/>
    <w:rsid w:val="00D5043E"/>
    <w:rsid w:val="00D50F75"/>
    <w:rsid w:val="00D51238"/>
    <w:rsid w:val="00D51CDE"/>
    <w:rsid w:val="00D520E7"/>
    <w:rsid w:val="00D52376"/>
    <w:rsid w:val="00D52567"/>
    <w:rsid w:val="00D526FC"/>
    <w:rsid w:val="00D5284C"/>
    <w:rsid w:val="00D5354D"/>
    <w:rsid w:val="00D5372D"/>
    <w:rsid w:val="00D53C50"/>
    <w:rsid w:val="00D54030"/>
    <w:rsid w:val="00D54C5B"/>
    <w:rsid w:val="00D5566A"/>
    <w:rsid w:val="00D55F02"/>
    <w:rsid w:val="00D564CD"/>
    <w:rsid w:val="00D56CBA"/>
    <w:rsid w:val="00D56E49"/>
    <w:rsid w:val="00D60147"/>
    <w:rsid w:val="00D619F3"/>
    <w:rsid w:val="00D61E2C"/>
    <w:rsid w:val="00D62129"/>
    <w:rsid w:val="00D62180"/>
    <w:rsid w:val="00D625CA"/>
    <w:rsid w:val="00D629EE"/>
    <w:rsid w:val="00D6348D"/>
    <w:rsid w:val="00D636D0"/>
    <w:rsid w:val="00D6372D"/>
    <w:rsid w:val="00D63C2B"/>
    <w:rsid w:val="00D63D7C"/>
    <w:rsid w:val="00D6406B"/>
    <w:rsid w:val="00D640D6"/>
    <w:rsid w:val="00D642F5"/>
    <w:rsid w:val="00D64D13"/>
    <w:rsid w:val="00D650A2"/>
    <w:rsid w:val="00D65738"/>
    <w:rsid w:val="00D65A98"/>
    <w:rsid w:val="00D664DF"/>
    <w:rsid w:val="00D66F08"/>
    <w:rsid w:val="00D67837"/>
    <w:rsid w:val="00D67F50"/>
    <w:rsid w:val="00D70CF5"/>
    <w:rsid w:val="00D70FFB"/>
    <w:rsid w:val="00D713CC"/>
    <w:rsid w:val="00D71706"/>
    <w:rsid w:val="00D7180C"/>
    <w:rsid w:val="00D727BC"/>
    <w:rsid w:val="00D73428"/>
    <w:rsid w:val="00D73EA3"/>
    <w:rsid w:val="00D741A1"/>
    <w:rsid w:val="00D74BB5"/>
    <w:rsid w:val="00D74DB6"/>
    <w:rsid w:val="00D74E12"/>
    <w:rsid w:val="00D75E3A"/>
    <w:rsid w:val="00D8002B"/>
    <w:rsid w:val="00D801E3"/>
    <w:rsid w:val="00D802B9"/>
    <w:rsid w:val="00D81BFE"/>
    <w:rsid w:val="00D82530"/>
    <w:rsid w:val="00D82910"/>
    <w:rsid w:val="00D82C11"/>
    <w:rsid w:val="00D832F6"/>
    <w:rsid w:val="00D833C3"/>
    <w:rsid w:val="00D833F7"/>
    <w:rsid w:val="00D836B6"/>
    <w:rsid w:val="00D838AC"/>
    <w:rsid w:val="00D847F7"/>
    <w:rsid w:val="00D867EF"/>
    <w:rsid w:val="00D8765C"/>
    <w:rsid w:val="00D87A27"/>
    <w:rsid w:val="00D909A4"/>
    <w:rsid w:val="00D90DEA"/>
    <w:rsid w:val="00D91AC2"/>
    <w:rsid w:val="00D91EDA"/>
    <w:rsid w:val="00D921A3"/>
    <w:rsid w:val="00D92384"/>
    <w:rsid w:val="00D92CF1"/>
    <w:rsid w:val="00D93505"/>
    <w:rsid w:val="00D9425A"/>
    <w:rsid w:val="00D94836"/>
    <w:rsid w:val="00D95047"/>
    <w:rsid w:val="00D95247"/>
    <w:rsid w:val="00D9566B"/>
    <w:rsid w:val="00D96041"/>
    <w:rsid w:val="00D961B5"/>
    <w:rsid w:val="00D9646D"/>
    <w:rsid w:val="00D9667F"/>
    <w:rsid w:val="00DA0F8A"/>
    <w:rsid w:val="00DA1375"/>
    <w:rsid w:val="00DA15EE"/>
    <w:rsid w:val="00DA263E"/>
    <w:rsid w:val="00DA268D"/>
    <w:rsid w:val="00DA2A96"/>
    <w:rsid w:val="00DA2C39"/>
    <w:rsid w:val="00DA2DD3"/>
    <w:rsid w:val="00DA31E9"/>
    <w:rsid w:val="00DA320A"/>
    <w:rsid w:val="00DA3221"/>
    <w:rsid w:val="00DA3BA2"/>
    <w:rsid w:val="00DA3C58"/>
    <w:rsid w:val="00DA42E8"/>
    <w:rsid w:val="00DA48AE"/>
    <w:rsid w:val="00DA5106"/>
    <w:rsid w:val="00DA5BD7"/>
    <w:rsid w:val="00DA5D0B"/>
    <w:rsid w:val="00DA6039"/>
    <w:rsid w:val="00DA6372"/>
    <w:rsid w:val="00DA6CAD"/>
    <w:rsid w:val="00DA75A7"/>
    <w:rsid w:val="00DA76CD"/>
    <w:rsid w:val="00DA7CE3"/>
    <w:rsid w:val="00DB1C5B"/>
    <w:rsid w:val="00DB2781"/>
    <w:rsid w:val="00DB288A"/>
    <w:rsid w:val="00DB3206"/>
    <w:rsid w:val="00DB3E4F"/>
    <w:rsid w:val="00DB5543"/>
    <w:rsid w:val="00DB5AB9"/>
    <w:rsid w:val="00DB6337"/>
    <w:rsid w:val="00DB64E3"/>
    <w:rsid w:val="00DB65C6"/>
    <w:rsid w:val="00DB70D1"/>
    <w:rsid w:val="00DC05F7"/>
    <w:rsid w:val="00DC0B40"/>
    <w:rsid w:val="00DC1575"/>
    <w:rsid w:val="00DC1C70"/>
    <w:rsid w:val="00DC27F9"/>
    <w:rsid w:val="00DC2C3C"/>
    <w:rsid w:val="00DC2CE8"/>
    <w:rsid w:val="00DC3469"/>
    <w:rsid w:val="00DC3654"/>
    <w:rsid w:val="00DC3940"/>
    <w:rsid w:val="00DC3F5C"/>
    <w:rsid w:val="00DC46C6"/>
    <w:rsid w:val="00DC51EA"/>
    <w:rsid w:val="00DC56B3"/>
    <w:rsid w:val="00DC691E"/>
    <w:rsid w:val="00DC6E0F"/>
    <w:rsid w:val="00DD06BF"/>
    <w:rsid w:val="00DD0E87"/>
    <w:rsid w:val="00DD0F0D"/>
    <w:rsid w:val="00DD16EA"/>
    <w:rsid w:val="00DD2714"/>
    <w:rsid w:val="00DD2B18"/>
    <w:rsid w:val="00DD530E"/>
    <w:rsid w:val="00DD5642"/>
    <w:rsid w:val="00DD6724"/>
    <w:rsid w:val="00DE030E"/>
    <w:rsid w:val="00DE0E73"/>
    <w:rsid w:val="00DE1234"/>
    <w:rsid w:val="00DE1BE2"/>
    <w:rsid w:val="00DE21F0"/>
    <w:rsid w:val="00DE2529"/>
    <w:rsid w:val="00DE3E65"/>
    <w:rsid w:val="00DE5677"/>
    <w:rsid w:val="00DE5E04"/>
    <w:rsid w:val="00DE65EA"/>
    <w:rsid w:val="00DE6A3D"/>
    <w:rsid w:val="00DE6E9E"/>
    <w:rsid w:val="00DE72C4"/>
    <w:rsid w:val="00DE73AD"/>
    <w:rsid w:val="00DE7F61"/>
    <w:rsid w:val="00DF02A5"/>
    <w:rsid w:val="00DF02C2"/>
    <w:rsid w:val="00DF142E"/>
    <w:rsid w:val="00DF1CC1"/>
    <w:rsid w:val="00DF1CDE"/>
    <w:rsid w:val="00DF23A5"/>
    <w:rsid w:val="00DF2DBB"/>
    <w:rsid w:val="00DF341B"/>
    <w:rsid w:val="00DF388B"/>
    <w:rsid w:val="00DF3B8F"/>
    <w:rsid w:val="00DF40B2"/>
    <w:rsid w:val="00DF5867"/>
    <w:rsid w:val="00DF5891"/>
    <w:rsid w:val="00DF5FE6"/>
    <w:rsid w:val="00DF6338"/>
    <w:rsid w:val="00E00EEE"/>
    <w:rsid w:val="00E0138C"/>
    <w:rsid w:val="00E01894"/>
    <w:rsid w:val="00E0219F"/>
    <w:rsid w:val="00E028B4"/>
    <w:rsid w:val="00E03339"/>
    <w:rsid w:val="00E03DBB"/>
    <w:rsid w:val="00E046F8"/>
    <w:rsid w:val="00E05131"/>
    <w:rsid w:val="00E05580"/>
    <w:rsid w:val="00E05A74"/>
    <w:rsid w:val="00E062F3"/>
    <w:rsid w:val="00E06C91"/>
    <w:rsid w:val="00E06E92"/>
    <w:rsid w:val="00E0702A"/>
    <w:rsid w:val="00E07F0B"/>
    <w:rsid w:val="00E07F46"/>
    <w:rsid w:val="00E11300"/>
    <w:rsid w:val="00E11660"/>
    <w:rsid w:val="00E121C3"/>
    <w:rsid w:val="00E12725"/>
    <w:rsid w:val="00E12E59"/>
    <w:rsid w:val="00E12EA0"/>
    <w:rsid w:val="00E12FE8"/>
    <w:rsid w:val="00E14C73"/>
    <w:rsid w:val="00E15A86"/>
    <w:rsid w:val="00E15B9F"/>
    <w:rsid w:val="00E15D5E"/>
    <w:rsid w:val="00E15D82"/>
    <w:rsid w:val="00E1667E"/>
    <w:rsid w:val="00E16A90"/>
    <w:rsid w:val="00E16ACB"/>
    <w:rsid w:val="00E16DE6"/>
    <w:rsid w:val="00E20573"/>
    <w:rsid w:val="00E206B1"/>
    <w:rsid w:val="00E20E1F"/>
    <w:rsid w:val="00E20F83"/>
    <w:rsid w:val="00E21616"/>
    <w:rsid w:val="00E21E8E"/>
    <w:rsid w:val="00E21EF6"/>
    <w:rsid w:val="00E22A11"/>
    <w:rsid w:val="00E23262"/>
    <w:rsid w:val="00E24A9B"/>
    <w:rsid w:val="00E24BA9"/>
    <w:rsid w:val="00E25661"/>
    <w:rsid w:val="00E261D8"/>
    <w:rsid w:val="00E26264"/>
    <w:rsid w:val="00E266C5"/>
    <w:rsid w:val="00E267F9"/>
    <w:rsid w:val="00E26C34"/>
    <w:rsid w:val="00E26C7B"/>
    <w:rsid w:val="00E27598"/>
    <w:rsid w:val="00E27994"/>
    <w:rsid w:val="00E30DA2"/>
    <w:rsid w:val="00E31029"/>
    <w:rsid w:val="00E317DD"/>
    <w:rsid w:val="00E31B47"/>
    <w:rsid w:val="00E330D1"/>
    <w:rsid w:val="00E33B6B"/>
    <w:rsid w:val="00E33F8D"/>
    <w:rsid w:val="00E33FAE"/>
    <w:rsid w:val="00E34223"/>
    <w:rsid w:val="00E342EC"/>
    <w:rsid w:val="00E35280"/>
    <w:rsid w:val="00E35FBF"/>
    <w:rsid w:val="00E36B5F"/>
    <w:rsid w:val="00E36EF9"/>
    <w:rsid w:val="00E40CBB"/>
    <w:rsid w:val="00E40E1D"/>
    <w:rsid w:val="00E411E5"/>
    <w:rsid w:val="00E4291E"/>
    <w:rsid w:val="00E42B8F"/>
    <w:rsid w:val="00E42BB9"/>
    <w:rsid w:val="00E42CA4"/>
    <w:rsid w:val="00E4336E"/>
    <w:rsid w:val="00E4366F"/>
    <w:rsid w:val="00E44C9E"/>
    <w:rsid w:val="00E44FD8"/>
    <w:rsid w:val="00E45B84"/>
    <w:rsid w:val="00E46618"/>
    <w:rsid w:val="00E4683E"/>
    <w:rsid w:val="00E468C0"/>
    <w:rsid w:val="00E469E7"/>
    <w:rsid w:val="00E46CED"/>
    <w:rsid w:val="00E46E4E"/>
    <w:rsid w:val="00E47103"/>
    <w:rsid w:val="00E479F3"/>
    <w:rsid w:val="00E47F7E"/>
    <w:rsid w:val="00E5049E"/>
    <w:rsid w:val="00E505DF"/>
    <w:rsid w:val="00E50894"/>
    <w:rsid w:val="00E509ED"/>
    <w:rsid w:val="00E50BCD"/>
    <w:rsid w:val="00E513E1"/>
    <w:rsid w:val="00E51796"/>
    <w:rsid w:val="00E51CE9"/>
    <w:rsid w:val="00E52635"/>
    <w:rsid w:val="00E526D9"/>
    <w:rsid w:val="00E532C5"/>
    <w:rsid w:val="00E539B8"/>
    <w:rsid w:val="00E539E5"/>
    <w:rsid w:val="00E540B5"/>
    <w:rsid w:val="00E543DF"/>
    <w:rsid w:val="00E547BD"/>
    <w:rsid w:val="00E54D81"/>
    <w:rsid w:val="00E54F2B"/>
    <w:rsid w:val="00E557DE"/>
    <w:rsid w:val="00E55C98"/>
    <w:rsid w:val="00E566B3"/>
    <w:rsid w:val="00E567B5"/>
    <w:rsid w:val="00E57ACE"/>
    <w:rsid w:val="00E57E57"/>
    <w:rsid w:val="00E57ED9"/>
    <w:rsid w:val="00E57FAD"/>
    <w:rsid w:val="00E6069C"/>
    <w:rsid w:val="00E60D7E"/>
    <w:rsid w:val="00E6179B"/>
    <w:rsid w:val="00E61CD9"/>
    <w:rsid w:val="00E63230"/>
    <w:rsid w:val="00E63943"/>
    <w:rsid w:val="00E63AE1"/>
    <w:rsid w:val="00E63B42"/>
    <w:rsid w:val="00E63B53"/>
    <w:rsid w:val="00E63F91"/>
    <w:rsid w:val="00E64A0A"/>
    <w:rsid w:val="00E64C38"/>
    <w:rsid w:val="00E64C40"/>
    <w:rsid w:val="00E64D53"/>
    <w:rsid w:val="00E650BA"/>
    <w:rsid w:val="00E65817"/>
    <w:rsid w:val="00E67336"/>
    <w:rsid w:val="00E6781C"/>
    <w:rsid w:val="00E7095D"/>
    <w:rsid w:val="00E709D6"/>
    <w:rsid w:val="00E716B7"/>
    <w:rsid w:val="00E71A16"/>
    <w:rsid w:val="00E72914"/>
    <w:rsid w:val="00E72D06"/>
    <w:rsid w:val="00E737DA"/>
    <w:rsid w:val="00E73D02"/>
    <w:rsid w:val="00E74242"/>
    <w:rsid w:val="00E75901"/>
    <w:rsid w:val="00E76094"/>
    <w:rsid w:val="00E763AF"/>
    <w:rsid w:val="00E77209"/>
    <w:rsid w:val="00E8045C"/>
    <w:rsid w:val="00E80663"/>
    <w:rsid w:val="00E810CC"/>
    <w:rsid w:val="00E81531"/>
    <w:rsid w:val="00E81769"/>
    <w:rsid w:val="00E82909"/>
    <w:rsid w:val="00E82CE2"/>
    <w:rsid w:val="00E83274"/>
    <w:rsid w:val="00E835B0"/>
    <w:rsid w:val="00E8369F"/>
    <w:rsid w:val="00E837AE"/>
    <w:rsid w:val="00E83D3F"/>
    <w:rsid w:val="00E841DC"/>
    <w:rsid w:val="00E846F4"/>
    <w:rsid w:val="00E848B1"/>
    <w:rsid w:val="00E85529"/>
    <w:rsid w:val="00E85861"/>
    <w:rsid w:val="00E85BB9"/>
    <w:rsid w:val="00E8653E"/>
    <w:rsid w:val="00E86D3E"/>
    <w:rsid w:val="00E86E28"/>
    <w:rsid w:val="00E8711C"/>
    <w:rsid w:val="00E87365"/>
    <w:rsid w:val="00E87818"/>
    <w:rsid w:val="00E87860"/>
    <w:rsid w:val="00E87CA2"/>
    <w:rsid w:val="00E90A3B"/>
    <w:rsid w:val="00E9122A"/>
    <w:rsid w:val="00E91CAA"/>
    <w:rsid w:val="00E92048"/>
    <w:rsid w:val="00E92D9C"/>
    <w:rsid w:val="00E93288"/>
    <w:rsid w:val="00E93BA2"/>
    <w:rsid w:val="00E93F08"/>
    <w:rsid w:val="00E948B7"/>
    <w:rsid w:val="00E957A4"/>
    <w:rsid w:val="00E959DF"/>
    <w:rsid w:val="00E964B8"/>
    <w:rsid w:val="00E9665A"/>
    <w:rsid w:val="00E968FF"/>
    <w:rsid w:val="00E97094"/>
    <w:rsid w:val="00EA0267"/>
    <w:rsid w:val="00EA04E9"/>
    <w:rsid w:val="00EA144F"/>
    <w:rsid w:val="00EA14AC"/>
    <w:rsid w:val="00EA1688"/>
    <w:rsid w:val="00EA1862"/>
    <w:rsid w:val="00EA2739"/>
    <w:rsid w:val="00EA2877"/>
    <w:rsid w:val="00EA2A23"/>
    <w:rsid w:val="00EA2F23"/>
    <w:rsid w:val="00EA41B8"/>
    <w:rsid w:val="00EA41E5"/>
    <w:rsid w:val="00EA43B1"/>
    <w:rsid w:val="00EA4B8C"/>
    <w:rsid w:val="00EA58EB"/>
    <w:rsid w:val="00EA5A7B"/>
    <w:rsid w:val="00EA6583"/>
    <w:rsid w:val="00EA6D6D"/>
    <w:rsid w:val="00EA7EF0"/>
    <w:rsid w:val="00EB0B02"/>
    <w:rsid w:val="00EB15A3"/>
    <w:rsid w:val="00EB19AF"/>
    <w:rsid w:val="00EB20B5"/>
    <w:rsid w:val="00EB2C26"/>
    <w:rsid w:val="00EB3620"/>
    <w:rsid w:val="00EB40FD"/>
    <w:rsid w:val="00EB474D"/>
    <w:rsid w:val="00EB57C0"/>
    <w:rsid w:val="00EB5E57"/>
    <w:rsid w:val="00EB6027"/>
    <w:rsid w:val="00EB79D0"/>
    <w:rsid w:val="00EC0913"/>
    <w:rsid w:val="00EC26E3"/>
    <w:rsid w:val="00EC3302"/>
    <w:rsid w:val="00EC3687"/>
    <w:rsid w:val="00EC3BBC"/>
    <w:rsid w:val="00EC3BC6"/>
    <w:rsid w:val="00EC3E90"/>
    <w:rsid w:val="00EC451A"/>
    <w:rsid w:val="00EC4C8D"/>
    <w:rsid w:val="00EC5D2F"/>
    <w:rsid w:val="00EC5D43"/>
    <w:rsid w:val="00EC6C3D"/>
    <w:rsid w:val="00EC6FED"/>
    <w:rsid w:val="00EC776F"/>
    <w:rsid w:val="00EC7E2C"/>
    <w:rsid w:val="00ED0284"/>
    <w:rsid w:val="00ED0387"/>
    <w:rsid w:val="00ED0FA4"/>
    <w:rsid w:val="00ED1474"/>
    <w:rsid w:val="00ED1900"/>
    <w:rsid w:val="00ED1961"/>
    <w:rsid w:val="00ED1EC8"/>
    <w:rsid w:val="00ED28F2"/>
    <w:rsid w:val="00ED2C95"/>
    <w:rsid w:val="00ED4F77"/>
    <w:rsid w:val="00ED53BD"/>
    <w:rsid w:val="00ED5EC5"/>
    <w:rsid w:val="00ED66E7"/>
    <w:rsid w:val="00ED68D2"/>
    <w:rsid w:val="00ED72CB"/>
    <w:rsid w:val="00ED777F"/>
    <w:rsid w:val="00ED7C73"/>
    <w:rsid w:val="00EE0D58"/>
    <w:rsid w:val="00EE12D6"/>
    <w:rsid w:val="00EE1DAE"/>
    <w:rsid w:val="00EE2430"/>
    <w:rsid w:val="00EE2D4B"/>
    <w:rsid w:val="00EE3CBD"/>
    <w:rsid w:val="00EE43C3"/>
    <w:rsid w:val="00EE470C"/>
    <w:rsid w:val="00EE5B83"/>
    <w:rsid w:val="00EE6A29"/>
    <w:rsid w:val="00EE6B36"/>
    <w:rsid w:val="00EE6F55"/>
    <w:rsid w:val="00EE75E0"/>
    <w:rsid w:val="00EE76CD"/>
    <w:rsid w:val="00EE7B09"/>
    <w:rsid w:val="00EF0292"/>
    <w:rsid w:val="00EF0ADF"/>
    <w:rsid w:val="00EF10DD"/>
    <w:rsid w:val="00EF1450"/>
    <w:rsid w:val="00EF147D"/>
    <w:rsid w:val="00EF1F4E"/>
    <w:rsid w:val="00EF2077"/>
    <w:rsid w:val="00EF2A05"/>
    <w:rsid w:val="00EF2E27"/>
    <w:rsid w:val="00EF3DC5"/>
    <w:rsid w:val="00EF4422"/>
    <w:rsid w:val="00EF44B3"/>
    <w:rsid w:val="00EF4CB9"/>
    <w:rsid w:val="00EF55A5"/>
    <w:rsid w:val="00EF5BAA"/>
    <w:rsid w:val="00EF6241"/>
    <w:rsid w:val="00EF630A"/>
    <w:rsid w:val="00EF69C5"/>
    <w:rsid w:val="00EF6A33"/>
    <w:rsid w:val="00EF6CBF"/>
    <w:rsid w:val="00EF75CD"/>
    <w:rsid w:val="00EF7E56"/>
    <w:rsid w:val="00EF7FC7"/>
    <w:rsid w:val="00F00600"/>
    <w:rsid w:val="00F0063B"/>
    <w:rsid w:val="00F00E3E"/>
    <w:rsid w:val="00F01B9C"/>
    <w:rsid w:val="00F0229C"/>
    <w:rsid w:val="00F02417"/>
    <w:rsid w:val="00F02757"/>
    <w:rsid w:val="00F02B80"/>
    <w:rsid w:val="00F02DFE"/>
    <w:rsid w:val="00F03299"/>
    <w:rsid w:val="00F032EF"/>
    <w:rsid w:val="00F03875"/>
    <w:rsid w:val="00F04638"/>
    <w:rsid w:val="00F0496E"/>
    <w:rsid w:val="00F049B3"/>
    <w:rsid w:val="00F0515A"/>
    <w:rsid w:val="00F05839"/>
    <w:rsid w:val="00F06138"/>
    <w:rsid w:val="00F06454"/>
    <w:rsid w:val="00F07027"/>
    <w:rsid w:val="00F07261"/>
    <w:rsid w:val="00F0776D"/>
    <w:rsid w:val="00F07A54"/>
    <w:rsid w:val="00F07BAD"/>
    <w:rsid w:val="00F07BE2"/>
    <w:rsid w:val="00F07C46"/>
    <w:rsid w:val="00F07DA6"/>
    <w:rsid w:val="00F10ABC"/>
    <w:rsid w:val="00F11B90"/>
    <w:rsid w:val="00F12273"/>
    <w:rsid w:val="00F126AB"/>
    <w:rsid w:val="00F126B6"/>
    <w:rsid w:val="00F12ACC"/>
    <w:rsid w:val="00F12E7B"/>
    <w:rsid w:val="00F12FD0"/>
    <w:rsid w:val="00F13345"/>
    <w:rsid w:val="00F13599"/>
    <w:rsid w:val="00F13F20"/>
    <w:rsid w:val="00F13F5B"/>
    <w:rsid w:val="00F148C1"/>
    <w:rsid w:val="00F157C4"/>
    <w:rsid w:val="00F15961"/>
    <w:rsid w:val="00F16195"/>
    <w:rsid w:val="00F1647F"/>
    <w:rsid w:val="00F16ED6"/>
    <w:rsid w:val="00F177A1"/>
    <w:rsid w:val="00F17910"/>
    <w:rsid w:val="00F17B00"/>
    <w:rsid w:val="00F17EE5"/>
    <w:rsid w:val="00F20212"/>
    <w:rsid w:val="00F204DA"/>
    <w:rsid w:val="00F205FF"/>
    <w:rsid w:val="00F20D0A"/>
    <w:rsid w:val="00F20DB5"/>
    <w:rsid w:val="00F216ED"/>
    <w:rsid w:val="00F21B2B"/>
    <w:rsid w:val="00F22503"/>
    <w:rsid w:val="00F22A97"/>
    <w:rsid w:val="00F22ABE"/>
    <w:rsid w:val="00F230BA"/>
    <w:rsid w:val="00F237FE"/>
    <w:rsid w:val="00F23BA9"/>
    <w:rsid w:val="00F24086"/>
    <w:rsid w:val="00F24DAC"/>
    <w:rsid w:val="00F25210"/>
    <w:rsid w:val="00F25476"/>
    <w:rsid w:val="00F26E91"/>
    <w:rsid w:val="00F27953"/>
    <w:rsid w:val="00F30592"/>
    <w:rsid w:val="00F31208"/>
    <w:rsid w:val="00F313AD"/>
    <w:rsid w:val="00F3187E"/>
    <w:rsid w:val="00F31FCC"/>
    <w:rsid w:val="00F32BC6"/>
    <w:rsid w:val="00F32D08"/>
    <w:rsid w:val="00F335FA"/>
    <w:rsid w:val="00F338B8"/>
    <w:rsid w:val="00F33BC2"/>
    <w:rsid w:val="00F35A7C"/>
    <w:rsid w:val="00F35F27"/>
    <w:rsid w:val="00F36069"/>
    <w:rsid w:val="00F36DC6"/>
    <w:rsid w:val="00F37C65"/>
    <w:rsid w:val="00F37E77"/>
    <w:rsid w:val="00F40C10"/>
    <w:rsid w:val="00F40DCE"/>
    <w:rsid w:val="00F4148D"/>
    <w:rsid w:val="00F42CBD"/>
    <w:rsid w:val="00F432A8"/>
    <w:rsid w:val="00F43598"/>
    <w:rsid w:val="00F449A5"/>
    <w:rsid w:val="00F44A5B"/>
    <w:rsid w:val="00F4511B"/>
    <w:rsid w:val="00F454CB"/>
    <w:rsid w:val="00F456C6"/>
    <w:rsid w:val="00F45F04"/>
    <w:rsid w:val="00F46779"/>
    <w:rsid w:val="00F46838"/>
    <w:rsid w:val="00F46938"/>
    <w:rsid w:val="00F46EE5"/>
    <w:rsid w:val="00F46FE6"/>
    <w:rsid w:val="00F500A3"/>
    <w:rsid w:val="00F50F9E"/>
    <w:rsid w:val="00F5101D"/>
    <w:rsid w:val="00F51375"/>
    <w:rsid w:val="00F51500"/>
    <w:rsid w:val="00F51E0A"/>
    <w:rsid w:val="00F521C1"/>
    <w:rsid w:val="00F526FF"/>
    <w:rsid w:val="00F52791"/>
    <w:rsid w:val="00F527B7"/>
    <w:rsid w:val="00F53231"/>
    <w:rsid w:val="00F53799"/>
    <w:rsid w:val="00F54413"/>
    <w:rsid w:val="00F55432"/>
    <w:rsid w:val="00F5547A"/>
    <w:rsid w:val="00F554D2"/>
    <w:rsid w:val="00F556E7"/>
    <w:rsid w:val="00F55C34"/>
    <w:rsid w:val="00F55C9A"/>
    <w:rsid w:val="00F56E27"/>
    <w:rsid w:val="00F571FE"/>
    <w:rsid w:val="00F577EB"/>
    <w:rsid w:val="00F57B72"/>
    <w:rsid w:val="00F60230"/>
    <w:rsid w:val="00F603DB"/>
    <w:rsid w:val="00F60730"/>
    <w:rsid w:val="00F60D46"/>
    <w:rsid w:val="00F6172F"/>
    <w:rsid w:val="00F61ABC"/>
    <w:rsid w:val="00F633F8"/>
    <w:rsid w:val="00F63803"/>
    <w:rsid w:val="00F63F14"/>
    <w:rsid w:val="00F63F27"/>
    <w:rsid w:val="00F643C1"/>
    <w:rsid w:val="00F64523"/>
    <w:rsid w:val="00F645A0"/>
    <w:rsid w:val="00F64D3A"/>
    <w:rsid w:val="00F65336"/>
    <w:rsid w:val="00F65CAF"/>
    <w:rsid w:val="00F66339"/>
    <w:rsid w:val="00F70009"/>
    <w:rsid w:val="00F701BC"/>
    <w:rsid w:val="00F707CE"/>
    <w:rsid w:val="00F71B45"/>
    <w:rsid w:val="00F72AD9"/>
    <w:rsid w:val="00F72AEC"/>
    <w:rsid w:val="00F73E2F"/>
    <w:rsid w:val="00F742D3"/>
    <w:rsid w:val="00F746E8"/>
    <w:rsid w:val="00F74D49"/>
    <w:rsid w:val="00F75455"/>
    <w:rsid w:val="00F756B8"/>
    <w:rsid w:val="00F76238"/>
    <w:rsid w:val="00F766B1"/>
    <w:rsid w:val="00F76C14"/>
    <w:rsid w:val="00F8215A"/>
    <w:rsid w:val="00F8276E"/>
    <w:rsid w:val="00F83DD9"/>
    <w:rsid w:val="00F85284"/>
    <w:rsid w:val="00F853D1"/>
    <w:rsid w:val="00F85B02"/>
    <w:rsid w:val="00F85D5E"/>
    <w:rsid w:val="00F87020"/>
    <w:rsid w:val="00F878DF"/>
    <w:rsid w:val="00F90FBD"/>
    <w:rsid w:val="00F92E42"/>
    <w:rsid w:val="00F93868"/>
    <w:rsid w:val="00F93A6E"/>
    <w:rsid w:val="00F95356"/>
    <w:rsid w:val="00F95AF9"/>
    <w:rsid w:val="00F95BF4"/>
    <w:rsid w:val="00F974D1"/>
    <w:rsid w:val="00F975AB"/>
    <w:rsid w:val="00FA4AD7"/>
    <w:rsid w:val="00FA502B"/>
    <w:rsid w:val="00FA5585"/>
    <w:rsid w:val="00FA56B2"/>
    <w:rsid w:val="00FA6043"/>
    <w:rsid w:val="00FA6CDB"/>
    <w:rsid w:val="00FA6E70"/>
    <w:rsid w:val="00FA7A48"/>
    <w:rsid w:val="00FB018D"/>
    <w:rsid w:val="00FB06A3"/>
    <w:rsid w:val="00FB17D0"/>
    <w:rsid w:val="00FB1903"/>
    <w:rsid w:val="00FB1CA8"/>
    <w:rsid w:val="00FB3883"/>
    <w:rsid w:val="00FB4087"/>
    <w:rsid w:val="00FB4659"/>
    <w:rsid w:val="00FB496A"/>
    <w:rsid w:val="00FB5EB7"/>
    <w:rsid w:val="00FB5F57"/>
    <w:rsid w:val="00FB6718"/>
    <w:rsid w:val="00FB6927"/>
    <w:rsid w:val="00FB72E8"/>
    <w:rsid w:val="00FC0544"/>
    <w:rsid w:val="00FC193C"/>
    <w:rsid w:val="00FC2010"/>
    <w:rsid w:val="00FC2689"/>
    <w:rsid w:val="00FC3455"/>
    <w:rsid w:val="00FC34E4"/>
    <w:rsid w:val="00FC3ADC"/>
    <w:rsid w:val="00FC3EC3"/>
    <w:rsid w:val="00FC46DF"/>
    <w:rsid w:val="00FC4D54"/>
    <w:rsid w:val="00FC5366"/>
    <w:rsid w:val="00FC539F"/>
    <w:rsid w:val="00FC546F"/>
    <w:rsid w:val="00FC556D"/>
    <w:rsid w:val="00FC614E"/>
    <w:rsid w:val="00FC66A8"/>
    <w:rsid w:val="00FC7002"/>
    <w:rsid w:val="00FC7290"/>
    <w:rsid w:val="00FC7615"/>
    <w:rsid w:val="00FC7885"/>
    <w:rsid w:val="00FC7AB0"/>
    <w:rsid w:val="00FD021D"/>
    <w:rsid w:val="00FD0311"/>
    <w:rsid w:val="00FD11F8"/>
    <w:rsid w:val="00FD135E"/>
    <w:rsid w:val="00FD1A09"/>
    <w:rsid w:val="00FD2735"/>
    <w:rsid w:val="00FD4009"/>
    <w:rsid w:val="00FD4276"/>
    <w:rsid w:val="00FD42FA"/>
    <w:rsid w:val="00FD4BA1"/>
    <w:rsid w:val="00FD4FB4"/>
    <w:rsid w:val="00FD4FDB"/>
    <w:rsid w:val="00FD5064"/>
    <w:rsid w:val="00FD5861"/>
    <w:rsid w:val="00FD6A4B"/>
    <w:rsid w:val="00FD6C37"/>
    <w:rsid w:val="00FD76ED"/>
    <w:rsid w:val="00FE0143"/>
    <w:rsid w:val="00FE0A80"/>
    <w:rsid w:val="00FE1A85"/>
    <w:rsid w:val="00FE1C0B"/>
    <w:rsid w:val="00FE289C"/>
    <w:rsid w:val="00FE2A38"/>
    <w:rsid w:val="00FE30D9"/>
    <w:rsid w:val="00FE3B69"/>
    <w:rsid w:val="00FE3C62"/>
    <w:rsid w:val="00FE4573"/>
    <w:rsid w:val="00FE4F34"/>
    <w:rsid w:val="00FE52B1"/>
    <w:rsid w:val="00FE53CC"/>
    <w:rsid w:val="00FE59C3"/>
    <w:rsid w:val="00FE6007"/>
    <w:rsid w:val="00FE6405"/>
    <w:rsid w:val="00FE7127"/>
    <w:rsid w:val="00FE72EB"/>
    <w:rsid w:val="00FE77BF"/>
    <w:rsid w:val="00FE7943"/>
    <w:rsid w:val="00FF0357"/>
    <w:rsid w:val="00FF03A0"/>
    <w:rsid w:val="00FF064A"/>
    <w:rsid w:val="00FF198E"/>
    <w:rsid w:val="00FF19F5"/>
    <w:rsid w:val="00FF1C44"/>
    <w:rsid w:val="00FF2042"/>
    <w:rsid w:val="00FF24C9"/>
    <w:rsid w:val="00FF2974"/>
    <w:rsid w:val="00FF2BDD"/>
    <w:rsid w:val="00FF2F49"/>
    <w:rsid w:val="00FF3029"/>
    <w:rsid w:val="00FF372B"/>
    <w:rsid w:val="00FF3861"/>
    <w:rsid w:val="00FF408B"/>
    <w:rsid w:val="00FF415F"/>
    <w:rsid w:val="00FF558B"/>
    <w:rsid w:val="00FF6CFC"/>
    <w:rsid w:val="00FF7D04"/>
    <w:rsid w:val="0143256D"/>
    <w:rsid w:val="01657082"/>
    <w:rsid w:val="01F236F7"/>
    <w:rsid w:val="02054E35"/>
    <w:rsid w:val="022B3B59"/>
    <w:rsid w:val="02CB4E72"/>
    <w:rsid w:val="02D3362E"/>
    <w:rsid w:val="02DC697D"/>
    <w:rsid w:val="030A20D5"/>
    <w:rsid w:val="032C5B81"/>
    <w:rsid w:val="04307FFA"/>
    <w:rsid w:val="04666D1E"/>
    <w:rsid w:val="04C17A9B"/>
    <w:rsid w:val="04CC48FA"/>
    <w:rsid w:val="05434A95"/>
    <w:rsid w:val="059B415D"/>
    <w:rsid w:val="05B32591"/>
    <w:rsid w:val="06B11778"/>
    <w:rsid w:val="06C662CA"/>
    <w:rsid w:val="07246391"/>
    <w:rsid w:val="07487AA2"/>
    <w:rsid w:val="07495907"/>
    <w:rsid w:val="075D5DC1"/>
    <w:rsid w:val="07604117"/>
    <w:rsid w:val="07786E22"/>
    <w:rsid w:val="07CC6E3E"/>
    <w:rsid w:val="08142CB8"/>
    <w:rsid w:val="091A49CE"/>
    <w:rsid w:val="09273121"/>
    <w:rsid w:val="09AA7487"/>
    <w:rsid w:val="0A2122D4"/>
    <w:rsid w:val="0A686832"/>
    <w:rsid w:val="0A8A01F9"/>
    <w:rsid w:val="0AC809A2"/>
    <w:rsid w:val="0AD6287C"/>
    <w:rsid w:val="0AEC4863"/>
    <w:rsid w:val="0B1D5C6D"/>
    <w:rsid w:val="0B425249"/>
    <w:rsid w:val="0BDD542A"/>
    <w:rsid w:val="0BE5699A"/>
    <w:rsid w:val="0C4D6A90"/>
    <w:rsid w:val="0CB21741"/>
    <w:rsid w:val="0CC97B93"/>
    <w:rsid w:val="0CDD29F9"/>
    <w:rsid w:val="0CF34261"/>
    <w:rsid w:val="0CF3673D"/>
    <w:rsid w:val="0CFD49E0"/>
    <w:rsid w:val="0D4B4E70"/>
    <w:rsid w:val="0DA22662"/>
    <w:rsid w:val="0DAA274B"/>
    <w:rsid w:val="0DD70FC8"/>
    <w:rsid w:val="0E4E1A51"/>
    <w:rsid w:val="0E934E45"/>
    <w:rsid w:val="0EE77901"/>
    <w:rsid w:val="0EFC6C13"/>
    <w:rsid w:val="0F092154"/>
    <w:rsid w:val="0F1E33FF"/>
    <w:rsid w:val="0FD130EF"/>
    <w:rsid w:val="0FF43DA9"/>
    <w:rsid w:val="102B6015"/>
    <w:rsid w:val="104C6816"/>
    <w:rsid w:val="10554F76"/>
    <w:rsid w:val="10605ED6"/>
    <w:rsid w:val="11414EEA"/>
    <w:rsid w:val="11D40F6B"/>
    <w:rsid w:val="11F27D13"/>
    <w:rsid w:val="12282002"/>
    <w:rsid w:val="12352AC5"/>
    <w:rsid w:val="123B3CA2"/>
    <w:rsid w:val="12531FA8"/>
    <w:rsid w:val="12B94C04"/>
    <w:rsid w:val="13DA6B48"/>
    <w:rsid w:val="14075392"/>
    <w:rsid w:val="14626752"/>
    <w:rsid w:val="148A40C7"/>
    <w:rsid w:val="14B32C12"/>
    <w:rsid w:val="14FC25A3"/>
    <w:rsid w:val="153F4D48"/>
    <w:rsid w:val="154C795F"/>
    <w:rsid w:val="156C40FD"/>
    <w:rsid w:val="15B62C06"/>
    <w:rsid w:val="15C5350C"/>
    <w:rsid w:val="15CB38BB"/>
    <w:rsid w:val="1620466A"/>
    <w:rsid w:val="16452DFA"/>
    <w:rsid w:val="167B37EE"/>
    <w:rsid w:val="174C1A0B"/>
    <w:rsid w:val="17DB537E"/>
    <w:rsid w:val="183D44CC"/>
    <w:rsid w:val="18480D1D"/>
    <w:rsid w:val="186E6FB0"/>
    <w:rsid w:val="189847C2"/>
    <w:rsid w:val="18E82C03"/>
    <w:rsid w:val="190B6D99"/>
    <w:rsid w:val="198F44C4"/>
    <w:rsid w:val="19D003EB"/>
    <w:rsid w:val="1A347FBE"/>
    <w:rsid w:val="1A8155EC"/>
    <w:rsid w:val="1AFE4C33"/>
    <w:rsid w:val="1B723D3C"/>
    <w:rsid w:val="1BCD250D"/>
    <w:rsid w:val="1C1048BE"/>
    <w:rsid w:val="1CBB4DE0"/>
    <w:rsid w:val="1CE82D91"/>
    <w:rsid w:val="1CF80A0D"/>
    <w:rsid w:val="1D8C5FB2"/>
    <w:rsid w:val="1DA57D6B"/>
    <w:rsid w:val="1DC24026"/>
    <w:rsid w:val="1DCC23CF"/>
    <w:rsid w:val="1DD211EF"/>
    <w:rsid w:val="1E142740"/>
    <w:rsid w:val="1E6C7226"/>
    <w:rsid w:val="1E9B7DB0"/>
    <w:rsid w:val="1EF36DBD"/>
    <w:rsid w:val="1EFC258D"/>
    <w:rsid w:val="1F956770"/>
    <w:rsid w:val="1FDD173A"/>
    <w:rsid w:val="20392D35"/>
    <w:rsid w:val="2071519F"/>
    <w:rsid w:val="20776C78"/>
    <w:rsid w:val="209711C5"/>
    <w:rsid w:val="21822E4F"/>
    <w:rsid w:val="218C7B26"/>
    <w:rsid w:val="21D64201"/>
    <w:rsid w:val="22195A2D"/>
    <w:rsid w:val="227028A1"/>
    <w:rsid w:val="2282067D"/>
    <w:rsid w:val="22981E3A"/>
    <w:rsid w:val="22E066D3"/>
    <w:rsid w:val="22F549CD"/>
    <w:rsid w:val="232358C4"/>
    <w:rsid w:val="233B42E7"/>
    <w:rsid w:val="233F4148"/>
    <w:rsid w:val="23492291"/>
    <w:rsid w:val="23685095"/>
    <w:rsid w:val="23A157D7"/>
    <w:rsid w:val="23CB4DDA"/>
    <w:rsid w:val="24B630F6"/>
    <w:rsid w:val="25824567"/>
    <w:rsid w:val="25996ED4"/>
    <w:rsid w:val="25A7277B"/>
    <w:rsid w:val="25CC552E"/>
    <w:rsid w:val="25E265D7"/>
    <w:rsid w:val="25F06E08"/>
    <w:rsid w:val="26045FBF"/>
    <w:rsid w:val="266B38E8"/>
    <w:rsid w:val="26896AC5"/>
    <w:rsid w:val="27193EAE"/>
    <w:rsid w:val="289E5EC2"/>
    <w:rsid w:val="29213519"/>
    <w:rsid w:val="293E58CE"/>
    <w:rsid w:val="296A2E4B"/>
    <w:rsid w:val="29B12054"/>
    <w:rsid w:val="2A5E793C"/>
    <w:rsid w:val="2A6A3551"/>
    <w:rsid w:val="2A9004B3"/>
    <w:rsid w:val="2AA57180"/>
    <w:rsid w:val="2BDB185E"/>
    <w:rsid w:val="2C221579"/>
    <w:rsid w:val="2CDF1075"/>
    <w:rsid w:val="2D8D7047"/>
    <w:rsid w:val="2DBF2F8D"/>
    <w:rsid w:val="2DF13F10"/>
    <w:rsid w:val="2E1D71BC"/>
    <w:rsid w:val="2E54306E"/>
    <w:rsid w:val="2EDB5368"/>
    <w:rsid w:val="2F2A593E"/>
    <w:rsid w:val="2F5E297D"/>
    <w:rsid w:val="2F690463"/>
    <w:rsid w:val="30216EA1"/>
    <w:rsid w:val="303A13B3"/>
    <w:rsid w:val="30425B69"/>
    <w:rsid w:val="30B270DB"/>
    <w:rsid w:val="30BD3C70"/>
    <w:rsid w:val="30CD21DD"/>
    <w:rsid w:val="30EA71CB"/>
    <w:rsid w:val="31090AC4"/>
    <w:rsid w:val="31457247"/>
    <w:rsid w:val="31A8072B"/>
    <w:rsid w:val="32742E45"/>
    <w:rsid w:val="32BB533A"/>
    <w:rsid w:val="33095AB9"/>
    <w:rsid w:val="33A42543"/>
    <w:rsid w:val="33BA3DAE"/>
    <w:rsid w:val="33DD51A6"/>
    <w:rsid w:val="346C27B7"/>
    <w:rsid w:val="348812BC"/>
    <w:rsid w:val="34915B5F"/>
    <w:rsid w:val="356F106A"/>
    <w:rsid w:val="35B75FCC"/>
    <w:rsid w:val="35FE685D"/>
    <w:rsid w:val="36137327"/>
    <w:rsid w:val="368B2B04"/>
    <w:rsid w:val="37115109"/>
    <w:rsid w:val="3760616C"/>
    <w:rsid w:val="37E87882"/>
    <w:rsid w:val="384B0130"/>
    <w:rsid w:val="386118E7"/>
    <w:rsid w:val="38692180"/>
    <w:rsid w:val="38E562D1"/>
    <w:rsid w:val="38FF61B4"/>
    <w:rsid w:val="39204884"/>
    <w:rsid w:val="39904538"/>
    <w:rsid w:val="39A909F6"/>
    <w:rsid w:val="3A1B2D84"/>
    <w:rsid w:val="3AC60B7D"/>
    <w:rsid w:val="3ADB2BB0"/>
    <w:rsid w:val="3B406394"/>
    <w:rsid w:val="3B617C26"/>
    <w:rsid w:val="3B8859AF"/>
    <w:rsid w:val="3B9D6C51"/>
    <w:rsid w:val="3C265D99"/>
    <w:rsid w:val="3C582B6A"/>
    <w:rsid w:val="3C7C42E6"/>
    <w:rsid w:val="3C8C3B76"/>
    <w:rsid w:val="3CCB1DD5"/>
    <w:rsid w:val="3D6E7D3C"/>
    <w:rsid w:val="3D722E54"/>
    <w:rsid w:val="3D7B6390"/>
    <w:rsid w:val="3D9F74B0"/>
    <w:rsid w:val="3DA31B2B"/>
    <w:rsid w:val="3DB27EC2"/>
    <w:rsid w:val="3DD329A7"/>
    <w:rsid w:val="3E251193"/>
    <w:rsid w:val="3E8B60F8"/>
    <w:rsid w:val="3EB82232"/>
    <w:rsid w:val="3ED66654"/>
    <w:rsid w:val="3F766B93"/>
    <w:rsid w:val="3F8B5368"/>
    <w:rsid w:val="403732F2"/>
    <w:rsid w:val="405B6AFD"/>
    <w:rsid w:val="406D0BB5"/>
    <w:rsid w:val="40E117C3"/>
    <w:rsid w:val="41851816"/>
    <w:rsid w:val="41B41D52"/>
    <w:rsid w:val="41E024C9"/>
    <w:rsid w:val="42024E62"/>
    <w:rsid w:val="4267514A"/>
    <w:rsid w:val="42A53942"/>
    <w:rsid w:val="42A9166B"/>
    <w:rsid w:val="430A09AB"/>
    <w:rsid w:val="43673AC6"/>
    <w:rsid w:val="44004C49"/>
    <w:rsid w:val="4454631A"/>
    <w:rsid w:val="455E04CE"/>
    <w:rsid w:val="458D7D2F"/>
    <w:rsid w:val="45D404D4"/>
    <w:rsid w:val="45DF2E49"/>
    <w:rsid w:val="45F1157F"/>
    <w:rsid w:val="462177B1"/>
    <w:rsid w:val="468061C2"/>
    <w:rsid w:val="472C5BFB"/>
    <w:rsid w:val="475956F2"/>
    <w:rsid w:val="47A80BA1"/>
    <w:rsid w:val="47B42581"/>
    <w:rsid w:val="47C26542"/>
    <w:rsid w:val="48F20CE1"/>
    <w:rsid w:val="49074E90"/>
    <w:rsid w:val="491F06E9"/>
    <w:rsid w:val="49206E2B"/>
    <w:rsid w:val="494F1B3C"/>
    <w:rsid w:val="49851D72"/>
    <w:rsid w:val="49A55080"/>
    <w:rsid w:val="4A013899"/>
    <w:rsid w:val="4A4B68E0"/>
    <w:rsid w:val="4AF13DE4"/>
    <w:rsid w:val="4B576A17"/>
    <w:rsid w:val="4BDC7197"/>
    <w:rsid w:val="4CD52691"/>
    <w:rsid w:val="4CEB7094"/>
    <w:rsid w:val="4D181D03"/>
    <w:rsid w:val="4D3A614F"/>
    <w:rsid w:val="4DB675F7"/>
    <w:rsid w:val="4DF9365A"/>
    <w:rsid w:val="4E1952BB"/>
    <w:rsid w:val="4E5354F7"/>
    <w:rsid w:val="4F0D304E"/>
    <w:rsid w:val="4F385EBF"/>
    <w:rsid w:val="4F7511A3"/>
    <w:rsid w:val="4FBE2415"/>
    <w:rsid w:val="503F4E78"/>
    <w:rsid w:val="5079240F"/>
    <w:rsid w:val="50877436"/>
    <w:rsid w:val="508F218C"/>
    <w:rsid w:val="50B145E4"/>
    <w:rsid w:val="50D156E0"/>
    <w:rsid w:val="512C668B"/>
    <w:rsid w:val="51846E7F"/>
    <w:rsid w:val="518F19BD"/>
    <w:rsid w:val="519D22D5"/>
    <w:rsid w:val="51B10995"/>
    <w:rsid w:val="51B92E58"/>
    <w:rsid w:val="51E70444"/>
    <w:rsid w:val="52516B12"/>
    <w:rsid w:val="525878D8"/>
    <w:rsid w:val="52763251"/>
    <w:rsid w:val="528931C5"/>
    <w:rsid w:val="532B1BC1"/>
    <w:rsid w:val="53370820"/>
    <w:rsid w:val="53477588"/>
    <w:rsid w:val="53724847"/>
    <w:rsid w:val="53F864AD"/>
    <w:rsid w:val="53F91B30"/>
    <w:rsid w:val="542D3512"/>
    <w:rsid w:val="544813DC"/>
    <w:rsid w:val="54824300"/>
    <w:rsid w:val="54914696"/>
    <w:rsid w:val="54963C33"/>
    <w:rsid w:val="54C0295E"/>
    <w:rsid w:val="54F34749"/>
    <w:rsid w:val="55686741"/>
    <w:rsid w:val="55CA2F24"/>
    <w:rsid w:val="561E1474"/>
    <w:rsid w:val="56334671"/>
    <w:rsid w:val="5672723D"/>
    <w:rsid w:val="569E75B2"/>
    <w:rsid w:val="56F335A9"/>
    <w:rsid w:val="56FF0F04"/>
    <w:rsid w:val="570529A2"/>
    <w:rsid w:val="570B726D"/>
    <w:rsid w:val="57557E4C"/>
    <w:rsid w:val="57753628"/>
    <w:rsid w:val="57896CD6"/>
    <w:rsid w:val="57A54CC1"/>
    <w:rsid w:val="57AA3A68"/>
    <w:rsid w:val="57AA57B8"/>
    <w:rsid w:val="57B5162D"/>
    <w:rsid w:val="57F800AE"/>
    <w:rsid w:val="58493B86"/>
    <w:rsid w:val="58A812B1"/>
    <w:rsid w:val="59533107"/>
    <w:rsid w:val="59986ED8"/>
    <w:rsid w:val="59EB796F"/>
    <w:rsid w:val="5A1C1C7C"/>
    <w:rsid w:val="5A7F010E"/>
    <w:rsid w:val="5AF50F40"/>
    <w:rsid w:val="5B1860B4"/>
    <w:rsid w:val="5B1A3136"/>
    <w:rsid w:val="5B2136ED"/>
    <w:rsid w:val="5B8A758A"/>
    <w:rsid w:val="5C137118"/>
    <w:rsid w:val="5C16687C"/>
    <w:rsid w:val="5C1F7BFE"/>
    <w:rsid w:val="5C6369B5"/>
    <w:rsid w:val="5C794F87"/>
    <w:rsid w:val="5CEB716E"/>
    <w:rsid w:val="5D3744B9"/>
    <w:rsid w:val="5D6F6D24"/>
    <w:rsid w:val="5DBF2337"/>
    <w:rsid w:val="5DD07E04"/>
    <w:rsid w:val="5DE52745"/>
    <w:rsid w:val="5E081D3E"/>
    <w:rsid w:val="5E09178E"/>
    <w:rsid w:val="5F1F5170"/>
    <w:rsid w:val="5F982C11"/>
    <w:rsid w:val="5FEC018F"/>
    <w:rsid w:val="60886F5C"/>
    <w:rsid w:val="60D25439"/>
    <w:rsid w:val="611F6C0E"/>
    <w:rsid w:val="612F6AFC"/>
    <w:rsid w:val="61423143"/>
    <w:rsid w:val="61C857F8"/>
    <w:rsid w:val="623B4ACC"/>
    <w:rsid w:val="62557274"/>
    <w:rsid w:val="628D49C9"/>
    <w:rsid w:val="62D80F5C"/>
    <w:rsid w:val="63060079"/>
    <w:rsid w:val="63626D79"/>
    <w:rsid w:val="63A077FB"/>
    <w:rsid w:val="64751029"/>
    <w:rsid w:val="64CD5341"/>
    <w:rsid w:val="64EF5A65"/>
    <w:rsid w:val="655B53D0"/>
    <w:rsid w:val="65BC3ED8"/>
    <w:rsid w:val="65E167AE"/>
    <w:rsid w:val="65F0055F"/>
    <w:rsid w:val="66261B65"/>
    <w:rsid w:val="668F0581"/>
    <w:rsid w:val="66AE7046"/>
    <w:rsid w:val="66B45DC4"/>
    <w:rsid w:val="67035B76"/>
    <w:rsid w:val="675C1BFB"/>
    <w:rsid w:val="67896AF5"/>
    <w:rsid w:val="67AB0D63"/>
    <w:rsid w:val="680B326C"/>
    <w:rsid w:val="68251012"/>
    <w:rsid w:val="68553CCB"/>
    <w:rsid w:val="6857516E"/>
    <w:rsid w:val="68852A87"/>
    <w:rsid w:val="689F01B0"/>
    <w:rsid w:val="68B3248C"/>
    <w:rsid w:val="68EC38CF"/>
    <w:rsid w:val="690F73CA"/>
    <w:rsid w:val="699109E0"/>
    <w:rsid w:val="69CF075A"/>
    <w:rsid w:val="6A005E1A"/>
    <w:rsid w:val="6A190CBE"/>
    <w:rsid w:val="6A87270D"/>
    <w:rsid w:val="6A9974E4"/>
    <w:rsid w:val="6ADF2FF3"/>
    <w:rsid w:val="6B6F0396"/>
    <w:rsid w:val="6B89082C"/>
    <w:rsid w:val="6BFF23AE"/>
    <w:rsid w:val="6C905B04"/>
    <w:rsid w:val="6D0165FB"/>
    <w:rsid w:val="6D67292D"/>
    <w:rsid w:val="6DCE5A67"/>
    <w:rsid w:val="6E905203"/>
    <w:rsid w:val="6EB50E8A"/>
    <w:rsid w:val="6ED772C5"/>
    <w:rsid w:val="6F165DC0"/>
    <w:rsid w:val="6F3C6C42"/>
    <w:rsid w:val="6FE267CC"/>
    <w:rsid w:val="6FED36C9"/>
    <w:rsid w:val="700B0AB8"/>
    <w:rsid w:val="70515B44"/>
    <w:rsid w:val="70AC2153"/>
    <w:rsid w:val="70CF5868"/>
    <w:rsid w:val="718E30E3"/>
    <w:rsid w:val="7194067D"/>
    <w:rsid w:val="71D727D8"/>
    <w:rsid w:val="722140B5"/>
    <w:rsid w:val="7224192E"/>
    <w:rsid w:val="728F71A6"/>
    <w:rsid w:val="732A1C3D"/>
    <w:rsid w:val="737052B9"/>
    <w:rsid w:val="74570607"/>
    <w:rsid w:val="74A37310"/>
    <w:rsid w:val="754515E6"/>
    <w:rsid w:val="754C6981"/>
    <w:rsid w:val="75A92136"/>
    <w:rsid w:val="75D573E4"/>
    <w:rsid w:val="76196ADF"/>
    <w:rsid w:val="7663571F"/>
    <w:rsid w:val="76700314"/>
    <w:rsid w:val="767D0169"/>
    <w:rsid w:val="76EF4AC7"/>
    <w:rsid w:val="7731074D"/>
    <w:rsid w:val="778D7AAE"/>
    <w:rsid w:val="77A703AB"/>
    <w:rsid w:val="77D57E0E"/>
    <w:rsid w:val="77D60D85"/>
    <w:rsid w:val="77D8195C"/>
    <w:rsid w:val="77F42200"/>
    <w:rsid w:val="787C5D58"/>
    <w:rsid w:val="78AE79BA"/>
    <w:rsid w:val="79517785"/>
    <w:rsid w:val="79AC610C"/>
    <w:rsid w:val="79BB703F"/>
    <w:rsid w:val="79BB7B4F"/>
    <w:rsid w:val="7AD20873"/>
    <w:rsid w:val="7AF67050"/>
    <w:rsid w:val="7B217254"/>
    <w:rsid w:val="7B5433A9"/>
    <w:rsid w:val="7B5E1FB6"/>
    <w:rsid w:val="7B8A4426"/>
    <w:rsid w:val="7B981ECF"/>
    <w:rsid w:val="7BAB4BE9"/>
    <w:rsid w:val="7BD715EF"/>
    <w:rsid w:val="7BD858D7"/>
    <w:rsid w:val="7CAA2748"/>
    <w:rsid w:val="7CDC1238"/>
    <w:rsid w:val="7CE51FDB"/>
    <w:rsid w:val="7CFB5682"/>
    <w:rsid w:val="7CFE0A6A"/>
    <w:rsid w:val="7D5C1D3A"/>
    <w:rsid w:val="7D8068CF"/>
    <w:rsid w:val="7D9559E1"/>
    <w:rsid w:val="7DE857B4"/>
    <w:rsid w:val="7DFF1AD7"/>
    <w:rsid w:val="7E1D1A27"/>
    <w:rsid w:val="7E2B4016"/>
    <w:rsid w:val="7E693B8F"/>
    <w:rsid w:val="7EF25EE9"/>
    <w:rsid w:val="7F1314DA"/>
    <w:rsid w:val="7F2136BD"/>
    <w:rsid w:val="7F4243EB"/>
    <w:rsid w:val="7F4B4119"/>
    <w:rsid w:val="7F7B0F3B"/>
    <w:rsid w:val="7F8B55F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semiHidden="0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32"/>
    <w:qFormat/>
    <w:uiPriority w:val="0"/>
    <w:pPr>
      <w:keepNext/>
      <w:keepLines/>
      <w:spacing w:before="100" w:after="100" w:line="440" w:lineRule="exact"/>
      <w:jc w:val="center"/>
      <w:outlineLvl w:val="0"/>
    </w:pPr>
    <w:rPr>
      <w:rFonts w:ascii="Times New Roman" w:hAnsi="Times New Roman" w:eastAsia="宋体" w:cs="Times New Roman"/>
      <w:b/>
      <w:kern w:val="44"/>
      <w:sz w:val="30"/>
      <w:szCs w:val="24"/>
    </w:rPr>
  </w:style>
  <w:style w:type="paragraph" w:styleId="3">
    <w:name w:val="heading 2"/>
    <w:basedOn w:val="4"/>
    <w:next w:val="1"/>
    <w:link w:val="33"/>
    <w:qFormat/>
    <w:uiPriority w:val="0"/>
    <w:pPr>
      <w:keepNext/>
      <w:keepLines/>
      <w:spacing w:before="100" w:after="100" w:line="440" w:lineRule="exact"/>
      <w:outlineLvl w:val="1"/>
    </w:pPr>
    <w:rPr>
      <w:rFonts w:ascii="Times New Roman" w:hAnsi="Times New Roman" w:eastAsia="黑体"/>
      <w:sz w:val="24"/>
      <w:szCs w:val="24"/>
    </w:rPr>
  </w:style>
  <w:style w:type="paragraph" w:styleId="5">
    <w:name w:val="heading 3"/>
    <w:basedOn w:val="3"/>
    <w:next w:val="6"/>
    <w:link w:val="34"/>
    <w:qFormat/>
    <w:uiPriority w:val="0"/>
    <w:pPr>
      <w:spacing w:line="330" w:lineRule="exact"/>
      <w:outlineLvl w:val="2"/>
    </w:pPr>
    <w:rPr>
      <w:rFonts w:eastAsia="宋体"/>
      <w:bCs/>
    </w:rPr>
  </w:style>
  <w:style w:type="paragraph" w:styleId="7">
    <w:name w:val="heading 4"/>
    <w:basedOn w:val="1"/>
    <w:next w:val="1"/>
    <w:link w:val="35"/>
    <w:qFormat/>
    <w:uiPriority w:val="0"/>
    <w:pPr>
      <w:spacing w:line="330" w:lineRule="exact"/>
      <w:outlineLvl w:val="3"/>
    </w:pPr>
    <w:rPr>
      <w:rFonts w:ascii="Times New Roman" w:hAnsi="Times New Roman" w:eastAsia="宋体" w:cs="Times New Roman"/>
      <w:szCs w:val="24"/>
    </w:rPr>
  </w:style>
  <w:style w:type="paragraph" w:styleId="8">
    <w:name w:val="heading 5"/>
    <w:basedOn w:val="1"/>
    <w:next w:val="1"/>
    <w:link w:val="72"/>
    <w:unhideWhenUsed/>
    <w:qFormat/>
    <w:uiPriority w:val="9"/>
    <w:pPr>
      <w:spacing w:line="324" w:lineRule="exact"/>
      <w:ind w:firstLine="315" w:firstLineChars="150"/>
      <w:outlineLvl w:val="4"/>
    </w:pPr>
    <w:rPr>
      <w:rFonts w:ascii="Times New Roman" w:hAnsi="Times New Roman" w:eastAsia="宋体" w:cs="Times New Roman"/>
      <w:bCs/>
      <w:szCs w:val="24"/>
    </w:rPr>
  </w:style>
  <w:style w:type="character" w:default="1" w:styleId="25">
    <w:name w:val="Default Paragraph Font"/>
    <w:semiHidden/>
    <w:unhideWhenUsed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itle"/>
    <w:basedOn w:val="1"/>
    <w:next w:val="1"/>
    <w:link w:val="44"/>
    <w:qFormat/>
    <w:uiPriority w:val="10"/>
    <w:pPr>
      <w:spacing w:line="440" w:lineRule="atLeast"/>
      <w:ind w:firstLine="643"/>
      <w:jc w:val="center"/>
      <w:outlineLvl w:val="2"/>
    </w:pPr>
    <w:rPr>
      <w:rFonts w:eastAsia="宋体" w:cs="Times New Roman"/>
      <w:b/>
      <w:sz w:val="32"/>
    </w:rPr>
  </w:style>
  <w:style w:type="paragraph" w:styleId="6">
    <w:name w:val="Normal Indent"/>
    <w:basedOn w:val="1"/>
    <w:unhideWhenUsed/>
    <w:qFormat/>
    <w:uiPriority w:val="99"/>
    <w:pPr>
      <w:ind w:firstLine="420"/>
    </w:pPr>
  </w:style>
  <w:style w:type="paragraph" w:styleId="9">
    <w:name w:val="caption"/>
    <w:basedOn w:val="1"/>
    <w:next w:val="1"/>
    <w:qFormat/>
    <w:uiPriority w:val="0"/>
    <w:pPr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10">
    <w:name w:val="Document Map"/>
    <w:basedOn w:val="1"/>
    <w:link w:val="36"/>
    <w:qFormat/>
    <w:uiPriority w:val="0"/>
    <w:rPr>
      <w:rFonts w:hAnsi="Calibri" w:eastAsia="宋体" w:cs="Times New Roman"/>
      <w:sz w:val="18"/>
      <w:szCs w:val="18"/>
    </w:rPr>
  </w:style>
  <w:style w:type="paragraph" w:styleId="11">
    <w:name w:val="annotation text"/>
    <w:basedOn w:val="1"/>
    <w:link w:val="37"/>
    <w:qFormat/>
    <w:uiPriority w:val="0"/>
    <w:pPr>
      <w:jc w:val="left"/>
    </w:pPr>
    <w:rPr>
      <w:rFonts w:ascii="Calibri" w:hAnsi="Calibri" w:eastAsia="宋体" w:cs="Times New Roman"/>
    </w:rPr>
  </w:style>
  <w:style w:type="paragraph" w:styleId="12">
    <w:name w:val="toc 3"/>
    <w:basedOn w:val="1"/>
    <w:next w:val="1"/>
    <w:qFormat/>
    <w:uiPriority w:val="39"/>
    <w:pPr>
      <w:ind w:left="840" w:leftChars="400"/>
    </w:pPr>
    <w:rPr>
      <w:rFonts w:ascii="Calibri" w:hAnsi="Calibri" w:eastAsia="宋体" w:cs="Times New Roman"/>
    </w:rPr>
  </w:style>
  <w:style w:type="paragraph" w:styleId="13">
    <w:name w:val="Date"/>
    <w:basedOn w:val="1"/>
    <w:next w:val="1"/>
    <w:link w:val="38"/>
    <w:unhideWhenUsed/>
    <w:qFormat/>
    <w:uiPriority w:val="99"/>
    <w:pPr>
      <w:spacing w:line="330" w:lineRule="exact"/>
      <w:ind w:left="100" w:leftChars="2500"/>
    </w:pPr>
    <w:rPr>
      <w:rFonts w:ascii="Calibri" w:hAnsi="Calibri" w:eastAsia="宋体" w:cs="Times New Roman"/>
      <w:szCs w:val="24"/>
    </w:rPr>
  </w:style>
  <w:style w:type="paragraph" w:styleId="14">
    <w:name w:val="Balloon Text"/>
    <w:basedOn w:val="1"/>
    <w:link w:val="39"/>
    <w:qFormat/>
    <w:uiPriority w:val="99"/>
    <w:rPr>
      <w:rFonts w:ascii="Calibri" w:hAnsi="Calibri" w:eastAsia="宋体" w:cs="Times New Roman"/>
      <w:sz w:val="18"/>
      <w:szCs w:val="18"/>
    </w:rPr>
  </w:style>
  <w:style w:type="paragraph" w:styleId="15">
    <w:name w:val="footer"/>
    <w:basedOn w:val="1"/>
    <w:link w:val="40"/>
    <w:qFormat/>
    <w:uiPriority w:val="99"/>
    <w:pPr>
      <w:tabs>
        <w:tab w:val="center" w:pos="4153"/>
        <w:tab w:val="right" w:pos="8306"/>
      </w:tabs>
      <w:snapToGrid w:val="0"/>
      <w:spacing w:line="330" w:lineRule="exact"/>
      <w:jc w:val="left"/>
    </w:pPr>
    <w:rPr>
      <w:rFonts w:ascii="Calibri" w:hAnsi="Calibri" w:eastAsia="宋体" w:cs="Times New Roman"/>
      <w:sz w:val="18"/>
      <w:szCs w:val="24"/>
    </w:rPr>
  </w:style>
  <w:style w:type="paragraph" w:styleId="16">
    <w:name w:val="header"/>
    <w:basedOn w:val="1"/>
    <w:link w:val="41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Calibri" w:hAnsi="Calibri" w:eastAsia="宋体" w:cs="Times New Roman"/>
      <w:sz w:val="18"/>
      <w:szCs w:val="24"/>
    </w:rPr>
  </w:style>
  <w:style w:type="paragraph" w:styleId="17">
    <w:name w:val="toc 1"/>
    <w:basedOn w:val="1"/>
    <w:next w:val="1"/>
    <w:qFormat/>
    <w:uiPriority w:val="39"/>
    <w:pPr>
      <w:spacing w:line="330" w:lineRule="exact"/>
    </w:pPr>
    <w:rPr>
      <w:rFonts w:ascii="Times New Roman" w:hAnsi="Times New Roman" w:eastAsia="宋体" w:cs="Times New Roman"/>
      <w:szCs w:val="24"/>
    </w:rPr>
  </w:style>
  <w:style w:type="paragraph" w:styleId="18">
    <w:name w:val="Subtitle"/>
    <w:basedOn w:val="1"/>
    <w:next w:val="1"/>
    <w:link w:val="42"/>
    <w:qFormat/>
    <w:uiPriority w:val="0"/>
    <w:pPr>
      <w:spacing w:line="330" w:lineRule="exact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19">
    <w:name w:val="toc 2"/>
    <w:basedOn w:val="1"/>
    <w:next w:val="1"/>
    <w:qFormat/>
    <w:uiPriority w:val="39"/>
    <w:pPr>
      <w:spacing w:line="330" w:lineRule="exact"/>
      <w:ind w:left="420" w:leftChars="200"/>
    </w:pPr>
    <w:rPr>
      <w:rFonts w:ascii="Times New Roman" w:hAnsi="Times New Roman" w:eastAsia="宋体" w:cs="Times New Roman"/>
      <w:szCs w:val="24"/>
    </w:rPr>
  </w:style>
  <w:style w:type="paragraph" w:styleId="20">
    <w:name w:val="HTML Preformatted"/>
    <w:basedOn w:val="1"/>
    <w:link w:val="43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30" w:lineRule="exact"/>
      <w:jc w:val="left"/>
    </w:pPr>
    <w:rPr>
      <w:rFonts w:hint="eastAsia" w:eastAsia="宋体" w:cs="Times New Roman"/>
      <w:kern w:val="0"/>
      <w:sz w:val="24"/>
      <w:szCs w:val="24"/>
    </w:rPr>
  </w:style>
  <w:style w:type="paragraph" w:styleId="21">
    <w:name w:val="Normal (Web)"/>
    <w:basedOn w:val="1"/>
    <w:unhideWhenUsed/>
    <w:qFormat/>
    <w:uiPriority w:val="99"/>
    <w:pPr>
      <w:spacing w:before="100" w:beforeAutospacing="1" w:after="100" w:afterAutospacing="1" w:line="330" w:lineRule="atLeast"/>
      <w:jc w:val="left"/>
    </w:pPr>
    <w:rPr>
      <w:rFonts w:ascii="Calibri" w:hAnsi="Calibri" w:eastAsia="宋体" w:cs="Times New Roman"/>
      <w:kern w:val="0"/>
      <w:sz w:val="22"/>
    </w:rPr>
  </w:style>
  <w:style w:type="paragraph" w:styleId="22">
    <w:name w:val="annotation subject"/>
    <w:basedOn w:val="11"/>
    <w:next w:val="11"/>
    <w:link w:val="60"/>
    <w:unhideWhenUsed/>
    <w:qFormat/>
    <w:uiPriority w:val="99"/>
    <w:rPr>
      <w:rFonts w:ascii="宋体" w:hAnsi="宋体" w:eastAsiaTheme="minorEastAsia" w:cstheme="minorBidi"/>
      <w:b/>
      <w:bCs/>
    </w:rPr>
  </w:style>
  <w:style w:type="table" w:styleId="24">
    <w:name w:val="Table Grid"/>
    <w:basedOn w:val="2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6">
    <w:name w:val="Strong"/>
    <w:qFormat/>
    <w:uiPriority w:val="0"/>
    <w:rPr>
      <w:color w:val="000000"/>
      <w:sz w:val="18"/>
      <w:szCs w:val="18"/>
    </w:rPr>
  </w:style>
  <w:style w:type="character" w:styleId="27">
    <w:name w:val="Emphasis"/>
    <w:qFormat/>
    <w:uiPriority w:val="0"/>
    <w:rPr>
      <w:rFonts w:cs="Times New Roman"/>
      <w:b/>
      <w:bCs/>
      <w:color w:val="000000"/>
      <w:sz w:val="18"/>
      <w:szCs w:val="18"/>
    </w:rPr>
  </w:style>
  <w:style w:type="character" w:styleId="28">
    <w:name w:val="Hyperlink"/>
    <w:qFormat/>
    <w:uiPriority w:val="99"/>
    <w:rPr>
      <w:color w:val="0000FF"/>
      <w:u w:val="single"/>
    </w:rPr>
  </w:style>
  <w:style w:type="character" w:styleId="29">
    <w:name w:val="annotation reference"/>
    <w:qFormat/>
    <w:uiPriority w:val="99"/>
    <w:rPr>
      <w:sz w:val="21"/>
      <w:szCs w:val="21"/>
    </w:rPr>
  </w:style>
  <w:style w:type="paragraph" w:customStyle="1" w:styleId="30">
    <w:name w:val="双引号"/>
    <w:basedOn w:val="1"/>
    <w:link w:val="31"/>
    <w:qFormat/>
    <w:uiPriority w:val="0"/>
    <w:pPr>
      <w:spacing w:line="440" w:lineRule="exact"/>
      <w:ind w:firstLine="480" w:firstLineChars="200"/>
    </w:pPr>
    <w:rPr>
      <w:sz w:val="24"/>
      <w:szCs w:val="24"/>
    </w:rPr>
  </w:style>
  <w:style w:type="character" w:customStyle="1" w:styleId="31">
    <w:name w:val="双引号 Char"/>
    <w:basedOn w:val="25"/>
    <w:link w:val="30"/>
    <w:qFormat/>
    <w:uiPriority w:val="0"/>
    <w:rPr>
      <w:rFonts w:ascii="宋体" w:hAnsi="宋体"/>
      <w:sz w:val="24"/>
      <w:szCs w:val="24"/>
    </w:rPr>
  </w:style>
  <w:style w:type="character" w:customStyle="1" w:styleId="32">
    <w:name w:val="标题 1 字符"/>
    <w:basedOn w:val="25"/>
    <w:link w:val="2"/>
    <w:qFormat/>
    <w:uiPriority w:val="0"/>
    <w:rPr>
      <w:rFonts w:ascii="Times New Roman" w:hAnsi="Times New Roman" w:eastAsia="宋体" w:cs="Times New Roman"/>
      <w:b/>
      <w:kern w:val="44"/>
      <w:sz w:val="30"/>
      <w:szCs w:val="24"/>
    </w:rPr>
  </w:style>
  <w:style w:type="character" w:customStyle="1" w:styleId="33">
    <w:name w:val="标题 2 字符"/>
    <w:basedOn w:val="25"/>
    <w:link w:val="3"/>
    <w:qFormat/>
    <w:uiPriority w:val="0"/>
    <w:rPr>
      <w:rFonts w:ascii="Times New Roman" w:hAnsi="Times New Roman" w:eastAsia="黑体" w:cs="Times New Roman"/>
      <w:b/>
      <w:sz w:val="24"/>
      <w:szCs w:val="24"/>
    </w:rPr>
  </w:style>
  <w:style w:type="character" w:customStyle="1" w:styleId="34">
    <w:name w:val="标题 3 字符"/>
    <w:basedOn w:val="25"/>
    <w:link w:val="5"/>
    <w:qFormat/>
    <w:uiPriority w:val="0"/>
    <w:rPr>
      <w:rFonts w:ascii="Times New Roman" w:hAnsi="Times New Roman" w:eastAsia="宋体" w:cs="Times New Roman"/>
      <w:b/>
      <w:bCs/>
      <w:szCs w:val="24"/>
    </w:rPr>
  </w:style>
  <w:style w:type="character" w:customStyle="1" w:styleId="35">
    <w:name w:val="标题 4 字符"/>
    <w:basedOn w:val="25"/>
    <w:link w:val="7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36">
    <w:name w:val="文档结构图 字符"/>
    <w:basedOn w:val="25"/>
    <w:link w:val="10"/>
    <w:qFormat/>
    <w:uiPriority w:val="0"/>
    <w:rPr>
      <w:rFonts w:ascii="宋体" w:hAnsi="Calibri" w:eastAsia="宋体" w:cs="Times New Roman"/>
      <w:sz w:val="18"/>
      <w:szCs w:val="18"/>
    </w:rPr>
  </w:style>
  <w:style w:type="character" w:customStyle="1" w:styleId="37">
    <w:name w:val="批注文字 字符"/>
    <w:basedOn w:val="25"/>
    <w:link w:val="11"/>
    <w:qFormat/>
    <w:uiPriority w:val="0"/>
    <w:rPr>
      <w:rFonts w:ascii="Calibri" w:hAnsi="Calibri" w:eastAsia="宋体" w:cs="Times New Roman"/>
    </w:rPr>
  </w:style>
  <w:style w:type="character" w:customStyle="1" w:styleId="38">
    <w:name w:val="日期 字符"/>
    <w:basedOn w:val="25"/>
    <w:link w:val="13"/>
    <w:qFormat/>
    <w:uiPriority w:val="99"/>
    <w:rPr>
      <w:rFonts w:ascii="Calibri" w:hAnsi="Calibri" w:eastAsia="宋体" w:cs="Times New Roman"/>
      <w:szCs w:val="24"/>
    </w:rPr>
  </w:style>
  <w:style w:type="character" w:customStyle="1" w:styleId="39">
    <w:name w:val="批注框文本 字符"/>
    <w:basedOn w:val="25"/>
    <w:link w:val="14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40">
    <w:name w:val="页脚 字符"/>
    <w:basedOn w:val="25"/>
    <w:link w:val="15"/>
    <w:qFormat/>
    <w:uiPriority w:val="99"/>
    <w:rPr>
      <w:rFonts w:ascii="Calibri" w:hAnsi="Calibri" w:eastAsia="宋体" w:cs="Times New Roman"/>
      <w:sz w:val="18"/>
      <w:szCs w:val="24"/>
    </w:rPr>
  </w:style>
  <w:style w:type="character" w:customStyle="1" w:styleId="41">
    <w:name w:val="页眉 字符"/>
    <w:basedOn w:val="25"/>
    <w:link w:val="16"/>
    <w:qFormat/>
    <w:uiPriority w:val="99"/>
    <w:rPr>
      <w:rFonts w:ascii="Calibri" w:hAnsi="Calibri" w:eastAsia="宋体" w:cs="Times New Roman"/>
      <w:sz w:val="18"/>
      <w:szCs w:val="24"/>
    </w:rPr>
  </w:style>
  <w:style w:type="character" w:customStyle="1" w:styleId="42">
    <w:name w:val="副标题 字符"/>
    <w:basedOn w:val="25"/>
    <w:link w:val="18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43">
    <w:name w:val="HTML 预设格式 字符"/>
    <w:basedOn w:val="25"/>
    <w:link w:val="20"/>
    <w:qFormat/>
    <w:uiPriority w:val="0"/>
    <w:rPr>
      <w:rFonts w:ascii="宋体" w:hAnsi="宋体" w:eastAsia="宋体" w:cs="Times New Roman"/>
      <w:kern w:val="0"/>
      <w:sz w:val="24"/>
      <w:szCs w:val="24"/>
    </w:rPr>
  </w:style>
  <w:style w:type="character" w:customStyle="1" w:styleId="44">
    <w:name w:val="标题 字符"/>
    <w:basedOn w:val="25"/>
    <w:link w:val="4"/>
    <w:qFormat/>
    <w:uiPriority w:val="10"/>
    <w:rPr>
      <w:rFonts w:ascii="宋体" w:hAnsi="宋体" w:eastAsia="宋体" w:cs="Times New Roman"/>
      <w:b/>
      <w:sz w:val="32"/>
    </w:rPr>
  </w:style>
  <w:style w:type="character" w:customStyle="1" w:styleId="45">
    <w:name w:val="明显强调1"/>
    <w:qFormat/>
    <w:uiPriority w:val="21"/>
    <w:rPr>
      <w:i/>
      <w:iCs/>
      <w:color w:val="5B9BD5"/>
    </w:rPr>
  </w:style>
  <w:style w:type="character" w:customStyle="1" w:styleId="46">
    <w:name w:val="明显强调11"/>
    <w:qFormat/>
    <w:uiPriority w:val="21"/>
    <w:rPr>
      <w:i/>
      <w:iCs/>
      <w:color w:val="5B9BD5"/>
    </w:rPr>
  </w:style>
  <w:style w:type="paragraph" w:customStyle="1" w:styleId="47">
    <w:name w:val="00 条文说明"/>
    <w:basedOn w:val="1"/>
    <w:qFormat/>
    <w:uiPriority w:val="0"/>
    <w:pPr>
      <w:spacing w:line="330" w:lineRule="exact"/>
      <w:ind w:firstLine="480" w:firstLineChars="200"/>
    </w:pPr>
    <w:rPr>
      <w:rFonts w:hint="eastAsia" w:ascii="楷体_GB2312" w:hAnsi="楷体_GB2312" w:eastAsia="楷体_GB2312" w:cs="Times New Roman"/>
      <w:kern w:val="0"/>
      <w:sz w:val="24"/>
      <w:szCs w:val="20"/>
    </w:rPr>
  </w:style>
  <w:style w:type="paragraph" w:customStyle="1" w:styleId="48">
    <w:name w:val="列出段落1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paragraph" w:customStyle="1" w:styleId="49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  <w:style w:type="paragraph" w:customStyle="1" w:styleId="50">
    <w:name w:val="列出段落2"/>
    <w:basedOn w:val="1"/>
    <w:qFormat/>
    <w:uiPriority w:val="99"/>
    <w:pPr>
      <w:spacing w:line="330" w:lineRule="exact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customStyle="1" w:styleId="51">
    <w:name w:val="列出段落3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paragraph" w:customStyle="1" w:styleId="52">
    <w:name w:val="列出段落4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paragraph" w:customStyle="1" w:styleId="53">
    <w:name w:val="图片"/>
    <w:basedOn w:val="1"/>
    <w:next w:val="1"/>
    <w:qFormat/>
    <w:uiPriority w:val="0"/>
    <w:pPr>
      <w:jc w:val="center"/>
    </w:pPr>
    <w:rPr>
      <w:rFonts w:ascii="Times New Roman" w:hAnsi="Times New Roman" w:eastAsia="宋体" w:cs="Times New Roman"/>
      <w:szCs w:val="24"/>
    </w:rPr>
  </w:style>
  <w:style w:type="paragraph" w:customStyle="1" w:styleId="54">
    <w:name w:val="图表"/>
    <w:basedOn w:val="1"/>
    <w:next w:val="1"/>
    <w:qFormat/>
    <w:uiPriority w:val="0"/>
    <w:pPr>
      <w:framePr w:wrap="notBeside" w:vAnchor="margin" w:hAnchor="text" w:xAlign="center" w:yAlign="center"/>
      <w:spacing w:line="330" w:lineRule="exact"/>
    </w:pPr>
    <w:rPr>
      <w:rFonts w:ascii="Times New Roman" w:hAnsi="Times New Roman" w:eastAsia="宋体" w:cs="Times New Roman"/>
      <w:szCs w:val="21"/>
    </w:rPr>
  </w:style>
  <w:style w:type="paragraph" w:customStyle="1" w:styleId="55">
    <w:name w:val="列出段落41"/>
    <w:basedOn w:val="1"/>
    <w:next w:val="56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paragraph" w:customStyle="1" w:styleId="56">
    <w:name w:val="列出段落5"/>
    <w:basedOn w:val="1"/>
    <w:qFormat/>
    <w:uiPriority w:val="99"/>
    <w:pPr>
      <w:spacing w:line="330" w:lineRule="exact"/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57">
    <w:name w:val="明显强调2"/>
    <w:qFormat/>
    <w:uiPriority w:val="21"/>
    <w:rPr>
      <w:i/>
      <w:iCs/>
      <w:color w:val="5B9BD5"/>
    </w:rPr>
  </w:style>
  <w:style w:type="character" w:customStyle="1" w:styleId="58">
    <w:name w:val="明显强调3"/>
    <w:qFormat/>
    <w:uiPriority w:val="21"/>
    <w:rPr>
      <w:i/>
      <w:iCs/>
      <w:color w:val="5B9BD5"/>
    </w:rPr>
  </w:style>
  <w:style w:type="paragraph" w:customStyle="1" w:styleId="59">
    <w:name w:val="列出段落31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character" w:customStyle="1" w:styleId="60">
    <w:name w:val="批注主题 字符"/>
    <w:basedOn w:val="37"/>
    <w:link w:val="22"/>
    <w:semiHidden/>
    <w:qFormat/>
    <w:uiPriority w:val="99"/>
    <w:rPr>
      <w:rFonts w:ascii="宋体" w:hAnsi="宋体" w:eastAsia="宋体" w:cs="Times New Roman"/>
      <w:b/>
      <w:bCs/>
    </w:rPr>
  </w:style>
  <w:style w:type="paragraph" w:styleId="61">
    <w:name w:val="No Spacing"/>
    <w:basedOn w:val="1"/>
    <w:qFormat/>
    <w:uiPriority w:val="1"/>
    <w:pPr>
      <w:jc w:val="center"/>
    </w:pPr>
    <w:rPr>
      <w:rFonts w:ascii="Times New Roman" w:hAnsi="Times New Roman" w:eastAsia="宋体" w:cs="Times New Roman"/>
      <w:b/>
      <w:bCs/>
      <w:color w:val="000000" w:themeColor="text1"/>
      <w:sz w:val="18"/>
      <w:szCs w:val="18"/>
      <w14:textFill>
        <w14:solidFill>
          <w14:schemeClr w14:val="tx1"/>
        </w14:solidFill>
      </w14:textFill>
    </w:rPr>
  </w:style>
  <w:style w:type="character" w:customStyle="1" w:styleId="62">
    <w:name w:val="标题 3 Char1"/>
    <w:basedOn w:val="25"/>
    <w:qFormat/>
    <w:uiPriority w:val="0"/>
    <w:rPr>
      <w:b/>
      <w:bCs/>
      <w:sz w:val="32"/>
      <w:szCs w:val="32"/>
    </w:rPr>
  </w:style>
  <w:style w:type="table" w:customStyle="1" w:styleId="63">
    <w:name w:val="网格型1"/>
    <w:basedOn w:val="2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64">
    <w:name w:val="网格型2"/>
    <w:basedOn w:val="2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65">
    <w:name w:val="网格型3"/>
    <w:basedOn w:val="2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66">
    <w:name w:val="网格型4"/>
    <w:basedOn w:val="2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67">
    <w:name w:val="List Paragraph"/>
    <w:basedOn w:val="1"/>
    <w:qFormat/>
    <w:uiPriority w:val="99"/>
    <w:pPr>
      <w:ind w:firstLine="420" w:firstLineChars="200"/>
    </w:pPr>
  </w:style>
  <w:style w:type="paragraph" w:customStyle="1" w:styleId="68">
    <w:name w:val="WPSOffice手动目录 1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69">
    <w:name w:val="WPSOffice手动目录 2"/>
    <w:qFormat/>
    <w:uiPriority w:val="0"/>
    <w:pPr>
      <w:ind w:left="200" w:leftChars="200"/>
    </w:pPr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70">
    <w:name w:val="WPSOffice手动目录 3"/>
    <w:qFormat/>
    <w:uiPriority w:val="0"/>
    <w:pPr>
      <w:ind w:left="400" w:leftChars="400"/>
    </w:pPr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71">
    <w:name w:val="条文正文"/>
    <w:basedOn w:val="1"/>
    <w:qFormat/>
    <w:uiPriority w:val="0"/>
    <w:pPr>
      <w:spacing w:line="330" w:lineRule="exact"/>
      <w:jc w:val="left"/>
    </w:pPr>
    <w:rPr>
      <w:rFonts w:ascii="Times New Roman" w:hAnsi="Times New Roman" w:eastAsia="宋体" w:cs="Times New Roman"/>
      <w:sz w:val="24"/>
      <w:szCs w:val="24"/>
    </w:rPr>
  </w:style>
  <w:style w:type="character" w:customStyle="1" w:styleId="72">
    <w:name w:val="标题 5 字符"/>
    <w:basedOn w:val="25"/>
    <w:link w:val="8"/>
    <w:qFormat/>
    <w:uiPriority w:val="9"/>
    <w:rPr>
      <w:bCs/>
      <w:kern w:val="2"/>
      <w:sz w:val="21"/>
      <w:szCs w:val="24"/>
    </w:rPr>
  </w:style>
  <w:style w:type="paragraph" w:customStyle="1" w:styleId="73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color w:val="2E75B6" w:themeColor="accent1" w:themeShade="BF"/>
      <w:kern w:val="0"/>
      <w:sz w:val="32"/>
      <w:szCs w:val="32"/>
    </w:rPr>
  </w:style>
  <w:style w:type="table" w:customStyle="1" w:styleId="74">
    <w:name w:val="网格型5"/>
    <w:basedOn w:val="23"/>
    <w:qFormat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5">
    <w:name w:val="TOC 标题2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color w:val="2E75B6" w:themeColor="accent1" w:themeShade="BF"/>
      <w:kern w:val="0"/>
      <w:sz w:val="32"/>
      <w:szCs w:val="32"/>
    </w:rPr>
  </w:style>
  <w:style w:type="paragraph" w:customStyle="1" w:styleId="76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  <w:style w:type="paragraph" w:customStyle="1" w:styleId="77">
    <w:name w:val="TOC 标题3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color w:val="2E75B6" w:themeColor="accent1" w:themeShade="BF"/>
      <w:kern w:val="0"/>
      <w:sz w:val="32"/>
      <w:szCs w:val="32"/>
    </w:rPr>
  </w:style>
  <w:style w:type="table" w:customStyle="1" w:styleId="78">
    <w:name w:val="网格型6"/>
    <w:basedOn w:val="23"/>
    <w:unhideWhenUsed/>
    <w:qFormat/>
    <w:uiPriority w:val="99"/>
    <w:pPr>
      <w:widowControl w:val="0"/>
      <w:jc w:val="both"/>
    </w:pPr>
    <w:rPr>
      <w:rFonts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79">
    <w:name w:val="网格型7"/>
    <w:basedOn w:val="23"/>
    <w:unhideWhenUsed/>
    <w:qFormat/>
    <w:uiPriority w:val="99"/>
    <w:pPr>
      <w:widowControl w:val="0"/>
      <w:jc w:val="both"/>
    </w:pPr>
    <w:rPr>
      <w:rFonts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0">
    <w:name w:val="TOC Heading"/>
    <w:basedOn w:val="2"/>
    <w:next w:val="1"/>
    <w:unhideWhenUsed/>
    <w:qFormat/>
    <w:uiPriority w:val="39"/>
    <w:pPr>
      <w:spacing w:before="340" w:after="330" w:line="578" w:lineRule="auto"/>
      <w:jc w:val="both"/>
      <w:outlineLvl w:val="9"/>
    </w:pPr>
    <w:rPr>
      <w:rFonts w:ascii="宋体" w:hAnsi="宋体" w:eastAsiaTheme="minorEastAsia" w:cstheme="minorBidi"/>
      <w:bCs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2.xml"/><Relationship Id="rId15" Type="http://schemas.openxmlformats.org/officeDocument/2006/relationships/customXml" Target="../customXml/item1.xml"/><Relationship Id="rId14" Type="http://schemas.openxmlformats.org/officeDocument/2006/relationships/image" Target="media/image1.emf"/><Relationship Id="rId13" Type="http://schemas.openxmlformats.org/officeDocument/2006/relationships/oleObject" Target="embeddings/oleObject1.bin"/><Relationship Id="rId12" Type="http://schemas.openxmlformats.org/officeDocument/2006/relationships/theme" Target="theme/theme1.xml"/><Relationship Id="rId11" Type="http://schemas.openxmlformats.org/officeDocument/2006/relationships/footer" Target="footer9.xml"/><Relationship Id="rId10" Type="http://schemas.openxmlformats.org/officeDocument/2006/relationships/footer" Target="footer8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D2AE612-7991-46B5-BCC2-9FC491B1408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27</Pages>
  <Words>2048</Words>
  <Characters>11678</Characters>
  <Lines>97</Lines>
  <Paragraphs>27</Paragraphs>
  <TotalTime>115</TotalTime>
  <ScaleCrop>false</ScaleCrop>
  <LinksUpToDate>false</LinksUpToDate>
  <CharactersWithSpaces>13699</CharactersWithSpaces>
  <Application>WPS Office_11.1.0.10214_F1E327BC-269C-435d-A152-05C5408002CA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2021-01-28T13:19:00Z</dcterms:created>
  <dc:creator>GHD</dc:creator>
  <cp:lastModifiedBy>李文龙</cp:lastModifiedBy>
  <cp:lastPrinted>2021-01-28T14:37:00Z</cp:lastPrinted>
  <dcterms:modified xsi:type="dcterms:W3CDTF">2021-07-23T11:08:08Z</dcterms:modified>
  <cp:revision>88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2052-11.1.0.10214</vt:lpwstr>
  </property>
</Properties>
</file>