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firstLine="241" w:firstLineChars="100"/>
        <w:jc w:val="left"/>
        <w:rPr>
          <w:b/>
          <w:color w:val="auto"/>
          <w:sz w:val="24"/>
          <w:szCs w:val="24"/>
        </w:rPr>
      </w:pPr>
      <w:r>
        <w:rPr>
          <w:rFonts w:hint="eastAsia"/>
          <w:b/>
          <w:color w:val="auto"/>
          <w:sz w:val="24"/>
          <w:szCs w:val="24"/>
        </w:rPr>
        <w:t>U</w:t>
      </w:r>
      <w:r>
        <w:rPr>
          <w:b/>
          <w:color w:val="auto"/>
          <w:sz w:val="24"/>
          <w:szCs w:val="24"/>
        </w:rPr>
        <w:t>DC</w:t>
      </w:r>
    </w:p>
    <w:p>
      <w:pPr>
        <w:widowControl/>
        <w:ind w:firstLine="643"/>
        <w:jc w:val="center"/>
        <w:rPr>
          <w:rFonts w:hint="eastAsia" w:ascii="黑体" w:hAnsi="黑体" w:eastAsia="黑体"/>
          <w:b/>
          <w:color w:val="auto"/>
          <w:sz w:val="32"/>
          <w:szCs w:val="24"/>
        </w:rPr>
      </w:pPr>
    </w:p>
    <w:p>
      <w:pPr>
        <w:widowControl/>
        <w:ind w:firstLine="643"/>
        <w:jc w:val="center"/>
        <w:rPr>
          <w:rFonts w:ascii="黑体" w:hAnsi="黑体" w:eastAsia="黑体"/>
          <w:b/>
          <w:color w:val="auto"/>
          <w:sz w:val="32"/>
          <w:szCs w:val="24"/>
        </w:rPr>
      </w:pPr>
      <w:r>
        <w:rPr>
          <w:rFonts w:hint="eastAsia" w:ascii="黑体" w:hAnsi="黑体" w:eastAsia="黑体"/>
          <w:b/>
          <w:color w:val="auto"/>
          <w:sz w:val="32"/>
          <w:szCs w:val="24"/>
        </w:rPr>
        <w:t>团体标准</w:t>
      </w:r>
    </w:p>
    <w:p>
      <w:pPr>
        <w:ind w:firstLine="422"/>
        <w:jc w:val="right"/>
        <w:rPr>
          <w:b/>
          <w:color w:val="auto"/>
        </w:rPr>
      </w:pPr>
      <w:r>
        <w:rPr>
          <w:b/>
          <w:color w:val="auto"/>
        </w:rPr>
        <w:t>T/CMCA400X—2021</w:t>
      </w:r>
    </w:p>
    <w:p>
      <w:pPr>
        <w:pBdr>
          <w:bottom w:val="single" w:color="auto" w:sz="4" w:space="1"/>
        </w:pBdr>
        <w:ind w:firstLine="420"/>
        <w:rPr>
          <w:color w:val="auto"/>
        </w:rPr>
      </w:pPr>
      <w:r>
        <w:rPr>
          <w:rFonts w:hint="eastAsia"/>
          <w:color w:val="auto"/>
        </w:rPr>
        <w:t xml:space="preserve"> </w:t>
      </w:r>
      <w:r>
        <w:rPr>
          <w:color w:val="auto"/>
        </w:rPr>
        <w:t xml:space="preserve">                                                                </w:t>
      </w:r>
    </w:p>
    <w:p>
      <w:pPr>
        <w:ind w:firstLine="640"/>
        <w:jc w:val="center"/>
        <w:rPr>
          <w:color w:val="auto"/>
          <w:sz w:val="32"/>
        </w:rPr>
      </w:pPr>
    </w:p>
    <w:p>
      <w:pPr>
        <w:jc w:val="center"/>
        <w:rPr>
          <w:rFonts w:ascii="宋体" w:hAnsi="宋体" w:eastAsia="宋体"/>
          <w:b/>
          <w:color w:val="auto"/>
          <w:sz w:val="32"/>
        </w:rPr>
      </w:pPr>
      <w:r>
        <w:rPr>
          <w:rFonts w:hint="eastAsia" w:ascii="宋体" w:hAnsi="宋体" w:eastAsia="宋体"/>
          <w:b/>
          <w:color w:val="auto"/>
          <w:sz w:val="32"/>
        </w:rPr>
        <w:t>玻璃纤维增强石膏装饰材料施工及验收标准</w:t>
      </w:r>
    </w:p>
    <w:p>
      <w:pPr>
        <w:spacing w:line="200" w:lineRule="atLeast"/>
        <w:jc w:val="center"/>
        <w:rPr>
          <w:rFonts w:ascii="Times New Roman" w:hAnsi="Times New Roman" w:eastAsia="宋体" w:cs="Times New Roman"/>
          <w:b/>
          <w:color w:val="auto"/>
          <w:kern w:val="44"/>
          <w:sz w:val="30"/>
          <w:szCs w:val="24"/>
        </w:rPr>
      </w:pPr>
      <w:r>
        <w:rPr>
          <w:rFonts w:ascii="Times New Roman" w:hAnsi="Times New Roman" w:eastAsia="宋体" w:cs="Times New Roman"/>
          <w:b/>
          <w:color w:val="auto"/>
          <w:kern w:val="44"/>
          <w:sz w:val="30"/>
          <w:szCs w:val="24"/>
        </w:rPr>
        <w:t xml:space="preserve">Construction and acceptance standard of </w:t>
      </w:r>
      <w:r>
        <w:rPr>
          <w:rFonts w:hint="eastAsia" w:ascii="Times New Roman" w:hAnsi="Times New Roman" w:eastAsia="宋体" w:cs="Times New Roman"/>
          <w:b/>
          <w:color w:val="auto"/>
          <w:kern w:val="44"/>
          <w:sz w:val="30"/>
          <w:szCs w:val="24"/>
        </w:rPr>
        <w:t>Glass</w:t>
      </w:r>
      <w:r>
        <w:rPr>
          <w:rFonts w:ascii="Times New Roman" w:hAnsi="Times New Roman" w:eastAsia="宋体" w:cs="Times New Roman"/>
          <w:b/>
          <w:color w:val="auto"/>
          <w:kern w:val="44"/>
          <w:sz w:val="30"/>
          <w:szCs w:val="24"/>
        </w:rPr>
        <w:t xml:space="preserve"> </w:t>
      </w:r>
      <w:r>
        <w:rPr>
          <w:rFonts w:hint="eastAsia" w:ascii="Times New Roman" w:hAnsi="Times New Roman" w:eastAsia="宋体" w:cs="Times New Roman"/>
          <w:b/>
          <w:color w:val="auto"/>
          <w:kern w:val="44"/>
          <w:sz w:val="30"/>
          <w:szCs w:val="24"/>
        </w:rPr>
        <w:t>Fiber Reinforced Gypsum</w:t>
      </w:r>
      <w:r>
        <w:rPr>
          <w:rFonts w:ascii="Times New Roman" w:hAnsi="Times New Roman" w:eastAsia="宋体" w:cs="Times New Roman"/>
          <w:b/>
          <w:color w:val="auto"/>
          <w:kern w:val="44"/>
          <w:sz w:val="30"/>
          <w:szCs w:val="24"/>
        </w:rPr>
        <w:t xml:space="preserve"> decorative materials</w:t>
      </w:r>
    </w:p>
    <w:p>
      <w:pPr>
        <w:jc w:val="center"/>
        <w:rPr>
          <w:rFonts w:hint="eastAsia" w:ascii="Times New Roman" w:hAnsi="Times New Roman" w:cs="Times New Roman"/>
          <w:color w:val="auto"/>
          <w:sz w:val="30"/>
          <w:szCs w:val="30"/>
        </w:rPr>
      </w:pPr>
      <w:r>
        <w:rPr>
          <w:rFonts w:hint="eastAsia" w:ascii="Times New Roman" w:hAnsi="Times New Roman" w:cs="Times New Roman"/>
          <w:color w:val="auto"/>
          <w:sz w:val="30"/>
          <w:szCs w:val="30"/>
        </w:rPr>
        <w:t>（征求意见稿）</w:t>
      </w:r>
    </w:p>
    <w:p>
      <w:pPr>
        <w:ind w:firstLine="600"/>
        <w:jc w:val="center"/>
        <w:rPr>
          <w:rFonts w:hint="default" w:ascii="Times New Roman" w:hAnsi="Times New Roman" w:cs="Times New Roman" w:eastAsiaTheme="minorEastAsia"/>
          <w:color w:val="auto"/>
          <w:sz w:val="30"/>
          <w:szCs w:val="30"/>
          <w:lang w:val="en-US" w:eastAsia="zh-CN"/>
        </w:rPr>
      </w:pPr>
      <w:r>
        <w:rPr>
          <w:rFonts w:hint="eastAsia"/>
          <w:color w:val="auto"/>
          <w:lang w:val="en-US" w:eastAsia="zh-CN"/>
        </w:rPr>
        <w:t xml:space="preserve">  </w:t>
      </w:r>
    </w:p>
    <w:p>
      <w:pPr>
        <w:ind w:firstLine="600"/>
        <w:jc w:val="center"/>
        <w:rPr>
          <w:rFonts w:ascii="Times New Roman" w:hAnsi="Times New Roman" w:cs="Times New Roman"/>
          <w:color w:val="auto"/>
          <w:sz w:val="30"/>
          <w:szCs w:val="30"/>
        </w:rPr>
      </w:pPr>
    </w:p>
    <w:p>
      <w:pPr>
        <w:ind w:firstLine="600"/>
        <w:jc w:val="center"/>
        <w:rPr>
          <w:rFonts w:ascii="Times New Roman" w:hAnsi="Times New Roman" w:cs="Times New Roman"/>
          <w:color w:val="auto"/>
          <w:sz w:val="30"/>
          <w:szCs w:val="30"/>
        </w:rPr>
      </w:pPr>
    </w:p>
    <w:p>
      <w:pPr>
        <w:ind w:firstLine="600"/>
        <w:jc w:val="center"/>
        <w:rPr>
          <w:rFonts w:ascii="Times New Roman" w:hAnsi="Times New Roman" w:cs="Times New Roman"/>
          <w:color w:val="auto"/>
          <w:sz w:val="30"/>
          <w:szCs w:val="30"/>
        </w:rPr>
      </w:pPr>
    </w:p>
    <w:p>
      <w:pPr>
        <w:jc w:val="both"/>
        <w:rPr>
          <w:rFonts w:ascii="Times New Roman" w:hAnsi="Times New Roman" w:cs="Times New Roman"/>
          <w:color w:val="auto"/>
          <w:sz w:val="30"/>
          <w:szCs w:val="30"/>
        </w:rPr>
      </w:pPr>
    </w:p>
    <w:p>
      <w:pPr>
        <w:jc w:val="both"/>
        <w:rPr>
          <w:rFonts w:ascii="Times New Roman" w:hAnsi="Times New Roman" w:cs="Times New Roman"/>
          <w:color w:val="auto"/>
          <w:sz w:val="30"/>
          <w:szCs w:val="30"/>
        </w:rPr>
      </w:pPr>
    </w:p>
    <w:p>
      <w:pPr>
        <w:ind w:firstLine="600"/>
        <w:jc w:val="center"/>
        <w:rPr>
          <w:rFonts w:ascii="Times New Roman" w:hAnsi="Times New Roman" w:cs="Times New Roman"/>
          <w:color w:val="auto"/>
          <w:sz w:val="30"/>
          <w:szCs w:val="30"/>
        </w:rPr>
      </w:pPr>
    </w:p>
    <w:p>
      <w:pPr>
        <w:pBdr>
          <w:bottom w:val="single" w:color="auto" w:sz="6" w:space="1"/>
        </w:pBdr>
        <w:spacing w:line="330" w:lineRule="exact"/>
        <w:ind w:firstLine="480"/>
        <w:rPr>
          <w:rFonts w:ascii="Times New Roman" w:hAnsi="Times New Roman" w:eastAsia="黑体"/>
          <w:b/>
          <w:color w:val="auto"/>
          <w:sz w:val="24"/>
          <w:szCs w:val="24"/>
        </w:rPr>
      </w:pPr>
      <w:r>
        <w:rPr>
          <w:rFonts w:ascii="Times New Roman" w:hAnsi="Times New Roman"/>
          <w:color w:val="auto"/>
          <w:sz w:val="24"/>
          <w:szCs w:val="24"/>
        </w:rPr>
        <w:t>××××-××-××</w:t>
      </w:r>
      <w:r>
        <w:rPr>
          <w:rFonts w:hint="eastAsia" w:ascii="Times New Roman" w:hAnsi="Times New Roman" w:eastAsia="黑体"/>
          <w:b/>
          <w:color w:val="auto"/>
          <w:sz w:val="24"/>
          <w:szCs w:val="24"/>
        </w:rPr>
        <w:t>发布</w:t>
      </w:r>
      <w:r>
        <w:rPr>
          <w:rFonts w:ascii="Times New Roman" w:hAnsi="Times New Roman" w:eastAsia="黑体"/>
          <w:b/>
          <w:color w:val="auto"/>
          <w:sz w:val="24"/>
          <w:szCs w:val="24"/>
        </w:rPr>
        <w:t xml:space="preserve">                 </w:t>
      </w:r>
      <w:r>
        <w:rPr>
          <w:rFonts w:ascii="Times New Roman" w:hAnsi="Times New Roman"/>
          <w:color w:val="auto"/>
          <w:sz w:val="24"/>
          <w:szCs w:val="24"/>
        </w:rPr>
        <w:t>××××-××-××</w:t>
      </w:r>
      <w:r>
        <w:rPr>
          <w:rFonts w:ascii="Times New Roman" w:hAnsi="Times New Roman" w:eastAsia="黑体"/>
          <w:b/>
          <w:color w:val="auto"/>
          <w:sz w:val="24"/>
          <w:szCs w:val="24"/>
        </w:rPr>
        <w:t>实施</w:t>
      </w:r>
    </w:p>
    <w:p>
      <w:pPr>
        <w:ind w:firstLine="480"/>
        <w:jc w:val="center"/>
        <w:rPr>
          <w:rFonts w:ascii="Times New Roman" w:hAnsi="Times New Roman" w:eastAsia="黑体"/>
          <w:color w:val="auto"/>
          <w:sz w:val="24"/>
          <w:szCs w:val="24"/>
        </w:rPr>
      </w:pPr>
    </w:p>
    <w:p>
      <w:pPr>
        <w:ind w:firstLine="480"/>
        <w:jc w:val="center"/>
        <w:rPr>
          <w:rFonts w:ascii="Times New Roman" w:hAnsi="Times New Roman" w:eastAsia="黑体"/>
          <w:color w:val="auto"/>
          <w:sz w:val="24"/>
          <w:szCs w:val="24"/>
        </w:rPr>
        <w:sectPr>
          <w:headerReference r:id="rId3" w:type="even"/>
          <w:footerReference r:id="rId4" w:type="even"/>
          <w:pgSz w:w="10319" w:h="14571"/>
          <w:pgMar w:top="1440" w:right="1800" w:bottom="1440" w:left="1800" w:header="851" w:footer="992" w:gutter="0"/>
          <w:cols w:space="425" w:num="1"/>
          <w:docGrid w:type="lines" w:linePitch="312" w:charSpace="0"/>
        </w:sectPr>
      </w:pPr>
      <w:r>
        <w:rPr>
          <w:rFonts w:hint="eastAsia" w:ascii="Times New Roman" w:hAnsi="Times New Roman" w:eastAsia="黑体"/>
          <w:color w:val="auto"/>
          <w:sz w:val="24"/>
          <w:szCs w:val="24"/>
        </w:rPr>
        <w:t xml:space="preserve">中国冶金建设协会 </w:t>
      </w:r>
      <w:r>
        <w:rPr>
          <w:rFonts w:ascii="Times New Roman" w:hAnsi="Times New Roman" w:eastAsia="黑体"/>
          <w:color w:val="auto"/>
          <w:sz w:val="24"/>
          <w:szCs w:val="24"/>
        </w:rPr>
        <w:t xml:space="preserve"> </w:t>
      </w:r>
      <w:r>
        <w:rPr>
          <w:rFonts w:hint="eastAsia" w:ascii="Times New Roman" w:hAnsi="Times New Roman" w:eastAsia="黑体"/>
          <w:color w:val="auto"/>
          <w:sz w:val="24"/>
          <w:szCs w:val="24"/>
        </w:rPr>
        <w:t>发布</w:t>
      </w:r>
    </w:p>
    <w:p>
      <w:pPr>
        <w:widowControl/>
        <w:jc w:val="center"/>
        <w:rPr>
          <w:rFonts w:ascii="宋体" w:hAnsi="宋体" w:eastAsia="宋体"/>
          <w:b/>
          <w:color w:val="auto"/>
          <w:sz w:val="30"/>
          <w:szCs w:val="30"/>
        </w:rPr>
      </w:pPr>
      <w:r>
        <w:rPr>
          <w:rFonts w:ascii="宋体" w:hAnsi="宋体" w:eastAsia="宋体"/>
          <w:b/>
          <w:color w:val="auto"/>
          <w:sz w:val="30"/>
          <w:szCs w:val="30"/>
        </w:rPr>
        <w:t>前</w:t>
      </w:r>
      <w:r>
        <w:rPr>
          <w:rFonts w:hint="eastAsia" w:ascii="宋体" w:hAnsi="宋体" w:eastAsia="宋体"/>
          <w:b/>
          <w:color w:val="auto"/>
          <w:sz w:val="30"/>
          <w:szCs w:val="30"/>
          <w:lang w:val="en-US" w:eastAsia="zh-CN"/>
        </w:rPr>
        <w:t xml:space="preserve"> </w:t>
      </w:r>
      <w:r>
        <w:rPr>
          <w:rFonts w:ascii="宋体" w:hAnsi="宋体" w:eastAsia="宋体"/>
          <w:b/>
          <w:color w:val="auto"/>
          <w:sz w:val="30"/>
          <w:szCs w:val="30"/>
        </w:rPr>
        <w:t>言</w:t>
      </w:r>
    </w:p>
    <w:p>
      <w:pPr>
        <w:pStyle w:val="29"/>
        <w:rPr>
          <w:color w:val="auto"/>
        </w:rPr>
      </w:pPr>
      <w:r>
        <w:rPr>
          <w:rFonts w:hint="eastAsia"/>
          <w:color w:val="auto"/>
        </w:rPr>
        <w:t>根据中国冶金建设协会《关于印发2020年上半年工程建设团体标准制定计划的通知》（冶建协[20</w:t>
      </w:r>
      <w:r>
        <w:rPr>
          <w:color w:val="auto"/>
        </w:rPr>
        <w:t>20</w:t>
      </w:r>
      <w:r>
        <w:rPr>
          <w:rFonts w:hint="eastAsia"/>
          <w:color w:val="auto"/>
        </w:rPr>
        <w:t>]</w:t>
      </w:r>
      <w:r>
        <w:rPr>
          <w:color w:val="auto"/>
        </w:rPr>
        <w:t>26</w:t>
      </w:r>
      <w:r>
        <w:rPr>
          <w:rFonts w:hint="eastAsia"/>
          <w:color w:val="auto"/>
        </w:rPr>
        <w:t>号）的要求，由中国冶金建设协会组织，五冶集团上海有限公司、中国五冶集团有限公司共同编制完成。</w:t>
      </w:r>
    </w:p>
    <w:p>
      <w:pPr>
        <w:pStyle w:val="29"/>
        <w:rPr>
          <w:color w:val="auto"/>
        </w:rPr>
      </w:pPr>
      <w:r>
        <w:rPr>
          <w:rFonts w:hint="eastAsia"/>
          <w:color w:val="auto"/>
        </w:rPr>
        <w:t>在</w:t>
      </w:r>
      <w:r>
        <w:rPr>
          <w:rFonts w:hint="eastAsia"/>
          <w:color w:val="auto"/>
          <w:lang w:val="en-US" w:eastAsia="zh-CN"/>
        </w:rPr>
        <w:t>编</w:t>
      </w:r>
      <w:r>
        <w:rPr>
          <w:rFonts w:hint="eastAsia"/>
          <w:color w:val="auto"/>
        </w:rPr>
        <w:t>制过程中，标准编制组</w:t>
      </w:r>
      <w:r>
        <w:rPr>
          <w:rFonts w:hint="eastAsia"/>
          <w:color w:val="auto"/>
          <w:lang w:val="en-US" w:eastAsia="zh-CN"/>
        </w:rPr>
        <w:t>依据</w:t>
      </w:r>
      <w:r>
        <w:rPr>
          <w:rFonts w:hint="eastAsia"/>
          <w:color w:val="auto"/>
        </w:rPr>
        <w:t>有关国家法律、法规及相关标准，</w:t>
      </w:r>
      <w:r>
        <w:rPr>
          <w:rFonts w:hint="eastAsia"/>
          <w:color w:val="auto"/>
          <w:lang w:val="en-US" w:eastAsia="zh-CN"/>
        </w:rPr>
        <w:t>经过广泛</w:t>
      </w:r>
      <w:r>
        <w:rPr>
          <w:rFonts w:hint="eastAsia"/>
          <w:color w:val="auto"/>
        </w:rPr>
        <w:t>调查研究，总结了多年玻璃纤维增强石膏装饰材料施工及验收的经验，对标准条</w:t>
      </w:r>
      <w:r>
        <w:rPr>
          <w:rFonts w:hint="eastAsia"/>
          <w:color w:val="auto"/>
          <w:lang w:val="en-US" w:eastAsia="zh-CN"/>
        </w:rPr>
        <w:t>文</w:t>
      </w:r>
      <w:r>
        <w:rPr>
          <w:rFonts w:hint="eastAsia"/>
          <w:color w:val="auto"/>
        </w:rPr>
        <w:t>反复讨论，并广泛征求了有关单位和专家意见，</w:t>
      </w:r>
      <w:r>
        <w:rPr>
          <w:rFonts w:hint="eastAsia"/>
          <w:color w:val="auto"/>
          <w:lang w:val="en-US" w:eastAsia="zh-CN"/>
        </w:rPr>
        <w:t>编制了本标准</w:t>
      </w:r>
      <w:r>
        <w:rPr>
          <w:rFonts w:hint="eastAsia"/>
          <w:color w:val="auto"/>
        </w:rPr>
        <w:t>。</w:t>
      </w:r>
    </w:p>
    <w:p>
      <w:pPr>
        <w:pStyle w:val="29"/>
        <w:rPr>
          <w:color w:val="auto"/>
        </w:rPr>
      </w:pPr>
      <w:r>
        <w:rPr>
          <w:rFonts w:hint="eastAsia"/>
          <w:color w:val="auto"/>
        </w:rPr>
        <w:t>本标准共分8章，主要内容包括总则、术语、材料、深化设计、加工制作、安装施工、质量验收、安全与环保。</w:t>
      </w:r>
    </w:p>
    <w:p>
      <w:pPr>
        <w:pStyle w:val="29"/>
        <w:rPr>
          <w:color w:val="auto"/>
        </w:rPr>
      </w:pPr>
      <w:r>
        <w:rPr>
          <w:rFonts w:hint="eastAsia"/>
          <w:color w:val="auto"/>
        </w:rPr>
        <w:t>本标准由住房和城乡建设部负责管理，中国冶金建设协会负责日常管理，中国五冶集团有限公司负责具体技术内容解释。</w:t>
      </w:r>
    </w:p>
    <w:p>
      <w:pPr>
        <w:pStyle w:val="29"/>
        <w:rPr>
          <w:color w:val="auto"/>
        </w:rPr>
      </w:pPr>
      <w:r>
        <w:rPr>
          <w:rFonts w:hint="eastAsia"/>
          <w:color w:val="auto"/>
        </w:rPr>
        <w:t>为提高标准质量，在执行本标准的过程中，</w:t>
      </w:r>
      <w:r>
        <w:rPr>
          <w:rFonts w:hint="eastAsia"/>
          <w:color w:val="auto"/>
          <w:lang w:val="en-US" w:eastAsia="zh-CN"/>
        </w:rPr>
        <w:t>如有</w:t>
      </w:r>
      <w:r>
        <w:rPr>
          <w:rFonts w:hint="eastAsia"/>
          <w:color w:val="auto"/>
        </w:rPr>
        <w:t>意见和建议</w:t>
      </w:r>
      <w:r>
        <w:rPr>
          <w:rFonts w:hint="eastAsia"/>
          <w:color w:val="auto"/>
          <w:lang w:eastAsia="zh-CN"/>
        </w:rPr>
        <w:t>，</w:t>
      </w:r>
      <w:r>
        <w:rPr>
          <w:rFonts w:hint="eastAsia"/>
          <w:color w:val="auto"/>
          <w:lang w:val="en-US" w:eastAsia="zh-CN"/>
        </w:rPr>
        <w:t>请将</w:t>
      </w:r>
      <w:r>
        <w:rPr>
          <w:rFonts w:hint="eastAsia"/>
          <w:color w:val="auto"/>
        </w:rPr>
        <w:t>反馈五冶集团上海有限公司（地址：上海市宝山区铁力路2</w:t>
      </w:r>
      <w:r>
        <w:rPr>
          <w:color w:val="auto"/>
        </w:rPr>
        <w:t>501</w:t>
      </w:r>
      <w:r>
        <w:rPr>
          <w:rFonts w:hint="eastAsia"/>
          <w:color w:val="auto"/>
        </w:rPr>
        <w:t>号，邮编：201900）。</w:t>
      </w:r>
    </w:p>
    <w:p>
      <w:pPr>
        <w:pStyle w:val="29"/>
        <w:rPr>
          <w:color w:val="auto"/>
        </w:rPr>
      </w:pPr>
      <w:r>
        <w:rPr>
          <w:rFonts w:hint="eastAsia"/>
          <w:color w:val="auto"/>
        </w:rPr>
        <w:t>本标准主编单位、参编单位、主要起草人和主要审查人：</w:t>
      </w:r>
    </w:p>
    <w:p>
      <w:pPr>
        <w:pStyle w:val="29"/>
        <w:jc w:val="both"/>
        <w:rPr>
          <w:rFonts w:hint="eastAsia"/>
          <w:color w:val="auto"/>
        </w:rPr>
      </w:pPr>
      <w:r>
        <w:rPr>
          <w:rFonts w:hint="eastAsia" w:eastAsiaTheme="minorEastAsia"/>
          <w:b/>
          <w:bCs/>
          <w:color w:val="auto"/>
          <w:spacing w:val="34"/>
          <w:sz w:val="21"/>
        </w:rPr>
        <w:t>主编单位</w:t>
      </w:r>
      <w:r>
        <w:rPr>
          <w:rFonts w:hint="eastAsia"/>
          <w:color w:val="auto"/>
        </w:rPr>
        <w:t>：五冶集团上海有限公司</w:t>
      </w:r>
    </w:p>
    <w:p>
      <w:pPr>
        <w:pStyle w:val="29"/>
        <w:ind w:left="0" w:leftChars="0" w:firstLine="1680" w:firstLineChars="800"/>
        <w:jc w:val="both"/>
        <w:rPr>
          <w:color w:val="auto"/>
        </w:rPr>
      </w:pPr>
      <w:r>
        <w:rPr>
          <w:rFonts w:hint="eastAsia"/>
          <w:color w:val="auto"/>
        </w:rPr>
        <w:t>中国五冶集团有限公司</w:t>
      </w:r>
    </w:p>
    <w:p>
      <w:pPr>
        <w:pStyle w:val="29"/>
        <w:rPr>
          <w:rFonts w:hint="eastAsia"/>
          <w:color w:val="auto"/>
        </w:rPr>
      </w:pPr>
      <w:r>
        <w:rPr>
          <w:rFonts w:hint="eastAsia" w:eastAsiaTheme="minorEastAsia"/>
          <w:b/>
          <w:bCs/>
          <w:color w:val="auto"/>
          <w:spacing w:val="34"/>
          <w:sz w:val="21"/>
        </w:rPr>
        <w:t>参编单位</w:t>
      </w:r>
      <w:r>
        <w:rPr>
          <w:rFonts w:hint="eastAsia"/>
          <w:color w:val="auto"/>
        </w:rPr>
        <w:t>：江苏三达利建材科技有限公司</w:t>
      </w:r>
    </w:p>
    <w:p>
      <w:pPr>
        <w:pStyle w:val="29"/>
        <w:rPr>
          <w:rFonts w:hint="eastAsia"/>
          <w:color w:val="auto"/>
          <w:lang w:val="en-US" w:eastAsia="zh-CN"/>
        </w:rPr>
      </w:pPr>
      <w:r>
        <w:rPr>
          <w:rFonts w:hint="eastAsia"/>
          <w:color w:val="auto"/>
          <w:lang w:val="en-US" w:eastAsia="zh-CN"/>
        </w:rPr>
        <w:t xml:space="preserve">             宁波艺巢装饰材料有限公司</w:t>
      </w:r>
    </w:p>
    <w:p>
      <w:pPr>
        <w:pStyle w:val="29"/>
        <w:rPr>
          <w:rFonts w:hint="eastAsia"/>
          <w:color w:val="auto"/>
          <w:lang w:val="en-US" w:eastAsia="zh-CN"/>
        </w:rPr>
      </w:pPr>
      <w:r>
        <w:rPr>
          <w:rFonts w:hint="eastAsia"/>
          <w:color w:val="auto"/>
          <w:lang w:val="en-US" w:eastAsia="zh-CN"/>
        </w:rPr>
        <w:t xml:space="preserve">             上海盈艺装饰工程有限公司</w:t>
      </w:r>
    </w:p>
    <w:p>
      <w:pPr>
        <w:pStyle w:val="29"/>
        <w:rPr>
          <w:rFonts w:hint="default"/>
          <w:color w:val="auto"/>
          <w:lang w:val="en-US" w:eastAsia="zh-CN"/>
        </w:rPr>
      </w:pPr>
      <w:r>
        <w:rPr>
          <w:rFonts w:hint="eastAsia"/>
          <w:color w:val="auto"/>
          <w:lang w:val="en-US" w:eastAsia="zh-CN"/>
        </w:rPr>
        <w:t xml:space="preserve">             上海楷珩建筑装饰有限公司</w:t>
      </w:r>
    </w:p>
    <w:p>
      <w:pPr>
        <w:pStyle w:val="29"/>
        <w:rPr>
          <w:rFonts w:hint="eastAsia"/>
          <w:color w:val="auto"/>
          <w:lang w:val="en-US" w:eastAsia="zh-CN"/>
        </w:rPr>
      </w:pPr>
      <w:r>
        <w:rPr>
          <w:rFonts w:hint="eastAsia"/>
          <w:color w:val="auto"/>
          <w:lang w:val="en-US" w:eastAsia="zh-CN"/>
        </w:rPr>
        <w:t xml:space="preserve">             上海湘楚建筑装饰工程有限公司</w:t>
      </w:r>
    </w:p>
    <w:p>
      <w:pPr>
        <w:pStyle w:val="29"/>
        <w:rPr>
          <w:color w:val="auto"/>
        </w:rPr>
      </w:pPr>
      <w:r>
        <w:rPr>
          <w:rFonts w:hint="eastAsia"/>
          <w:color w:val="auto"/>
          <w:lang w:val="en-US" w:eastAsia="zh-CN"/>
        </w:rPr>
        <w:t xml:space="preserve">             上海嘉尧装饰工程有限公司</w:t>
      </w:r>
      <w:r>
        <w:rPr>
          <w:rFonts w:hint="eastAsia"/>
          <w:color w:val="auto"/>
        </w:rPr>
        <w:t xml:space="preserve">          </w:t>
      </w:r>
    </w:p>
    <w:p>
      <w:pPr>
        <w:pStyle w:val="29"/>
        <w:rPr>
          <w:rFonts w:hint="default" w:eastAsiaTheme="minorEastAsia"/>
          <w:color w:val="auto"/>
          <w:lang w:val="en-US" w:eastAsia="zh-CN"/>
        </w:rPr>
      </w:pPr>
      <w:r>
        <w:rPr>
          <w:rFonts w:hint="eastAsia"/>
          <w:b/>
          <w:bCs/>
          <w:color w:val="auto"/>
        </w:rPr>
        <w:t>主要起草人</w:t>
      </w:r>
      <w:r>
        <w:rPr>
          <w:rFonts w:hint="eastAsia"/>
          <w:color w:val="auto"/>
        </w:rPr>
        <w:t>：</w:t>
      </w:r>
    </w:p>
    <w:p>
      <w:pPr>
        <w:pStyle w:val="29"/>
        <w:ind w:firstLine="422" w:firstLineChars="200"/>
        <w:rPr>
          <w:rFonts w:hint="default"/>
          <w:color w:val="auto"/>
          <w:lang w:val="en-US" w:eastAsia="zh-CN"/>
        </w:rPr>
      </w:pPr>
      <w:r>
        <w:rPr>
          <w:rFonts w:hint="eastAsia"/>
          <w:b/>
          <w:bCs/>
          <w:color w:val="auto"/>
        </w:rPr>
        <w:t>主要审查人</w:t>
      </w:r>
      <w:r>
        <w:rPr>
          <w:rFonts w:hint="eastAsia"/>
          <w:color w:val="auto"/>
        </w:rPr>
        <w:t>：</w:t>
      </w: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p>
      <w:pPr>
        <w:pStyle w:val="29"/>
        <w:ind w:left="0" w:leftChars="0" w:firstLine="0" w:firstLineChars="0"/>
        <w:rPr>
          <w:rFonts w:hint="eastAsia"/>
          <w:color w:val="auto"/>
          <w:lang w:val="en-US" w:eastAsia="zh-CN"/>
        </w:rPr>
      </w:pPr>
    </w:p>
    <w:sdt>
      <w:sdtPr>
        <w:rPr>
          <w:rFonts w:ascii="宋体" w:hAnsi="宋体" w:eastAsia="宋体"/>
          <w:color w:val="auto"/>
          <w:sz w:val="36"/>
          <w:szCs w:val="36"/>
        </w:rPr>
        <w:id w:val="147453343"/>
        <w:docPartObj>
          <w:docPartGallery w:val="Table of Contents"/>
          <w:docPartUnique/>
        </w:docPartObj>
      </w:sdtPr>
      <w:sdtEndPr>
        <w:rPr>
          <w:rFonts w:asciiTheme="minorHAnsi" w:hAnsiTheme="minorHAnsi" w:eastAsiaTheme="minorEastAsia"/>
          <w:b/>
          <w:bCs/>
          <w:color w:val="auto"/>
          <w:spacing w:val="0"/>
          <w:w w:val="100"/>
          <w:sz w:val="18"/>
          <w:szCs w:val="18"/>
        </w:rPr>
      </w:sdtEndPr>
      <w:sdtContent>
        <w:p>
          <w:pPr>
            <w:jc w:val="center"/>
            <w:rPr>
              <w:rFonts w:hint="eastAsia" w:eastAsia="宋体"/>
              <w:color w:val="auto"/>
              <w:sz w:val="36"/>
              <w:szCs w:val="36"/>
              <w:lang w:eastAsia="zh-CN"/>
            </w:rPr>
          </w:pPr>
          <w:r>
            <w:rPr>
              <w:rFonts w:ascii="宋体" w:hAnsi="宋体" w:eastAsia="宋体"/>
              <w:b/>
              <w:bCs/>
              <w:color w:val="auto"/>
              <w:sz w:val="32"/>
              <w:szCs w:val="32"/>
            </w:rPr>
            <w:t>目</w:t>
          </w:r>
          <w:r>
            <w:rPr>
              <w:rFonts w:hint="eastAsia" w:ascii="宋体" w:hAnsi="宋体" w:eastAsia="宋体"/>
              <w:b/>
              <w:bCs/>
              <w:color w:val="auto"/>
              <w:sz w:val="32"/>
              <w:szCs w:val="32"/>
              <w:lang w:val="en-US" w:eastAsia="zh-CN"/>
            </w:rPr>
            <w:t xml:space="preserve"> 次</w:t>
          </w:r>
        </w:p>
        <w:p>
          <w:pPr>
            <w:pStyle w:val="10"/>
            <w:tabs>
              <w:tab w:val="right" w:leader="dot" w:pos="6719"/>
              <w:tab w:val="clear" w:pos="420"/>
              <w:tab w:val="clear" w:pos="6709"/>
            </w:tabs>
          </w:pPr>
          <w:r>
            <w:rPr>
              <w:rFonts w:hint="eastAsia" w:ascii="宋体" w:hAnsi="宋体" w:eastAsia="宋体" w:cs="宋体"/>
              <w:b w:val="0"/>
              <w:bCs w:val="0"/>
              <w:color w:val="auto"/>
              <w:sz w:val="21"/>
              <w:szCs w:val="21"/>
            </w:rPr>
            <w:fldChar w:fldCharType="begin"/>
          </w:r>
          <w:r>
            <w:rPr>
              <w:rFonts w:hint="eastAsia" w:ascii="宋体" w:hAnsi="宋体" w:eastAsia="宋体" w:cs="宋体"/>
              <w:b w:val="0"/>
              <w:bCs w:val="0"/>
              <w:color w:val="auto"/>
              <w:sz w:val="21"/>
              <w:szCs w:val="21"/>
            </w:rPr>
            <w:instrText xml:space="preserve">TOC \o "1-2" \h \u </w:instrText>
          </w:r>
          <w:r>
            <w:rPr>
              <w:rFonts w:hint="eastAsia" w:ascii="宋体" w:hAnsi="宋体" w:eastAsia="宋体" w:cs="宋体"/>
              <w:b w:val="0"/>
              <w:bCs w:val="0"/>
              <w:color w:val="auto"/>
              <w:sz w:val="21"/>
              <w:szCs w:val="21"/>
            </w:rPr>
            <w:fldChar w:fldCharType="separate"/>
          </w: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_Toc28015 </w:instrText>
          </w:r>
          <w:r>
            <w:rPr>
              <w:rFonts w:hint="eastAsia" w:ascii="宋体" w:hAnsi="宋体" w:eastAsia="宋体" w:cs="宋体"/>
              <w:bCs w:val="0"/>
              <w:szCs w:val="21"/>
            </w:rPr>
            <w:fldChar w:fldCharType="separate"/>
          </w:r>
          <w:r>
            <w:rPr>
              <w:rFonts w:hint="eastAsia"/>
            </w:rPr>
            <w:t>1 总则</w:t>
          </w:r>
          <w:r>
            <w:tab/>
          </w:r>
          <w:r>
            <w:fldChar w:fldCharType="begin"/>
          </w:r>
          <w:r>
            <w:instrText xml:space="preserve"> PAGEREF _Toc28015 \h </w:instrText>
          </w:r>
          <w:r>
            <w:fldChar w:fldCharType="separate"/>
          </w:r>
          <w:r>
            <w:t>1</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_Toc19409 </w:instrText>
          </w:r>
          <w:r>
            <w:rPr>
              <w:rFonts w:hint="eastAsia" w:ascii="宋体" w:hAnsi="宋体" w:eastAsia="宋体" w:cs="宋体"/>
              <w:bCs w:val="0"/>
              <w:szCs w:val="21"/>
            </w:rPr>
            <w:fldChar w:fldCharType="separate"/>
          </w:r>
          <w:r>
            <w:rPr>
              <w:rFonts w:hint="eastAsia"/>
            </w:rPr>
            <w:t>2 术语</w:t>
          </w:r>
          <w:r>
            <w:tab/>
          </w:r>
          <w:r>
            <w:fldChar w:fldCharType="begin"/>
          </w:r>
          <w:r>
            <w:instrText xml:space="preserve"> PAGEREF _Toc19409 \h </w:instrText>
          </w:r>
          <w:r>
            <w:fldChar w:fldCharType="separate"/>
          </w:r>
          <w:r>
            <w:t>2</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_Toc23067 </w:instrText>
          </w:r>
          <w:r>
            <w:rPr>
              <w:rFonts w:hint="eastAsia" w:ascii="宋体" w:hAnsi="宋体" w:eastAsia="宋体" w:cs="宋体"/>
              <w:bCs w:val="0"/>
              <w:szCs w:val="21"/>
            </w:rPr>
            <w:fldChar w:fldCharType="separate"/>
          </w:r>
          <w:r>
            <w:rPr>
              <w:rFonts w:hint="eastAsia"/>
            </w:rPr>
            <w:t>3 材料</w:t>
          </w:r>
          <w:r>
            <w:tab/>
          </w:r>
          <w:r>
            <w:fldChar w:fldCharType="begin"/>
          </w:r>
          <w:r>
            <w:instrText xml:space="preserve"> PAGEREF _Toc23067 \h </w:instrText>
          </w:r>
          <w:r>
            <w:fldChar w:fldCharType="separate"/>
          </w:r>
          <w:r>
            <w:t>3</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_Toc12701 </w:instrText>
          </w:r>
          <w:r>
            <w:rPr>
              <w:rFonts w:hint="eastAsia" w:ascii="宋体" w:hAnsi="宋体" w:eastAsia="宋体" w:cs="宋体"/>
              <w:bCs w:val="0"/>
              <w:szCs w:val="21"/>
            </w:rPr>
            <w:fldChar w:fldCharType="separate"/>
          </w:r>
          <w:r>
            <w:rPr>
              <w:rFonts w:hint="eastAsia"/>
            </w:rPr>
            <w:t xml:space="preserve">3.1 </w:t>
          </w:r>
          <w:r>
            <w:rPr>
              <w:rFonts w:hint="eastAsia"/>
              <w:lang w:val="en-US" w:eastAsia="zh-CN"/>
            </w:rPr>
            <w:t>原材料</w:t>
          </w:r>
          <w:r>
            <w:tab/>
          </w:r>
          <w:r>
            <w:fldChar w:fldCharType="begin"/>
          </w:r>
          <w:r>
            <w:instrText xml:space="preserve"> PAGEREF _Toc12701 \h </w:instrText>
          </w:r>
          <w:r>
            <w:fldChar w:fldCharType="separate"/>
          </w:r>
          <w:r>
            <w:t>3</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_Toc26600 </w:instrText>
          </w:r>
          <w:r>
            <w:rPr>
              <w:rFonts w:hint="eastAsia" w:ascii="宋体" w:hAnsi="宋体" w:eastAsia="宋体" w:cs="宋体"/>
              <w:bCs w:val="0"/>
              <w:szCs w:val="21"/>
            </w:rPr>
            <w:fldChar w:fldCharType="separate"/>
          </w:r>
          <w:r>
            <w:rPr>
              <w:rFonts w:hint="eastAsia"/>
            </w:rPr>
            <w:t xml:space="preserve">3.2 </w:t>
          </w:r>
          <w:r>
            <w:rPr>
              <w:rFonts w:hint="eastAsia"/>
              <w:lang w:val="en-US" w:eastAsia="zh-CN"/>
            </w:rPr>
            <w:t>GRG材料</w:t>
          </w:r>
          <w:r>
            <w:tab/>
          </w:r>
          <w:r>
            <w:fldChar w:fldCharType="begin"/>
          </w:r>
          <w:r>
            <w:instrText xml:space="preserve"> PAGEREF _Toc26600 \h </w:instrText>
          </w:r>
          <w:r>
            <w:fldChar w:fldCharType="separate"/>
          </w:r>
          <w:r>
            <w:t>3</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_Toc713 </w:instrText>
          </w:r>
          <w:r>
            <w:rPr>
              <w:rFonts w:hint="eastAsia" w:ascii="宋体" w:hAnsi="宋体" w:eastAsia="宋体" w:cs="宋体"/>
              <w:bCs w:val="0"/>
              <w:szCs w:val="21"/>
            </w:rPr>
            <w:fldChar w:fldCharType="separate"/>
          </w:r>
          <w:r>
            <w:rPr>
              <w:rFonts w:hint="eastAsia"/>
            </w:rPr>
            <w:t>3.3 接缝材料</w:t>
          </w:r>
          <w:r>
            <w:tab/>
          </w:r>
          <w:r>
            <w:fldChar w:fldCharType="begin"/>
          </w:r>
          <w:r>
            <w:instrText xml:space="preserve"> PAGEREF _Toc713 \h </w:instrText>
          </w:r>
          <w:r>
            <w:fldChar w:fldCharType="separate"/>
          </w:r>
          <w:r>
            <w:t>4</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_Toc23631 </w:instrText>
          </w:r>
          <w:r>
            <w:rPr>
              <w:rFonts w:hint="eastAsia" w:ascii="宋体" w:hAnsi="宋体" w:eastAsia="宋体" w:cs="宋体"/>
              <w:bCs w:val="0"/>
              <w:szCs w:val="21"/>
            </w:rPr>
            <w:fldChar w:fldCharType="separate"/>
          </w:r>
          <w:r>
            <w:rPr>
              <w:rFonts w:hint="eastAsia"/>
            </w:rPr>
            <w:t>3.4 固定材料</w:t>
          </w:r>
          <w:r>
            <w:tab/>
          </w:r>
          <w:r>
            <w:fldChar w:fldCharType="begin"/>
          </w:r>
          <w:r>
            <w:instrText xml:space="preserve"> PAGEREF _Toc23631 \h </w:instrText>
          </w:r>
          <w:r>
            <w:fldChar w:fldCharType="separate"/>
          </w:r>
          <w:r>
            <w:t>4</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_Toc26352 </w:instrText>
          </w:r>
          <w:r>
            <w:rPr>
              <w:rFonts w:hint="eastAsia" w:ascii="宋体" w:hAnsi="宋体" w:eastAsia="宋体" w:cs="宋体"/>
              <w:bCs w:val="0"/>
              <w:szCs w:val="21"/>
            </w:rPr>
            <w:fldChar w:fldCharType="separate"/>
          </w:r>
          <w:r>
            <w:rPr>
              <w:rFonts w:hint="eastAsia"/>
            </w:rPr>
            <w:t>3.5 饰面层</w:t>
          </w:r>
          <w:r>
            <w:tab/>
          </w:r>
          <w:r>
            <w:fldChar w:fldCharType="begin"/>
          </w:r>
          <w:r>
            <w:instrText xml:space="preserve"> PAGEREF _Toc26352 \h </w:instrText>
          </w:r>
          <w:r>
            <w:fldChar w:fldCharType="separate"/>
          </w:r>
          <w:r>
            <w:t>6</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_Toc99 </w:instrText>
          </w:r>
          <w:r>
            <w:rPr>
              <w:rFonts w:hint="eastAsia" w:ascii="宋体" w:hAnsi="宋体" w:eastAsia="宋体" w:cs="宋体"/>
              <w:bCs w:val="0"/>
              <w:szCs w:val="21"/>
            </w:rPr>
            <w:fldChar w:fldCharType="separate"/>
          </w:r>
          <w:r>
            <w:rPr>
              <w:rFonts w:hint="eastAsia"/>
            </w:rPr>
            <w:t>4 深化设计</w:t>
          </w:r>
          <w:r>
            <w:tab/>
          </w:r>
          <w:r>
            <w:fldChar w:fldCharType="begin"/>
          </w:r>
          <w:r>
            <w:instrText xml:space="preserve"> PAGEREF _Toc99 \h </w:instrText>
          </w:r>
          <w:r>
            <w:fldChar w:fldCharType="separate"/>
          </w:r>
          <w:r>
            <w:t>7</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_Toc19254 </w:instrText>
          </w:r>
          <w:r>
            <w:rPr>
              <w:rFonts w:hint="eastAsia" w:ascii="宋体" w:hAnsi="宋体" w:eastAsia="宋体" w:cs="宋体"/>
              <w:bCs w:val="0"/>
              <w:szCs w:val="21"/>
            </w:rPr>
            <w:fldChar w:fldCharType="separate"/>
          </w:r>
          <w:r>
            <w:rPr>
              <w:rFonts w:hint="eastAsia"/>
            </w:rPr>
            <w:t>4.1 一般规定</w:t>
          </w:r>
          <w:r>
            <w:tab/>
          </w:r>
          <w:r>
            <w:fldChar w:fldCharType="begin"/>
          </w:r>
          <w:r>
            <w:instrText xml:space="preserve"> PAGEREF _Toc19254 \h </w:instrText>
          </w:r>
          <w:r>
            <w:fldChar w:fldCharType="separate"/>
          </w:r>
          <w:r>
            <w:t>7</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_Toc7085 </w:instrText>
          </w:r>
          <w:r>
            <w:rPr>
              <w:rFonts w:hint="eastAsia" w:ascii="宋体" w:hAnsi="宋体" w:eastAsia="宋体" w:cs="宋体"/>
              <w:bCs w:val="0"/>
              <w:szCs w:val="21"/>
            </w:rPr>
            <w:fldChar w:fldCharType="separate"/>
          </w:r>
          <w:r>
            <w:rPr>
              <w:rFonts w:hint="eastAsia"/>
            </w:rPr>
            <w:t xml:space="preserve">4.2 </w:t>
          </w:r>
          <w:r>
            <w:rPr>
              <w:rFonts w:hint="eastAsia"/>
              <w:lang w:val="en-US" w:eastAsia="zh-CN"/>
            </w:rPr>
            <w:t>钢骨架</w:t>
          </w:r>
          <w:r>
            <w:rPr>
              <w:rFonts w:hint="eastAsia"/>
            </w:rPr>
            <w:t>设计</w:t>
          </w:r>
          <w:r>
            <w:tab/>
          </w:r>
          <w:r>
            <w:fldChar w:fldCharType="begin"/>
          </w:r>
          <w:r>
            <w:instrText xml:space="preserve"> PAGEREF _Toc7085 \h </w:instrText>
          </w:r>
          <w:r>
            <w:fldChar w:fldCharType="separate"/>
          </w:r>
          <w:r>
            <w:t>7</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_Toc29737 </w:instrText>
          </w:r>
          <w:r>
            <w:rPr>
              <w:rFonts w:hint="eastAsia" w:ascii="宋体" w:hAnsi="宋体" w:eastAsia="宋体" w:cs="宋体"/>
              <w:bCs w:val="0"/>
              <w:szCs w:val="21"/>
            </w:rPr>
            <w:fldChar w:fldCharType="separate"/>
          </w:r>
          <w:r>
            <w:rPr>
              <w:rFonts w:hint="eastAsia"/>
            </w:rPr>
            <w:t xml:space="preserve">4.3 </w:t>
          </w:r>
          <w:r>
            <w:rPr>
              <w:rFonts w:hint="eastAsia"/>
              <w:lang w:val="en-US" w:eastAsia="zh-CN"/>
            </w:rPr>
            <w:t>GRG深化设计</w:t>
          </w:r>
          <w:r>
            <w:tab/>
          </w:r>
          <w:r>
            <w:fldChar w:fldCharType="begin"/>
          </w:r>
          <w:r>
            <w:instrText xml:space="preserve"> PAGEREF _Toc29737 \h </w:instrText>
          </w:r>
          <w:r>
            <w:fldChar w:fldCharType="separate"/>
          </w:r>
          <w:r>
            <w:t>7</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_Toc14079 </w:instrText>
          </w:r>
          <w:r>
            <w:rPr>
              <w:rFonts w:hint="eastAsia" w:ascii="宋体" w:hAnsi="宋体" w:eastAsia="宋体" w:cs="宋体"/>
              <w:bCs w:val="0"/>
              <w:szCs w:val="21"/>
            </w:rPr>
            <w:fldChar w:fldCharType="separate"/>
          </w:r>
          <w:r>
            <w:rPr>
              <w:rFonts w:hint="eastAsia"/>
            </w:rPr>
            <w:t>5 加工制作</w:t>
          </w:r>
          <w:r>
            <w:tab/>
          </w:r>
          <w:r>
            <w:fldChar w:fldCharType="begin"/>
          </w:r>
          <w:r>
            <w:instrText xml:space="preserve"> PAGEREF _Toc14079 \h </w:instrText>
          </w:r>
          <w:r>
            <w:fldChar w:fldCharType="separate"/>
          </w:r>
          <w:r>
            <w:t>8</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_Toc19404 </w:instrText>
          </w:r>
          <w:r>
            <w:rPr>
              <w:rFonts w:hint="eastAsia" w:ascii="宋体" w:hAnsi="宋体" w:eastAsia="宋体" w:cs="宋体"/>
              <w:bCs w:val="0"/>
              <w:szCs w:val="21"/>
            </w:rPr>
            <w:fldChar w:fldCharType="separate"/>
          </w:r>
          <w:r>
            <w:rPr>
              <w:rFonts w:hint="eastAsia"/>
            </w:rPr>
            <w:t>5.1 一般规定</w:t>
          </w:r>
          <w:r>
            <w:tab/>
          </w:r>
          <w:r>
            <w:fldChar w:fldCharType="begin"/>
          </w:r>
          <w:r>
            <w:instrText xml:space="preserve"> PAGEREF _Toc19404 \h </w:instrText>
          </w:r>
          <w:r>
            <w:fldChar w:fldCharType="separate"/>
          </w:r>
          <w:r>
            <w:t>8</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_Toc28392 </w:instrText>
          </w:r>
          <w:r>
            <w:rPr>
              <w:rFonts w:hint="eastAsia" w:ascii="宋体" w:hAnsi="宋体" w:eastAsia="宋体" w:cs="宋体"/>
              <w:bCs w:val="0"/>
              <w:szCs w:val="21"/>
            </w:rPr>
            <w:fldChar w:fldCharType="separate"/>
          </w:r>
          <w:r>
            <w:rPr>
              <w:rFonts w:hint="eastAsia"/>
            </w:rPr>
            <w:t xml:space="preserve">5.2 </w:t>
          </w:r>
          <w:r>
            <w:rPr>
              <w:rFonts w:hint="eastAsia"/>
              <w:lang w:eastAsia="zh-CN"/>
            </w:rPr>
            <w:t>GRG</w:t>
          </w:r>
          <w:r>
            <w:rPr>
              <w:rFonts w:hint="eastAsia"/>
            </w:rPr>
            <w:t>加工制作</w:t>
          </w:r>
          <w:r>
            <w:tab/>
          </w:r>
          <w:r>
            <w:fldChar w:fldCharType="begin"/>
          </w:r>
          <w:r>
            <w:instrText xml:space="preserve"> PAGEREF _Toc28392 \h </w:instrText>
          </w:r>
          <w:r>
            <w:fldChar w:fldCharType="separate"/>
          </w:r>
          <w:r>
            <w:t>8</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_Toc13503 </w:instrText>
          </w:r>
          <w:r>
            <w:rPr>
              <w:rFonts w:hint="eastAsia" w:ascii="宋体" w:hAnsi="宋体" w:eastAsia="宋体" w:cs="宋体"/>
              <w:bCs w:val="0"/>
              <w:szCs w:val="21"/>
            </w:rPr>
            <w:fldChar w:fldCharType="separate"/>
          </w:r>
          <w:r>
            <w:rPr>
              <w:rFonts w:hint="eastAsia"/>
            </w:rPr>
            <w:t>5.3 GRG</w:t>
          </w:r>
          <w:r>
            <w:rPr>
              <w:rFonts w:hint="eastAsia"/>
              <w:lang w:val="en-US" w:eastAsia="zh-CN"/>
            </w:rPr>
            <w:t>出厂</w:t>
          </w:r>
          <w:r>
            <w:rPr>
              <w:rFonts w:hint="eastAsia"/>
            </w:rPr>
            <w:t>检验</w:t>
          </w:r>
          <w:r>
            <w:tab/>
          </w:r>
          <w:r>
            <w:fldChar w:fldCharType="begin"/>
          </w:r>
          <w:r>
            <w:instrText xml:space="preserve"> PAGEREF _Toc13503 \h </w:instrText>
          </w:r>
          <w:r>
            <w:fldChar w:fldCharType="separate"/>
          </w:r>
          <w:r>
            <w:t>9</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_Toc6821 </w:instrText>
          </w:r>
          <w:r>
            <w:rPr>
              <w:rFonts w:hint="eastAsia" w:ascii="宋体" w:hAnsi="宋体" w:eastAsia="宋体" w:cs="宋体"/>
              <w:bCs w:val="0"/>
              <w:szCs w:val="21"/>
            </w:rPr>
            <w:fldChar w:fldCharType="separate"/>
          </w:r>
          <w:r>
            <w:rPr>
              <w:rFonts w:hint="eastAsia"/>
            </w:rPr>
            <w:t xml:space="preserve">5.4 </w:t>
          </w:r>
          <w:r>
            <w:rPr>
              <w:rFonts w:hint="eastAsia"/>
              <w:lang w:val="en-US" w:eastAsia="zh-CN"/>
            </w:rPr>
            <w:t>钢骨架</w:t>
          </w:r>
          <w:r>
            <w:tab/>
          </w:r>
          <w:r>
            <w:fldChar w:fldCharType="begin"/>
          </w:r>
          <w:r>
            <w:instrText xml:space="preserve"> PAGEREF _Toc6821 \h </w:instrText>
          </w:r>
          <w:r>
            <w:fldChar w:fldCharType="separate"/>
          </w:r>
          <w:r>
            <w:t>10</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_Toc13283 </w:instrText>
          </w:r>
          <w:r>
            <w:rPr>
              <w:rFonts w:hint="eastAsia" w:ascii="宋体" w:hAnsi="宋体" w:eastAsia="宋体" w:cs="宋体"/>
              <w:bCs w:val="0"/>
              <w:szCs w:val="21"/>
            </w:rPr>
            <w:fldChar w:fldCharType="separate"/>
          </w:r>
          <w:r>
            <w:rPr>
              <w:rFonts w:hint="eastAsia"/>
            </w:rPr>
            <w:t>6 安装施工</w:t>
          </w:r>
          <w:r>
            <w:tab/>
          </w:r>
          <w:r>
            <w:fldChar w:fldCharType="begin"/>
          </w:r>
          <w:r>
            <w:instrText xml:space="preserve"> PAGEREF _Toc13283 \h </w:instrText>
          </w:r>
          <w:r>
            <w:fldChar w:fldCharType="separate"/>
          </w:r>
          <w:r>
            <w:t>12</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_Toc29639 </w:instrText>
          </w:r>
          <w:r>
            <w:rPr>
              <w:rFonts w:hint="eastAsia" w:ascii="宋体" w:hAnsi="宋体" w:eastAsia="宋体" w:cs="宋体"/>
              <w:bCs w:val="0"/>
              <w:szCs w:val="21"/>
            </w:rPr>
            <w:fldChar w:fldCharType="separate"/>
          </w:r>
          <w:r>
            <w:rPr>
              <w:rFonts w:hint="eastAsia"/>
            </w:rPr>
            <w:t xml:space="preserve">6.1 </w:t>
          </w:r>
          <w:r>
            <w:rPr>
              <w:rFonts w:hint="eastAsia"/>
              <w:lang w:val="en-US" w:eastAsia="zh-CN"/>
            </w:rPr>
            <w:t>施工准备</w:t>
          </w:r>
          <w:r>
            <w:tab/>
          </w:r>
          <w:r>
            <w:fldChar w:fldCharType="begin"/>
          </w:r>
          <w:r>
            <w:instrText xml:space="preserve"> PAGEREF _Toc29639 \h </w:instrText>
          </w:r>
          <w:r>
            <w:fldChar w:fldCharType="separate"/>
          </w:r>
          <w:r>
            <w:t>12</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_Toc3057 </w:instrText>
          </w:r>
          <w:r>
            <w:rPr>
              <w:rFonts w:hint="eastAsia" w:ascii="宋体" w:hAnsi="宋体" w:eastAsia="宋体" w:cs="宋体"/>
              <w:bCs w:val="0"/>
              <w:szCs w:val="21"/>
            </w:rPr>
            <w:fldChar w:fldCharType="separate"/>
          </w:r>
          <w:r>
            <w:rPr>
              <w:rFonts w:hint="eastAsia"/>
            </w:rPr>
            <w:t xml:space="preserve">6.2 </w:t>
          </w:r>
          <w:r>
            <w:rPr>
              <w:rFonts w:hint="eastAsia"/>
              <w:lang w:val="en-US" w:eastAsia="zh-CN"/>
            </w:rPr>
            <w:t>钢骨架安装</w:t>
          </w:r>
          <w:r>
            <w:tab/>
          </w:r>
          <w:r>
            <w:fldChar w:fldCharType="begin"/>
          </w:r>
          <w:r>
            <w:instrText xml:space="preserve"> PAGEREF _Toc3057 \h </w:instrText>
          </w:r>
          <w:r>
            <w:fldChar w:fldCharType="separate"/>
          </w:r>
          <w:r>
            <w:t>13</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_Toc3048 </w:instrText>
          </w:r>
          <w:r>
            <w:rPr>
              <w:rFonts w:hint="eastAsia" w:ascii="宋体" w:hAnsi="宋体" w:eastAsia="宋体" w:cs="宋体"/>
              <w:bCs w:val="0"/>
              <w:szCs w:val="21"/>
            </w:rPr>
            <w:fldChar w:fldCharType="separate"/>
          </w:r>
          <w:r>
            <w:rPr>
              <w:rFonts w:hint="eastAsia"/>
            </w:rPr>
            <w:t>6.3 GRG安装施工</w:t>
          </w:r>
          <w:r>
            <w:tab/>
          </w:r>
          <w:r>
            <w:fldChar w:fldCharType="begin"/>
          </w:r>
          <w:r>
            <w:instrText xml:space="preserve"> PAGEREF _Toc3048 \h </w:instrText>
          </w:r>
          <w:r>
            <w:fldChar w:fldCharType="separate"/>
          </w:r>
          <w:r>
            <w:t>13</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_Toc718 </w:instrText>
          </w:r>
          <w:r>
            <w:rPr>
              <w:rFonts w:hint="eastAsia" w:ascii="宋体" w:hAnsi="宋体" w:eastAsia="宋体" w:cs="宋体"/>
              <w:bCs w:val="0"/>
              <w:szCs w:val="21"/>
            </w:rPr>
            <w:fldChar w:fldCharType="separate"/>
          </w:r>
          <w:r>
            <w:rPr>
              <w:rFonts w:hint="eastAsia"/>
            </w:rPr>
            <w:t>7 质量验收</w:t>
          </w:r>
          <w:r>
            <w:tab/>
          </w:r>
          <w:r>
            <w:fldChar w:fldCharType="begin"/>
          </w:r>
          <w:r>
            <w:instrText xml:space="preserve"> PAGEREF _Toc718 \h </w:instrText>
          </w:r>
          <w:r>
            <w:fldChar w:fldCharType="separate"/>
          </w:r>
          <w:r>
            <w:t>16</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_Toc2341 </w:instrText>
          </w:r>
          <w:r>
            <w:rPr>
              <w:rFonts w:hint="eastAsia" w:ascii="宋体" w:hAnsi="宋体" w:eastAsia="宋体" w:cs="宋体"/>
              <w:bCs w:val="0"/>
              <w:szCs w:val="21"/>
            </w:rPr>
            <w:fldChar w:fldCharType="separate"/>
          </w:r>
          <w:r>
            <w:rPr>
              <w:rFonts w:hint="eastAsia"/>
              <w:lang w:val="en-US"/>
            </w:rPr>
            <w:t xml:space="preserve">7.1 </w:t>
          </w:r>
          <w:r>
            <w:rPr>
              <w:rFonts w:hint="eastAsia"/>
              <w:lang w:val="en-US" w:eastAsia="zh-CN"/>
            </w:rPr>
            <w:t>一般规定</w:t>
          </w:r>
          <w:r>
            <w:tab/>
          </w:r>
          <w:r>
            <w:fldChar w:fldCharType="begin"/>
          </w:r>
          <w:r>
            <w:instrText xml:space="preserve"> PAGEREF _Toc2341 \h </w:instrText>
          </w:r>
          <w:r>
            <w:fldChar w:fldCharType="separate"/>
          </w:r>
          <w:r>
            <w:t>16</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_Toc1719 </w:instrText>
          </w:r>
          <w:r>
            <w:rPr>
              <w:rFonts w:hint="eastAsia" w:ascii="宋体" w:hAnsi="宋体" w:eastAsia="宋体" w:cs="宋体"/>
              <w:bCs w:val="0"/>
              <w:szCs w:val="21"/>
            </w:rPr>
            <w:fldChar w:fldCharType="separate"/>
          </w:r>
          <w:r>
            <w:rPr>
              <w:rFonts w:hint="eastAsia"/>
              <w:lang w:val="en-US"/>
            </w:rPr>
            <w:t xml:space="preserve">7.2 </w:t>
          </w:r>
          <w:r>
            <w:rPr>
              <w:rFonts w:hint="eastAsia"/>
              <w:lang w:val="en-US" w:eastAsia="zh-CN"/>
            </w:rPr>
            <w:t>钢骨架制作安装</w:t>
          </w:r>
          <w:r>
            <w:tab/>
          </w:r>
          <w:r>
            <w:fldChar w:fldCharType="begin"/>
          </w:r>
          <w:r>
            <w:instrText xml:space="preserve"> PAGEREF _Toc1719 \h </w:instrText>
          </w:r>
          <w:r>
            <w:fldChar w:fldCharType="separate"/>
          </w:r>
          <w:r>
            <w:t>17</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_Toc10032 </w:instrText>
          </w:r>
          <w:r>
            <w:rPr>
              <w:rFonts w:hint="eastAsia" w:ascii="宋体" w:hAnsi="宋体" w:eastAsia="宋体" w:cs="宋体"/>
              <w:bCs w:val="0"/>
              <w:szCs w:val="21"/>
            </w:rPr>
            <w:fldChar w:fldCharType="separate"/>
          </w:r>
          <w:r>
            <w:rPr>
              <w:rFonts w:hint="eastAsia" w:ascii="宋体" w:hAnsi="宋体" w:eastAsia="宋体" w:cs="宋体"/>
              <w:bCs/>
            </w:rPr>
            <w:t>Ⅰ</w:t>
          </w:r>
          <w:r>
            <w:rPr>
              <w:rFonts w:hint="eastAsia"/>
              <w:bCs/>
            </w:rPr>
            <w:t>主控项目</w:t>
          </w:r>
          <w:r>
            <w:tab/>
          </w:r>
          <w:r>
            <w:fldChar w:fldCharType="begin"/>
          </w:r>
          <w:r>
            <w:instrText xml:space="preserve"> PAGEREF _Toc10032 \h </w:instrText>
          </w:r>
          <w:r>
            <w:fldChar w:fldCharType="separate"/>
          </w:r>
          <w:r>
            <w:t>17</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_Toc22889 </w:instrText>
          </w:r>
          <w:r>
            <w:rPr>
              <w:rFonts w:hint="eastAsia" w:ascii="宋体" w:hAnsi="宋体" w:eastAsia="宋体" w:cs="宋体"/>
              <w:bCs w:val="0"/>
              <w:szCs w:val="21"/>
            </w:rPr>
            <w:fldChar w:fldCharType="separate"/>
          </w:r>
          <w:r>
            <w:rPr>
              <w:rFonts w:hint="eastAsia"/>
              <w:lang w:val="en-US"/>
            </w:rPr>
            <w:t xml:space="preserve">7.3 </w:t>
          </w:r>
          <w:r>
            <w:rPr>
              <w:rFonts w:hint="eastAsia"/>
              <w:lang w:val="en-US" w:eastAsia="zh-CN"/>
            </w:rPr>
            <w:t>制作安装</w:t>
          </w:r>
          <w:r>
            <w:tab/>
          </w:r>
          <w:r>
            <w:fldChar w:fldCharType="begin"/>
          </w:r>
          <w:r>
            <w:instrText xml:space="preserve"> PAGEREF _Toc22889 \h </w:instrText>
          </w:r>
          <w:r>
            <w:fldChar w:fldCharType="separate"/>
          </w:r>
          <w:r>
            <w:t>20</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_Toc10813 </w:instrText>
          </w:r>
          <w:r>
            <w:rPr>
              <w:rFonts w:hint="eastAsia" w:ascii="宋体" w:hAnsi="宋体" w:eastAsia="宋体" w:cs="宋体"/>
              <w:bCs w:val="0"/>
              <w:szCs w:val="21"/>
            </w:rPr>
            <w:fldChar w:fldCharType="separate"/>
          </w:r>
          <w:r>
            <w:rPr>
              <w:rFonts w:hint="eastAsia" w:ascii="宋体" w:hAnsi="宋体" w:eastAsia="宋体" w:cs="宋体"/>
              <w:bCs/>
            </w:rPr>
            <w:t>Ⅰ</w:t>
          </w:r>
          <w:r>
            <w:rPr>
              <w:rFonts w:hint="eastAsia"/>
              <w:bCs/>
            </w:rPr>
            <w:t>主控项目</w:t>
          </w:r>
          <w:r>
            <w:tab/>
          </w:r>
          <w:r>
            <w:fldChar w:fldCharType="begin"/>
          </w:r>
          <w:r>
            <w:instrText xml:space="preserve"> PAGEREF _Toc10813 \h </w:instrText>
          </w:r>
          <w:r>
            <w:fldChar w:fldCharType="separate"/>
          </w:r>
          <w:r>
            <w:t>20</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_Toc23032 </w:instrText>
          </w:r>
          <w:r>
            <w:rPr>
              <w:rFonts w:hint="eastAsia" w:ascii="宋体" w:hAnsi="宋体" w:eastAsia="宋体" w:cs="宋体"/>
              <w:bCs w:val="0"/>
              <w:szCs w:val="21"/>
            </w:rPr>
            <w:fldChar w:fldCharType="separate"/>
          </w:r>
          <w:r>
            <w:rPr>
              <w:rFonts w:hint="eastAsia"/>
              <w:lang w:val="en-US"/>
            </w:rPr>
            <w:t xml:space="preserve">7.4 </w:t>
          </w:r>
          <w:r>
            <w:rPr>
              <w:rFonts w:hint="eastAsia"/>
              <w:lang w:val="en-US" w:eastAsia="zh-CN"/>
            </w:rPr>
            <w:t>辅材</w:t>
          </w:r>
          <w:r>
            <w:tab/>
          </w:r>
          <w:r>
            <w:fldChar w:fldCharType="begin"/>
          </w:r>
          <w:r>
            <w:instrText xml:space="preserve"> PAGEREF _Toc23032 \h </w:instrText>
          </w:r>
          <w:r>
            <w:fldChar w:fldCharType="separate"/>
          </w:r>
          <w:r>
            <w:t>22</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_Toc6680 </w:instrText>
          </w:r>
          <w:r>
            <w:rPr>
              <w:rFonts w:hint="eastAsia" w:ascii="宋体" w:hAnsi="宋体" w:eastAsia="宋体" w:cs="宋体"/>
              <w:bCs w:val="0"/>
              <w:szCs w:val="21"/>
            </w:rPr>
            <w:fldChar w:fldCharType="separate"/>
          </w:r>
          <w:r>
            <w:rPr>
              <w:rFonts w:hint="eastAsia" w:ascii="宋体" w:hAnsi="宋体" w:eastAsia="宋体" w:cs="宋体"/>
              <w:bCs/>
            </w:rPr>
            <w:t>Ⅰ</w:t>
          </w:r>
          <w:r>
            <w:rPr>
              <w:rFonts w:hint="eastAsia"/>
              <w:bCs/>
            </w:rPr>
            <w:t>主控项目</w:t>
          </w:r>
          <w:r>
            <w:tab/>
          </w:r>
          <w:r>
            <w:fldChar w:fldCharType="begin"/>
          </w:r>
          <w:r>
            <w:instrText xml:space="preserve"> PAGEREF _Toc6680 \h </w:instrText>
          </w:r>
          <w:r>
            <w:fldChar w:fldCharType="separate"/>
          </w:r>
          <w:r>
            <w:t>22</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_Toc2546 </w:instrText>
          </w:r>
          <w:r>
            <w:rPr>
              <w:rFonts w:hint="eastAsia" w:ascii="宋体" w:hAnsi="宋体" w:eastAsia="宋体" w:cs="宋体"/>
              <w:bCs w:val="0"/>
              <w:szCs w:val="21"/>
            </w:rPr>
            <w:fldChar w:fldCharType="separate"/>
          </w:r>
          <w:r>
            <w:rPr>
              <w:rFonts w:hint="eastAsia"/>
              <w:lang w:val="en-US" w:eastAsia="zh-CN"/>
            </w:rPr>
            <w:t>7.5</w:t>
          </w:r>
          <w:r>
            <w:rPr>
              <w:rFonts w:hint="eastAsia"/>
            </w:rPr>
            <w:t>资料核验</w:t>
          </w:r>
          <w:r>
            <w:tab/>
          </w:r>
          <w:r>
            <w:fldChar w:fldCharType="begin"/>
          </w:r>
          <w:r>
            <w:instrText xml:space="preserve"> PAGEREF _Toc2546 \h </w:instrText>
          </w:r>
          <w:r>
            <w:fldChar w:fldCharType="separate"/>
          </w:r>
          <w:r>
            <w:t>22</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_Toc3876 </w:instrText>
          </w:r>
          <w:r>
            <w:rPr>
              <w:rFonts w:hint="eastAsia" w:ascii="宋体" w:hAnsi="宋体" w:eastAsia="宋体" w:cs="宋体"/>
              <w:bCs w:val="0"/>
              <w:szCs w:val="21"/>
            </w:rPr>
            <w:fldChar w:fldCharType="separate"/>
          </w:r>
          <w:r>
            <w:rPr>
              <w:rFonts w:hint="eastAsia"/>
            </w:rPr>
            <w:t>8 安全与环保</w:t>
          </w:r>
          <w:r>
            <w:tab/>
          </w:r>
          <w:r>
            <w:fldChar w:fldCharType="begin"/>
          </w:r>
          <w:r>
            <w:instrText xml:space="preserve"> PAGEREF _Toc3876 \h </w:instrText>
          </w:r>
          <w:r>
            <w:fldChar w:fldCharType="separate"/>
          </w:r>
          <w:r>
            <w:t>24</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_Toc4349 </w:instrText>
          </w:r>
          <w:r>
            <w:rPr>
              <w:rFonts w:hint="eastAsia" w:ascii="宋体" w:hAnsi="宋体" w:eastAsia="宋体" w:cs="宋体"/>
              <w:bCs w:val="0"/>
              <w:szCs w:val="21"/>
            </w:rPr>
            <w:fldChar w:fldCharType="separate"/>
          </w:r>
          <w:r>
            <w:rPr>
              <w:rFonts w:hint="eastAsia"/>
            </w:rPr>
            <w:t>8.1 安全措施</w:t>
          </w:r>
          <w:r>
            <w:tab/>
          </w:r>
          <w:r>
            <w:fldChar w:fldCharType="begin"/>
          </w:r>
          <w:r>
            <w:instrText xml:space="preserve"> PAGEREF _Toc4349 \h </w:instrText>
          </w:r>
          <w:r>
            <w:fldChar w:fldCharType="separate"/>
          </w:r>
          <w:r>
            <w:t>24</w:t>
          </w:r>
          <w:r>
            <w:fldChar w:fldCharType="end"/>
          </w:r>
          <w:r>
            <w:rPr>
              <w:rFonts w:hint="eastAsia" w:ascii="宋体" w:hAnsi="宋体" w:eastAsia="宋体" w:cs="宋体"/>
              <w:bCs w:val="0"/>
              <w:color w:val="auto"/>
              <w:szCs w:val="21"/>
            </w:rPr>
            <w:fldChar w:fldCharType="end"/>
          </w:r>
        </w:p>
        <w:p>
          <w:pPr>
            <w:pStyle w:val="13"/>
            <w:tabs>
              <w:tab w:val="right" w:leader="dot" w:pos="671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_Toc26644 </w:instrText>
          </w:r>
          <w:r>
            <w:rPr>
              <w:rFonts w:hint="eastAsia" w:ascii="宋体" w:hAnsi="宋体" w:eastAsia="宋体" w:cs="宋体"/>
              <w:bCs w:val="0"/>
              <w:szCs w:val="21"/>
            </w:rPr>
            <w:fldChar w:fldCharType="separate"/>
          </w:r>
          <w:r>
            <w:rPr>
              <w:rFonts w:hint="eastAsia"/>
            </w:rPr>
            <w:t>8.2 环保措施</w:t>
          </w:r>
          <w:r>
            <w:tab/>
          </w:r>
          <w:r>
            <w:fldChar w:fldCharType="begin"/>
          </w:r>
          <w:r>
            <w:instrText xml:space="preserve"> PAGEREF _Toc26644 \h </w:instrText>
          </w:r>
          <w:r>
            <w:fldChar w:fldCharType="separate"/>
          </w:r>
          <w:r>
            <w:t>24</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_Toc23066 </w:instrText>
          </w:r>
          <w:r>
            <w:rPr>
              <w:rFonts w:hint="eastAsia" w:ascii="宋体" w:hAnsi="宋体" w:eastAsia="宋体" w:cs="宋体"/>
              <w:bCs w:val="0"/>
              <w:szCs w:val="21"/>
            </w:rPr>
            <w:fldChar w:fldCharType="separate"/>
          </w:r>
          <w:r>
            <w:rPr>
              <w:rFonts w:hint="eastAsia"/>
            </w:rPr>
            <w:t>本标准用词说明</w:t>
          </w:r>
          <w:r>
            <w:tab/>
          </w:r>
          <w:r>
            <w:fldChar w:fldCharType="begin"/>
          </w:r>
          <w:r>
            <w:instrText xml:space="preserve"> PAGEREF _Toc23066 \h </w:instrText>
          </w:r>
          <w:r>
            <w:fldChar w:fldCharType="separate"/>
          </w:r>
          <w:r>
            <w:t>26</w:t>
          </w:r>
          <w:r>
            <w:fldChar w:fldCharType="end"/>
          </w:r>
          <w:r>
            <w:rPr>
              <w:rFonts w:hint="eastAsia" w:ascii="宋体" w:hAnsi="宋体" w:eastAsia="宋体" w:cs="宋体"/>
              <w:bCs w:val="0"/>
              <w:color w:val="auto"/>
              <w:szCs w:val="21"/>
            </w:rPr>
            <w:fldChar w:fldCharType="end"/>
          </w:r>
        </w:p>
        <w:p>
          <w:pPr>
            <w:pStyle w:val="10"/>
            <w:tabs>
              <w:tab w:val="right" w:leader="dot" w:pos="6719"/>
              <w:tab w:val="clear" w:pos="420"/>
              <w:tab w:val="clear" w:pos="6709"/>
            </w:tabs>
          </w:pPr>
          <w:r>
            <w:rPr>
              <w:rFonts w:hint="eastAsia" w:ascii="宋体" w:hAnsi="宋体" w:eastAsia="宋体" w:cs="宋体"/>
              <w:bCs w:val="0"/>
              <w:color w:val="auto"/>
              <w:szCs w:val="21"/>
            </w:rPr>
            <w:fldChar w:fldCharType="begin"/>
          </w:r>
          <w:r>
            <w:rPr>
              <w:rFonts w:hint="eastAsia" w:ascii="宋体" w:hAnsi="宋体" w:eastAsia="宋体" w:cs="宋体"/>
              <w:bCs w:val="0"/>
              <w:szCs w:val="21"/>
            </w:rPr>
            <w:instrText xml:space="preserve"> HYPERLINK \l _Toc13975 </w:instrText>
          </w:r>
          <w:r>
            <w:rPr>
              <w:rFonts w:hint="eastAsia" w:ascii="宋体" w:hAnsi="宋体" w:eastAsia="宋体" w:cs="宋体"/>
              <w:bCs w:val="0"/>
              <w:szCs w:val="21"/>
            </w:rPr>
            <w:fldChar w:fldCharType="separate"/>
          </w:r>
          <w:r>
            <w:t>引用标准名录</w:t>
          </w:r>
          <w:r>
            <w:tab/>
          </w:r>
          <w:r>
            <w:fldChar w:fldCharType="begin"/>
          </w:r>
          <w:r>
            <w:instrText xml:space="preserve"> PAGEREF _Toc13975 \h </w:instrText>
          </w:r>
          <w:r>
            <w:fldChar w:fldCharType="separate"/>
          </w:r>
          <w:r>
            <w:t>27</w:t>
          </w:r>
          <w:r>
            <w:fldChar w:fldCharType="end"/>
          </w:r>
          <w:r>
            <w:rPr>
              <w:rFonts w:hint="eastAsia" w:ascii="宋体" w:hAnsi="宋体" w:eastAsia="宋体" w:cs="宋体"/>
              <w:bCs w:val="0"/>
              <w:color w:val="auto"/>
              <w:szCs w:val="21"/>
            </w:rPr>
            <w:fldChar w:fldCharType="end"/>
          </w:r>
        </w:p>
        <w:p>
          <w:pPr>
            <w:widowControl/>
            <w:jc w:val="left"/>
            <w:rPr>
              <w:color w:val="auto"/>
            </w:rPr>
          </w:pPr>
          <w:r>
            <w:rPr>
              <w:rFonts w:hint="eastAsia" w:ascii="宋体" w:hAnsi="宋体" w:eastAsia="宋体" w:cs="宋体"/>
              <w:bCs w:val="0"/>
              <w:color w:val="auto"/>
              <w:szCs w:val="21"/>
            </w:rPr>
            <w:fldChar w:fldCharType="end"/>
          </w:r>
          <w:bookmarkStart w:id="0" w:name="_Toc67384435"/>
        </w:p>
      </w:sdtContent>
    </w:sdt>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widowControl/>
        <w:jc w:val="center"/>
        <w:rPr>
          <w:rFonts w:hint="eastAsia" w:ascii="宋体" w:hAnsi="宋体" w:eastAsia="宋体" w:cs="宋体"/>
          <w:b/>
          <w:bCs/>
          <w:color w:val="auto"/>
          <w:sz w:val="32"/>
          <w:szCs w:val="32"/>
          <w:lang w:val="en-US" w:eastAsia="zh-CN"/>
        </w:rPr>
      </w:pPr>
    </w:p>
    <w:p>
      <w:pPr>
        <w:rPr>
          <w:rFonts w:hint="eastAsia" w:ascii="宋体" w:hAnsi="宋体" w:eastAsia="宋体" w:cs="宋体"/>
          <w:b/>
          <w:bCs/>
          <w:color w:val="auto"/>
          <w:sz w:val="32"/>
          <w:szCs w:val="32"/>
          <w:lang w:val="en-US" w:eastAsia="zh-CN"/>
        </w:rPr>
      </w:pPr>
      <w:r>
        <w:rPr>
          <w:rFonts w:hint="eastAsia" w:ascii="宋体" w:hAnsi="宋体" w:eastAsia="宋体" w:cs="宋体"/>
          <w:b/>
          <w:bCs/>
          <w:color w:val="auto"/>
          <w:sz w:val="32"/>
          <w:szCs w:val="32"/>
          <w:lang w:val="en-US" w:eastAsia="zh-CN"/>
        </w:rPr>
        <w:br w:type="page"/>
      </w:r>
    </w:p>
    <w:p>
      <w:pPr>
        <w:widowControl/>
        <w:jc w:val="center"/>
        <w:rPr>
          <w:rFonts w:hint="eastAsia" w:ascii="宋体" w:hAnsi="宋体" w:eastAsia="宋体" w:cs="宋体"/>
          <w:b/>
          <w:bCs/>
          <w:color w:val="auto"/>
          <w:sz w:val="32"/>
          <w:szCs w:val="32"/>
          <w:lang w:val="en-US" w:eastAsia="zh-CN"/>
        </w:rPr>
      </w:pPr>
      <w:bookmarkStart w:id="52" w:name="_GoBack"/>
      <w:bookmarkEnd w:id="52"/>
      <w:r>
        <w:rPr>
          <w:rFonts w:hint="eastAsia" w:ascii="宋体" w:hAnsi="宋体" w:eastAsia="宋体" w:cs="宋体"/>
          <w:b/>
          <w:bCs/>
          <w:color w:val="auto"/>
          <w:sz w:val="32"/>
          <w:szCs w:val="32"/>
          <w:lang w:val="en-US" w:eastAsia="zh-CN"/>
        </w:rPr>
        <w:t>Contents</w:t>
      </w:r>
    </w:p>
    <w:p>
      <w:pPr>
        <w:keepNext w:val="0"/>
        <w:keepLines w:val="0"/>
        <w:pageBreakBefore w:val="0"/>
        <w:widowControl/>
        <w:kinsoku/>
        <w:wordWrap/>
        <w:overflowPunct/>
        <w:topLinePunct w:val="0"/>
        <w:autoSpaceDE/>
        <w:autoSpaceDN/>
        <w:bidi w:val="0"/>
        <w:adjustRightInd/>
        <w:snapToGrid/>
        <w:spacing w:line="264" w:lineRule="auto"/>
        <w:ind w:firstLine="422" w:firstLineChars="200"/>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 xml:space="preserve">1  General Provisions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1</w:t>
      </w:r>
    </w:p>
    <w:p>
      <w:pPr>
        <w:keepNext w:val="0"/>
        <w:keepLines w:val="0"/>
        <w:pageBreakBefore w:val="0"/>
        <w:widowControl/>
        <w:kinsoku/>
        <w:wordWrap/>
        <w:overflowPunct/>
        <w:topLinePunct w:val="0"/>
        <w:autoSpaceDE/>
        <w:autoSpaceDN/>
        <w:bidi w:val="0"/>
        <w:adjustRightInd/>
        <w:snapToGrid/>
        <w:spacing w:line="264" w:lineRule="auto"/>
        <w:ind w:firstLine="422" w:firstLineChars="200"/>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 xml:space="preserve">2  Terms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2</w:t>
      </w:r>
    </w:p>
    <w:p>
      <w:pPr>
        <w:keepNext w:val="0"/>
        <w:keepLines w:val="0"/>
        <w:pageBreakBefore w:val="0"/>
        <w:widowControl/>
        <w:kinsoku/>
        <w:wordWrap/>
        <w:overflowPunct/>
        <w:topLinePunct w:val="0"/>
        <w:autoSpaceDE/>
        <w:autoSpaceDN/>
        <w:bidi w:val="0"/>
        <w:adjustRightInd/>
        <w:snapToGrid/>
        <w:spacing w:line="264" w:lineRule="auto"/>
        <w:ind w:firstLine="422" w:firstLineChars="200"/>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 xml:space="preserve">3  Materials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3</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3.1  Raw Materials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3</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3.2  Joint Materials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3</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default"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3.3  Fixed Materials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4</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3.4  Finish layer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5</w:t>
      </w:r>
    </w:p>
    <w:p>
      <w:pPr>
        <w:keepNext w:val="0"/>
        <w:keepLines w:val="0"/>
        <w:pageBreakBefore w:val="0"/>
        <w:widowControl/>
        <w:kinsoku/>
        <w:wordWrap/>
        <w:overflowPunct/>
        <w:topLinePunct w:val="0"/>
        <w:autoSpaceDE/>
        <w:autoSpaceDN/>
        <w:bidi w:val="0"/>
        <w:adjustRightInd/>
        <w:snapToGrid/>
        <w:spacing w:line="264" w:lineRule="auto"/>
        <w:ind w:firstLine="420"/>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4  Deepening design</w:t>
      </w:r>
      <w:r>
        <w:rPr>
          <w:rFonts w:hint="eastAsia" w:ascii="Times New Roman" w:hAnsi="Times New Roman" w:eastAsia="宋体" w:cs="Times New Roman"/>
          <w:b w:val="0"/>
          <w:bCs w:val="0"/>
          <w:color w:val="auto"/>
          <w:spacing w:val="0"/>
          <w:w w:val="100"/>
          <w:sz w:val="21"/>
          <w:szCs w:val="21"/>
          <w:lang w:val="en-US" w:eastAsia="zh-CN"/>
        </w:rPr>
        <w:t xml:space="preserve">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7</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4.1  General Provisions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7</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4.2  Steel Frame Design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7</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4.3  Surface Design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7</w:t>
      </w:r>
    </w:p>
    <w:p>
      <w:pPr>
        <w:keepNext w:val="0"/>
        <w:keepLines w:val="0"/>
        <w:pageBreakBefore w:val="0"/>
        <w:widowControl/>
        <w:kinsoku/>
        <w:wordWrap/>
        <w:overflowPunct/>
        <w:topLinePunct w:val="0"/>
        <w:autoSpaceDE/>
        <w:autoSpaceDN/>
        <w:bidi w:val="0"/>
        <w:adjustRightInd/>
        <w:snapToGrid/>
        <w:spacing w:line="264" w:lineRule="auto"/>
        <w:ind w:firstLine="420"/>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 xml:space="preserve">5  Processing and Manufacturing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12</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5.1  General Provisions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8</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5.2  GRG processing and Manufacturing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8</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5.3  GRG inspection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10</w:t>
      </w:r>
    </w:p>
    <w:p>
      <w:pPr>
        <w:keepNext w:val="0"/>
        <w:keepLines w:val="0"/>
        <w:pageBreakBefore w:val="0"/>
        <w:widowControl/>
        <w:kinsoku/>
        <w:wordWrap/>
        <w:overflowPunct/>
        <w:topLinePunct w:val="0"/>
        <w:autoSpaceDE/>
        <w:autoSpaceDN/>
        <w:bidi w:val="0"/>
        <w:adjustRightInd/>
        <w:snapToGrid/>
        <w:spacing w:line="264" w:lineRule="auto"/>
        <w:ind w:firstLine="422" w:firstLineChars="200"/>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 xml:space="preserve">6  Installation construction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11</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6.1  Construction preparation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11</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6.2  Steel frame installation</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12</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6.3  GRG installation and Construction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13</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   </w:t>
      </w:r>
      <w:r>
        <w:rPr>
          <w:rFonts w:hint="eastAsia" w:ascii="Times New Roman" w:hAnsi="Times New Roman" w:eastAsia="宋体" w:cs="Times New Roman"/>
          <w:b/>
          <w:bCs/>
          <w:color w:val="auto"/>
          <w:spacing w:val="0"/>
          <w:w w:val="100"/>
          <w:sz w:val="21"/>
          <w:szCs w:val="21"/>
          <w:lang w:val="en-US" w:eastAsia="zh-CN"/>
        </w:rPr>
        <w:t xml:space="preserve">7  Quality acceptance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15</w:t>
      </w:r>
    </w:p>
    <w:p>
      <w:pPr>
        <w:keepNext w:val="0"/>
        <w:keepLines w:val="0"/>
        <w:pageBreakBefore w:val="0"/>
        <w:widowControl/>
        <w:numPr>
          <w:ilvl w:val="0"/>
          <w:numId w:val="0"/>
        </w:numPr>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7.1  General Provisions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15</w:t>
      </w:r>
    </w:p>
    <w:p>
      <w:pPr>
        <w:keepNext w:val="0"/>
        <w:keepLines w:val="0"/>
        <w:pageBreakBefore w:val="0"/>
        <w:widowControl/>
        <w:numPr>
          <w:ilvl w:val="0"/>
          <w:numId w:val="0"/>
        </w:numPr>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7.2  Master Project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15</w:t>
      </w:r>
    </w:p>
    <w:p>
      <w:pPr>
        <w:keepNext w:val="0"/>
        <w:keepLines w:val="0"/>
        <w:pageBreakBefore w:val="0"/>
        <w:widowControl/>
        <w:numPr>
          <w:ilvl w:val="0"/>
          <w:numId w:val="0"/>
        </w:numPr>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7.3  General Items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17</w:t>
      </w:r>
    </w:p>
    <w:p>
      <w:pPr>
        <w:keepNext w:val="0"/>
        <w:keepLines w:val="0"/>
        <w:pageBreakBefore w:val="0"/>
        <w:widowControl/>
        <w:numPr>
          <w:ilvl w:val="0"/>
          <w:numId w:val="0"/>
        </w:numPr>
        <w:kinsoku/>
        <w:wordWrap/>
        <w:overflowPunct/>
        <w:topLinePunct w:val="0"/>
        <w:autoSpaceDE/>
        <w:autoSpaceDN/>
        <w:bidi w:val="0"/>
        <w:adjustRightInd/>
        <w:snapToGrid/>
        <w:spacing w:line="264" w:lineRule="auto"/>
        <w:jc w:val="left"/>
        <w:textAlignment w:val="auto"/>
        <w:rPr>
          <w:rFonts w:hint="default"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7.4  Data Verification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17</w:t>
      </w:r>
    </w:p>
    <w:p>
      <w:pPr>
        <w:keepNext w:val="0"/>
        <w:keepLines w:val="0"/>
        <w:pageBreakBefore w:val="0"/>
        <w:widowControl/>
        <w:numPr>
          <w:ilvl w:val="0"/>
          <w:numId w:val="0"/>
        </w:numPr>
        <w:kinsoku/>
        <w:wordWrap/>
        <w:overflowPunct/>
        <w:topLinePunct w:val="0"/>
        <w:autoSpaceDE/>
        <w:autoSpaceDN/>
        <w:bidi w:val="0"/>
        <w:adjustRightInd/>
        <w:snapToGrid/>
        <w:spacing w:line="264" w:lineRule="auto"/>
        <w:jc w:val="left"/>
        <w:textAlignment w:val="auto"/>
        <w:rPr>
          <w:rFonts w:hint="default"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  </w:t>
      </w:r>
      <w:r>
        <w:rPr>
          <w:rFonts w:hint="eastAsia" w:ascii="Times New Roman" w:hAnsi="Times New Roman" w:eastAsia="宋体" w:cs="Times New Roman"/>
          <w:b/>
          <w:bCs/>
          <w:color w:val="auto"/>
          <w:spacing w:val="0"/>
          <w:w w:val="100"/>
          <w:sz w:val="21"/>
          <w:szCs w:val="21"/>
          <w:lang w:val="en-US" w:eastAsia="zh-CN"/>
        </w:rPr>
        <w:t xml:space="preserve"> 8  Safety and environmental Protection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w:t>
      </w:r>
      <w:r>
        <w:rPr>
          <w:rFonts w:hint="eastAsia" w:ascii="Times New Roman" w:hAnsi="Times New Roman" w:eastAsia="宋体" w:cs="Times New Roman"/>
          <w:b w:val="0"/>
          <w:bCs w:val="0"/>
          <w:color w:val="auto"/>
          <w:spacing w:val="0"/>
          <w:w w:val="100"/>
          <w:sz w:val="21"/>
          <w:szCs w:val="21"/>
          <w:lang w:val="en-US" w:eastAsia="zh-CN"/>
        </w:rPr>
        <w:t>19</w:t>
      </w:r>
    </w:p>
    <w:p>
      <w:pPr>
        <w:keepNext w:val="0"/>
        <w:keepLines w:val="0"/>
        <w:pageBreakBefore w:val="0"/>
        <w:widowControl/>
        <w:numPr>
          <w:ilvl w:val="0"/>
          <w:numId w:val="0"/>
        </w:numPr>
        <w:kinsoku/>
        <w:wordWrap/>
        <w:overflowPunct/>
        <w:topLinePunct w:val="0"/>
        <w:autoSpaceDE/>
        <w:autoSpaceDN/>
        <w:bidi w:val="0"/>
        <w:adjustRightInd/>
        <w:snapToGrid/>
        <w:spacing w:line="264" w:lineRule="auto"/>
        <w:jc w:val="left"/>
        <w:textAlignment w:val="auto"/>
        <w:rPr>
          <w:rFonts w:hint="default"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8.1  Safety Measures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20</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val="0"/>
          <w:bCs w:val="0"/>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8.2  Environmental protection Measures </w:t>
      </w:r>
      <w:r>
        <w:rPr>
          <w:rFonts w:hint="default" w:ascii="Times New Roman" w:hAnsi="Times New Roman" w:eastAsia="宋体" w:cs="Times New Roman"/>
          <w:b w:val="0"/>
          <w:bCs w:val="0"/>
          <w:color w:val="auto"/>
          <w:spacing w:val="0"/>
          <w:w w:val="100"/>
          <w:sz w:val="21"/>
          <w:szCs w:val="21"/>
          <w:lang w:val="en-US" w:eastAsia="zh-CN"/>
        </w:rPr>
        <w:t>.......................................................</w:t>
      </w:r>
      <w:r>
        <w:rPr>
          <w:rFonts w:hint="eastAsia" w:ascii="Times New Roman" w:hAnsi="Times New Roman" w:eastAsia="宋体" w:cs="Times New Roman"/>
          <w:b w:val="0"/>
          <w:bCs w:val="0"/>
          <w:color w:val="auto"/>
          <w:spacing w:val="0"/>
          <w:w w:val="100"/>
          <w:sz w:val="21"/>
          <w:szCs w:val="21"/>
          <w:lang w:val="en-US" w:eastAsia="zh-CN"/>
        </w:rPr>
        <w:t xml:space="preserve"> 20</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val="0"/>
          <w:bCs w:val="0"/>
          <w:color w:val="auto"/>
          <w:spacing w:val="0"/>
          <w:w w:val="100"/>
          <w:sz w:val="21"/>
          <w:szCs w:val="21"/>
          <w:lang w:val="en-US" w:eastAsia="zh-CN"/>
        </w:rPr>
        <w:t xml:space="preserve">   </w:t>
      </w:r>
      <w:r>
        <w:rPr>
          <w:rFonts w:hint="eastAsia" w:ascii="Times New Roman" w:hAnsi="Times New Roman" w:eastAsia="宋体" w:cs="Times New Roman"/>
          <w:b/>
          <w:bCs/>
          <w:color w:val="auto"/>
          <w:spacing w:val="0"/>
          <w:w w:val="100"/>
          <w:sz w:val="21"/>
          <w:szCs w:val="21"/>
          <w:lang w:val="en-US" w:eastAsia="zh-CN"/>
        </w:rPr>
        <w:t xml:space="preserve">Explanation of Wording in This Specification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21</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eastAsia"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 xml:space="preserve">   List of Quoted Standrads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22</w:t>
      </w:r>
    </w:p>
    <w:p>
      <w:pPr>
        <w:keepNext w:val="0"/>
        <w:keepLines w:val="0"/>
        <w:pageBreakBefore w:val="0"/>
        <w:widowControl/>
        <w:kinsoku/>
        <w:wordWrap/>
        <w:overflowPunct/>
        <w:topLinePunct w:val="0"/>
        <w:autoSpaceDE/>
        <w:autoSpaceDN/>
        <w:bidi w:val="0"/>
        <w:adjustRightInd/>
        <w:snapToGrid/>
        <w:spacing w:line="264" w:lineRule="auto"/>
        <w:jc w:val="left"/>
        <w:textAlignment w:val="auto"/>
        <w:rPr>
          <w:rFonts w:hint="default" w:ascii="Times New Roman" w:hAnsi="Times New Roman" w:eastAsia="宋体" w:cs="Times New Roman"/>
          <w:b/>
          <w:bCs/>
          <w:color w:val="auto"/>
          <w:spacing w:val="0"/>
          <w:w w:val="100"/>
          <w:sz w:val="21"/>
          <w:szCs w:val="21"/>
          <w:lang w:val="en-US" w:eastAsia="zh-CN"/>
        </w:rPr>
      </w:pPr>
      <w:r>
        <w:rPr>
          <w:rFonts w:hint="eastAsia" w:ascii="Times New Roman" w:hAnsi="Times New Roman" w:eastAsia="宋体" w:cs="Times New Roman"/>
          <w:b/>
          <w:bCs/>
          <w:color w:val="auto"/>
          <w:spacing w:val="0"/>
          <w:w w:val="100"/>
          <w:sz w:val="21"/>
          <w:szCs w:val="21"/>
          <w:lang w:val="en-US" w:eastAsia="zh-CN"/>
        </w:rPr>
        <w:t xml:space="preserve">   Addition: Explanation of Provisions </w:t>
      </w:r>
      <w:r>
        <w:rPr>
          <w:rFonts w:hint="default" w:ascii="Times New Roman" w:hAnsi="Times New Roman" w:eastAsia="宋体" w:cs="Times New Roman"/>
          <w:b/>
          <w:bCs/>
          <w:color w:val="auto"/>
          <w:spacing w:val="0"/>
          <w:w w:val="100"/>
          <w:sz w:val="21"/>
          <w:szCs w:val="21"/>
          <w:lang w:val="en-US" w:eastAsia="zh-CN"/>
        </w:rPr>
        <w:t>......................................................</w:t>
      </w:r>
      <w:r>
        <w:rPr>
          <w:rFonts w:hint="eastAsia" w:ascii="Times New Roman" w:hAnsi="Times New Roman" w:eastAsia="宋体" w:cs="Times New Roman"/>
          <w:b/>
          <w:bCs/>
          <w:color w:val="auto"/>
          <w:spacing w:val="0"/>
          <w:w w:val="100"/>
          <w:sz w:val="21"/>
          <w:szCs w:val="21"/>
          <w:lang w:val="en-US" w:eastAsia="zh-CN"/>
        </w:rPr>
        <w:t xml:space="preserve"> 23</w:t>
      </w:r>
    </w:p>
    <w:p>
      <w:pPr>
        <w:pStyle w:val="21"/>
        <w:bidi w:val="0"/>
        <w:rPr>
          <w:color w:val="auto"/>
        </w:rPr>
        <w:sectPr>
          <w:headerReference r:id="rId5" w:type="default"/>
          <w:footerReference r:id="rId7" w:type="default"/>
          <w:headerReference r:id="rId6" w:type="even"/>
          <w:footerReference r:id="rId8" w:type="even"/>
          <w:pgSz w:w="10319" w:h="14571"/>
          <w:pgMar w:top="1440" w:right="1800" w:bottom="1440" w:left="1800" w:header="851" w:footer="992" w:gutter="0"/>
          <w:pgNumType w:fmt="decimal" w:start="1"/>
          <w:cols w:space="425" w:num="1"/>
          <w:docGrid w:type="lines" w:linePitch="312" w:charSpace="0"/>
        </w:sectPr>
      </w:pPr>
    </w:p>
    <w:p>
      <w:pPr>
        <w:pStyle w:val="21"/>
        <w:bidi w:val="0"/>
        <w:rPr>
          <w:color w:val="auto"/>
        </w:rPr>
      </w:pPr>
      <w:bookmarkStart w:id="1" w:name="_Toc28015"/>
      <w:r>
        <w:rPr>
          <w:rFonts w:hint="eastAsia"/>
          <w:color w:val="auto"/>
        </w:rPr>
        <w:t>总则</w:t>
      </w:r>
      <w:bookmarkEnd w:id="0"/>
      <w:bookmarkEnd w:id="1"/>
    </w:p>
    <w:p>
      <w:pPr>
        <w:pStyle w:val="24"/>
        <w:rPr>
          <w:color w:val="auto"/>
        </w:rPr>
      </w:pPr>
      <w:r>
        <w:rPr>
          <w:rFonts w:hint="eastAsia"/>
          <w:color w:val="auto"/>
        </w:rPr>
        <w:t>为规范玻璃纤维增强石膏</w:t>
      </w:r>
      <w:r>
        <w:rPr>
          <w:rFonts w:hint="eastAsia"/>
          <w:color w:val="auto"/>
          <w:lang w:val="en-US" w:eastAsia="zh-CN"/>
        </w:rPr>
        <w:t>材料</w:t>
      </w:r>
      <w:r>
        <w:rPr>
          <w:rFonts w:hint="eastAsia"/>
          <w:color w:val="auto"/>
          <w:lang w:eastAsia="zh-CN"/>
        </w:rPr>
        <w:t>（</w:t>
      </w:r>
      <w:r>
        <w:rPr>
          <w:rFonts w:hint="eastAsia"/>
          <w:color w:val="auto"/>
          <w:lang w:val="en-US" w:eastAsia="zh-CN"/>
        </w:rPr>
        <w:t>GRG</w:t>
      </w:r>
      <w:r>
        <w:rPr>
          <w:rFonts w:hint="eastAsia"/>
          <w:color w:val="auto"/>
          <w:lang w:eastAsia="zh-CN"/>
        </w:rPr>
        <w:t>）</w:t>
      </w:r>
      <w:r>
        <w:rPr>
          <w:rFonts w:hint="eastAsia"/>
          <w:color w:val="auto"/>
          <w:lang w:val="en-US" w:eastAsia="zh-CN"/>
        </w:rPr>
        <w:t>的深化设计、</w:t>
      </w:r>
      <w:r>
        <w:rPr>
          <w:rFonts w:hint="eastAsia"/>
          <w:color w:val="auto"/>
        </w:rPr>
        <w:t>施工及验收，</w:t>
      </w:r>
      <w:r>
        <w:rPr>
          <w:rFonts w:hint="eastAsia"/>
          <w:color w:val="auto"/>
          <w:lang w:val="en-US" w:eastAsia="zh-CN"/>
        </w:rPr>
        <w:t>提高装饰工程质量</w:t>
      </w:r>
      <w:r>
        <w:rPr>
          <w:rFonts w:hint="eastAsia"/>
          <w:color w:val="auto"/>
        </w:rPr>
        <w:t>，制定本标准。</w:t>
      </w:r>
    </w:p>
    <w:p>
      <w:pPr>
        <w:pStyle w:val="24"/>
        <w:rPr>
          <w:color w:val="auto"/>
        </w:rPr>
      </w:pPr>
      <w:r>
        <w:rPr>
          <w:rFonts w:hint="eastAsia"/>
          <w:color w:val="auto"/>
        </w:rPr>
        <w:t>本标准适用于</w:t>
      </w:r>
      <w:r>
        <w:rPr>
          <w:rFonts w:hint="eastAsia"/>
          <w:color w:val="auto"/>
          <w:lang w:val="en-US" w:eastAsia="zh-CN"/>
        </w:rPr>
        <w:t>建筑室内装饰工程</w:t>
      </w:r>
      <w:r>
        <w:rPr>
          <w:rFonts w:hint="eastAsia"/>
          <w:color w:val="auto"/>
        </w:rPr>
        <w:t>玻璃纤维增强石膏装饰材料</w:t>
      </w:r>
      <w:r>
        <w:rPr>
          <w:rFonts w:hint="eastAsia"/>
          <w:color w:val="auto"/>
          <w:lang w:eastAsia="zh-CN"/>
        </w:rPr>
        <w:t>（</w:t>
      </w:r>
      <w:r>
        <w:rPr>
          <w:rFonts w:hint="eastAsia"/>
          <w:color w:val="auto"/>
          <w:lang w:val="en-US" w:eastAsia="zh-CN"/>
        </w:rPr>
        <w:t>GRG</w:t>
      </w:r>
      <w:r>
        <w:rPr>
          <w:rFonts w:hint="eastAsia"/>
          <w:color w:val="auto"/>
          <w:lang w:eastAsia="zh-CN"/>
        </w:rPr>
        <w:t>）</w:t>
      </w:r>
      <w:r>
        <w:rPr>
          <w:rFonts w:hint="eastAsia"/>
          <w:color w:val="auto"/>
        </w:rPr>
        <w:t>的</w:t>
      </w:r>
      <w:r>
        <w:rPr>
          <w:rFonts w:hint="eastAsia"/>
          <w:color w:val="auto"/>
          <w:lang w:val="en-US" w:eastAsia="zh-CN"/>
        </w:rPr>
        <w:t>深化设计、施工及质量验收</w:t>
      </w:r>
      <w:r>
        <w:rPr>
          <w:rFonts w:hint="eastAsia"/>
          <w:color w:val="auto"/>
        </w:rPr>
        <w:t>。</w:t>
      </w:r>
    </w:p>
    <w:p>
      <w:pPr>
        <w:pStyle w:val="24"/>
        <w:rPr>
          <w:color w:val="auto"/>
        </w:rPr>
      </w:pPr>
      <w:r>
        <w:rPr>
          <w:rFonts w:hint="eastAsia"/>
          <w:color w:val="auto"/>
        </w:rPr>
        <w:t>玻璃纤维增强石膏装饰材料</w:t>
      </w:r>
      <w:r>
        <w:rPr>
          <w:rFonts w:hint="eastAsia"/>
          <w:color w:val="auto"/>
          <w:lang w:eastAsia="zh-CN"/>
        </w:rPr>
        <w:t>（</w:t>
      </w:r>
      <w:r>
        <w:rPr>
          <w:rFonts w:hint="eastAsia"/>
          <w:color w:val="auto"/>
          <w:lang w:val="en-US" w:eastAsia="zh-CN"/>
        </w:rPr>
        <w:t>GRG</w:t>
      </w:r>
      <w:r>
        <w:rPr>
          <w:rFonts w:hint="eastAsia"/>
          <w:color w:val="auto"/>
          <w:lang w:eastAsia="zh-CN"/>
        </w:rPr>
        <w:t>）</w:t>
      </w:r>
      <w:r>
        <w:rPr>
          <w:rFonts w:hint="eastAsia"/>
          <w:color w:val="auto"/>
        </w:rPr>
        <w:t>的</w:t>
      </w:r>
      <w:r>
        <w:rPr>
          <w:rFonts w:hint="eastAsia"/>
          <w:color w:val="auto"/>
          <w:lang w:val="en-US" w:eastAsia="zh-CN"/>
        </w:rPr>
        <w:t>深化设计、施工及质量验收</w:t>
      </w:r>
      <w:r>
        <w:rPr>
          <w:rFonts w:hint="eastAsia"/>
          <w:color w:val="auto"/>
        </w:rPr>
        <w:t>，</w:t>
      </w:r>
      <w:r>
        <w:rPr>
          <w:color w:val="auto"/>
        </w:rPr>
        <w:t>除应符合本标准的规定外，尚应符合国家现行有关标准的规定。</w:t>
      </w:r>
    </w:p>
    <w:p>
      <w:pPr>
        <w:widowControl/>
        <w:ind w:firstLine="420"/>
        <w:jc w:val="left"/>
        <w:rPr>
          <w:color w:val="auto"/>
        </w:rPr>
      </w:pPr>
      <w:r>
        <w:rPr>
          <w:color w:val="auto"/>
        </w:rPr>
        <w:br w:type="page"/>
      </w:r>
    </w:p>
    <w:p>
      <w:pPr>
        <w:pStyle w:val="21"/>
        <w:ind w:firstLine="560"/>
        <w:rPr>
          <w:color w:val="auto"/>
        </w:rPr>
      </w:pPr>
      <w:bookmarkStart w:id="2" w:name="_Toc67384436"/>
      <w:bookmarkStart w:id="3" w:name="_Toc19409"/>
      <w:r>
        <w:rPr>
          <w:rFonts w:hint="eastAsia"/>
          <w:color w:val="auto"/>
        </w:rPr>
        <w:t>术语</w:t>
      </w:r>
      <w:bookmarkEnd w:id="2"/>
      <w:bookmarkEnd w:id="3"/>
    </w:p>
    <w:p>
      <w:pPr>
        <w:pStyle w:val="24"/>
        <w:rPr>
          <w:color w:val="auto"/>
        </w:rPr>
      </w:pPr>
      <w:r>
        <w:rPr>
          <w:rFonts w:hint="eastAsia"/>
          <w:color w:val="auto"/>
        </w:rPr>
        <w:t>玻璃纤维增强石膏</w:t>
      </w:r>
      <w:r>
        <w:rPr>
          <w:rFonts w:hint="eastAsia"/>
          <w:color w:val="auto"/>
          <w:lang w:val="en-US" w:eastAsia="zh-CN"/>
        </w:rPr>
        <w:t>材料</w:t>
      </w:r>
      <w:r>
        <w:rPr>
          <w:rFonts w:hint="eastAsia"/>
          <w:color w:val="auto"/>
        </w:rPr>
        <w:t xml:space="preserve"> GlassFiber Reinforced Gypsum </w:t>
      </w:r>
      <w:r>
        <w:rPr>
          <w:rFonts w:hint="eastAsia"/>
          <w:color w:val="auto"/>
          <w:lang w:val="en-US" w:eastAsia="zh-CN"/>
        </w:rPr>
        <w:t>B</w:t>
      </w:r>
      <w:r>
        <w:rPr>
          <w:rFonts w:hint="eastAsia"/>
          <w:color w:val="auto"/>
        </w:rPr>
        <w:t>oard</w:t>
      </w:r>
    </w:p>
    <w:p>
      <w:pPr>
        <w:pStyle w:val="24"/>
        <w:numPr>
          <w:ilvl w:val="3"/>
          <w:numId w:val="0"/>
        </w:numPr>
        <w:ind w:leftChars="0" w:firstLine="420" w:firstLineChars="200"/>
        <w:rPr>
          <w:rFonts w:hint="default"/>
          <w:color w:val="auto"/>
          <w:lang w:val="en-US"/>
        </w:rPr>
      </w:pPr>
      <w:r>
        <w:rPr>
          <w:rFonts w:hint="eastAsia"/>
          <w:color w:val="auto"/>
          <w:lang w:val="en-US" w:eastAsia="zh-CN"/>
        </w:rPr>
        <w:t>以玻璃纤维为主要增强材料，</w:t>
      </w:r>
      <w:r>
        <w:rPr>
          <w:rFonts w:hint="default" w:ascii="Arial" w:hAnsi="Arial" w:cs="Arial"/>
          <w:color w:val="auto"/>
          <w:lang w:val="en-US" w:eastAsia="zh-CN"/>
        </w:rPr>
        <w:t>ɑ</w:t>
      </w:r>
      <w:r>
        <w:rPr>
          <w:rFonts w:hint="eastAsia"/>
          <w:color w:val="auto"/>
          <w:lang w:val="en-US" w:eastAsia="zh-CN"/>
        </w:rPr>
        <w:t>型增强石膏为主要胶凝材料，添加适当集料和水混合而成的复合材料，简称“GRG”。</w:t>
      </w:r>
    </w:p>
    <w:p>
      <w:pPr>
        <w:pStyle w:val="24"/>
        <w:rPr>
          <w:color w:val="auto"/>
        </w:rPr>
      </w:pPr>
      <w:r>
        <w:rPr>
          <w:rFonts w:hint="eastAsia"/>
          <w:color w:val="auto"/>
          <w:lang w:val="en-US" w:eastAsia="zh-CN"/>
        </w:rPr>
        <w:t>专用</w:t>
      </w:r>
      <w:r>
        <w:rPr>
          <w:rFonts w:hint="eastAsia"/>
          <w:color w:val="auto"/>
        </w:rPr>
        <w:t xml:space="preserve">填缝剂 </w:t>
      </w:r>
      <w:r>
        <w:rPr>
          <w:rFonts w:hint="eastAsia"/>
          <w:color w:val="auto"/>
          <w:lang w:val="en-US" w:eastAsia="zh-CN"/>
        </w:rPr>
        <w:t xml:space="preserve">Special </w:t>
      </w:r>
      <w:r>
        <w:rPr>
          <w:color w:val="auto"/>
        </w:rPr>
        <w:t>Sealant</w:t>
      </w:r>
    </w:p>
    <w:p>
      <w:pPr>
        <w:spacing w:line="360" w:lineRule="auto"/>
        <w:ind w:firstLine="420" w:firstLineChars="200"/>
        <w:rPr>
          <w:rFonts w:hint="eastAsia" w:eastAsia="宋体" w:asciiTheme="minorHAnsi" w:hAnsiTheme="minorHAnsi"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用于修饰</w:t>
      </w:r>
      <w:r>
        <w:rPr>
          <w:rFonts w:hint="eastAsia"/>
          <w:color w:val="auto"/>
        </w:rPr>
        <w:t>玻璃纤维增强石膏</w:t>
      </w:r>
      <w:r>
        <w:rPr>
          <w:rFonts w:hint="eastAsia"/>
          <w:color w:val="auto"/>
          <w:lang w:val="en-US" w:eastAsia="zh-CN"/>
        </w:rPr>
        <w:t>材料之间的缝隙的填充剂</w:t>
      </w:r>
      <w:r>
        <w:rPr>
          <w:rFonts w:hint="eastAsia" w:eastAsia="宋体" w:asciiTheme="minorHAnsi" w:hAnsiTheme="minorHAnsi" w:cstheme="minorBidi"/>
          <w:color w:val="auto"/>
          <w:kern w:val="2"/>
          <w:sz w:val="21"/>
          <w:szCs w:val="21"/>
          <w:lang w:val="en-US" w:eastAsia="zh-CN" w:bidi="ar-SA"/>
        </w:rPr>
        <w:t>。</w:t>
      </w:r>
    </w:p>
    <w:p>
      <w:pPr>
        <w:pStyle w:val="24"/>
        <w:bidi w:val="0"/>
        <w:rPr>
          <w:rFonts w:hint="eastAsia"/>
          <w:color w:val="auto"/>
          <w:lang w:val="en-US" w:eastAsia="zh-CN"/>
        </w:rPr>
      </w:pPr>
      <w:r>
        <w:rPr>
          <w:rFonts w:hint="eastAsia"/>
          <w:color w:val="auto"/>
          <w:lang w:val="en-US" w:eastAsia="zh-CN"/>
        </w:rPr>
        <w:t>固定件 Fixings</w:t>
      </w:r>
    </w:p>
    <w:p>
      <w:pPr>
        <w:spacing w:line="360" w:lineRule="auto"/>
        <w:ind w:firstLine="420" w:firstLineChars="200"/>
        <w:rPr>
          <w:rFonts w:hint="default"/>
          <w:color w:val="auto"/>
          <w:lang w:val="en-US" w:eastAsia="zh-CN"/>
        </w:rPr>
      </w:pPr>
      <w:r>
        <w:rPr>
          <w:rFonts w:hint="eastAsia"/>
          <w:color w:val="auto"/>
          <w:lang w:val="en-US" w:eastAsia="zh-CN"/>
        </w:rPr>
        <w:t>用于将钢骨架固定于建筑结构上、将</w:t>
      </w:r>
      <w:r>
        <w:rPr>
          <w:rFonts w:hint="eastAsia"/>
          <w:color w:val="auto"/>
        </w:rPr>
        <w:t>玻璃纤维增强石膏</w:t>
      </w:r>
      <w:r>
        <w:rPr>
          <w:rFonts w:hint="eastAsia"/>
          <w:color w:val="auto"/>
          <w:lang w:val="en-US" w:eastAsia="zh-CN"/>
        </w:rPr>
        <w:t>材料固定于钢骨架上的材料，满足安装牢固的预埋件和连接件的统称。</w:t>
      </w:r>
    </w:p>
    <w:p>
      <w:pPr>
        <w:pStyle w:val="24"/>
        <w:rPr>
          <w:color w:val="auto"/>
        </w:rPr>
      </w:pPr>
      <w:r>
        <w:rPr>
          <w:rFonts w:hint="eastAsia"/>
          <w:color w:val="auto"/>
          <w:lang w:val="en-US" w:eastAsia="zh-CN"/>
        </w:rPr>
        <w:t>钢骨架</w:t>
      </w:r>
      <w:r>
        <w:rPr>
          <w:rFonts w:hint="eastAsia"/>
          <w:color w:val="auto"/>
        </w:rPr>
        <w:t xml:space="preserve"> Steel </w:t>
      </w:r>
      <w:r>
        <w:rPr>
          <w:rFonts w:hint="eastAsia"/>
          <w:color w:val="auto"/>
          <w:lang w:val="en-US" w:eastAsia="zh-CN"/>
        </w:rPr>
        <w:t>S</w:t>
      </w:r>
      <w:r>
        <w:rPr>
          <w:rFonts w:hint="eastAsia"/>
          <w:color w:val="auto"/>
        </w:rPr>
        <w:t>keletone</w:t>
      </w:r>
    </w:p>
    <w:p>
      <w:pPr>
        <w:pStyle w:val="29"/>
        <w:rPr>
          <w:rFonts w:hint="eastAsia"/>
          <w:color w:val="auto"/>
        </w:rPr>
      </w:pPr>
      <w:r>
        <w:rPr>
          <w:rFonts w:hint="eastAsia"/>
          <w:color w:val="auto"/>
        </w:rPr>
        <w:t>采用</w:t>
      </w:r>
      <w:r>
        <w:rPr>
          <w:rFonts w:hint="eastAsia"/>
          <w:color w:val="auto"/>
          <w:lang w:val="en-US" w:eastAsia="zh-CN"/>
        </w:rPr>
        <w:t>型钢通过焊接或栓接形成的用于支撑</w:t>
      </w:r>
      <w:r>
        <w:rPr>
          <w:rFonts w:hint="eastAsia"/>
          <w:color w:val="auto"/>
        </w:rPr>
        <w:t>玻璃纤维增强石膏</w:t>
      </w:r>
      <w:r>
        <w:rPr>
          <w:rFonts w:hint="eastAsia"/>
          <w:color w:val="auto"/>
          <w:lang w:val="en-US" w:eastAsia="zh-CN"/>
        </w:rPr>
        <w:t>材料的空间</w:t>
      </w:r>
      <w:r>
        <w:rPr>
          <w:rFonts w:hint="eastAsia"/>
          <w:color w:val="auto"/>
        </w:rPr>
        <w:t>结构。</w:t>
      </w:r>
    </w:p>
    <w:p>
      <w:pPr>
        <w:pStyle w:val="24"/>
        <w:bidi w:val="0"/>
        <w:rPr>
          <w:rFonts w:hint="eastAsia"/>
          <w:color w:val="auto"/>
        </w:rPr>
      </w:pPr>
      <w:r>
        <w:rPr>
          <w:rFonts w:hint="eastAsia"/>
          <w:color w:val="auto"/>
          <w:lang w:val="en-US" w:eastAsia="zh-CN"/>
        </w:rPr>
        <w:t>坞绑材料 Wubang Saterial</w:t>
      </w:r>
    </w:p>
    <w:p>
      <w:pPr>
        <w:pStyle w:val="24"/>
        <w:numPr>
          <w:ilvl w:val="3"/>
          <w:numId w:val="0"/>
        </w:numPr>
        <w:ind w:leftChars="0" w:firstLine="420" w:firstLineChars="200"/>
        <w:rPr>
          <w:rFonts w:hint="default" w:eastAsia="宋体"/>
          <w:color w:val="auto"/>
          <w:lang w:val="en-US" w:eastAsia="zh-CN"/>
        </w:rPr>
      </w:pPr>
      <w:r>
        <w:rPr>
          <w:rFonts w:hint="eastAsia"/>
          <w:color w:val="auto"/>
          <w:lang w:val="en-US" w:eastAsia="zh-CN"/>
        </w:rPr>
        <w:t>以</w:t>
      </w:r>
      <w:r>
        <w:rPr>
          <w:rFonts w:hint="eastAsia"/>
          <w:color w:val="auto"/>
        </w:rPr>
        <w:t>玻璃纤维增强石膏</w:t>
      </w:r>
      <w:r>
        <w:rPr>
          <w:rFonts w:hint="eastAsia"/>
          <w:color w:val="auto"/>
          <w:lang w:val="en-US" w:eastAsia="zh-CN"/>
        </w:rPr>
        <w:t>粉为主要材料，玻璃纤维丝和水为胶凝材料混合而成的用于加固GRG接缝的复合材料。</w:t>
      </w:r>
    </w:p>
    <w:p>
      <w:pPr>
        <w:pStyle w:val="24"/>
        <w:numPr>
          <w:ilvl w:val="3"/>
          <w:numId w:val="0"/>
        </w:numPr>
        <w:ind w:leftChars="0" w:firstLine="420" w:firstLineChars="200"/>
        <w:rPr>
          <w:rFonts w:hint="eastAsia"/>
          <w:color w:val="auto"/>
          <w:lang w:val="en-US" w:eastAsia="zh-CN"/>
        </w:rPr>
      </w:pPr>
    </w:p>
    <w:p>
      <w:pPr>
        <w:rPr>
          <w:color w:val="auto"/>
        </w:rPr>
      </w:pPr>
    </w:p>
    <w:p>
      <w:pPr>
        <w:widowControl/>
        <w:ind w:firstLine="420"/>
        <w:jc w:val="left"/>
        <w:rPr>
          <w:color w:val="auto"/>
        </w:rPr>
      </w:pPr>
      <w:r>
        <w:rPr>
          <w:color w:val="auto"/>
        </w:rPr>
        <w:br w:type="page"/>
      </w:r>
    </w:p>
    <w:p>
      <w:pPr>
        <w:pStyle w:val="21"/>
        <w:ind w:firstLine="560"/>
        <w:rPr>
          <w:color w:val="auto"/>
        </w:rPr>
      </w:pPr>
      <w:bookmarkStart w:id="4" w:name="_Toc67384437"/>
      <w:bookmarkStart w:id="5" w:name="_Toc23067"/>
      <w:r>
        <w:rPr>
          <w:rFonts w:hint="eastAsia"/>
          <w:color w:val="auto"/>
        </w:rPr>
        <w:t>材料</w:t>
      </w:r>
      <w:bookmarkEnd w:id="4"/>
      <w:bookmarkEnd w:id="5"/>
    </w:p>
    <w:p>
      <w:pPr>
        <w:pStyle w:val="22"/>
        <w:bidi w:val="0"/>
      </w:pPr>
      <w:bookmarkStart w:id="6" w:name="_Toc67384438"/>
      <w:bookmarkEnd w:id="6"/>
      <w:bookmarkStart w:id="7" w:name="_Toc12701"/>
      <w:r>
        <w:rPr>
          <w:rFonts w:hint="eastAsia"/>
          <w:lang w:val="en-US" w:eastAsia="zh-CN"/>
        </w:rPr>
        <w:t>原材料</w:t>
      </w:r>
      <w:bookmarkEnd w:id="7"/>
    </w:p>
    <w:p>
      <w:pPr>
        <w:pStyle w:val="24"/>
        <w:rPr>
          <w:color w:val="auto"/>
        </w:rPr>
      </w:pPr>
      <w:r>
        <w:rPr>
          <w:rFonts w:ascii="Arial" w:hAnsi="Arial" w:cs="Arial"/>
          <w:color w:val="auto"/>
        </w:rPr>
        <w:t>α</w:t>
      </w:r>
      <w:r>
        <w:rPr>
          <w:rFonts w:hint="eastAsia"/>
          <w:color w:val="auto"/>
        </w:rPr>
        <w:t>型高强石膏应符合现行行业标准《</w:t>
      </w:r>
      <w:r>
        <w:rPr>
          <w:rFonts w:ascii="Arial" w:hAnsi="Arial" w:cs="Arial"/>
          <w:color w:val="auto"/>
        </w:rPr>
        <w:t>α</w:t>
      </w:r>
      <w:r>
        <w:rPr>
          <w:rFonts w:hint="eastAsia" w:ascii="Arial" w:hAnsi="Arial" w:cs="Arial"/>
          <w:color w:val="auto"/>
        </w:rPr>
        <w:t>型高强石膏</w:t>
      </w:r>
      <w:r>
        <w:rPr>
          <w:rFonts w:hint="eastAsia"/>
          <w:color w:val="auto"/>
        </w:rPr>
        <w:t>》JC/T2038中</w:t>
      </w:r>
      <w:r>
        <w:rPr>
          <w:rFonts w:ascii="Arial" w:hAnsi="Arial" w:cs="Arial"/>
          <w:color w:val="auto"/>
        </w:rPr>
        <w:t>α</w:t>
      </w:r>
      <w:r>
        <w:rPr>
          <w:rFonts w:hint="eastAsia" w:ascii="Arial" w:hAnsi="Arial" w:cs="Arial"/>
          <w:color w:val="auto"/>
        </w:rPr>
        <w:t>40及以上等级的规定</w:t>
      </w:r>
      <w:r>
        <w:rPr>
          <w:rFonts w:hint="eastAsia" w:ascii="Arial" w:hAnsi="Arial" w:cs="Arial"/>
          <w:color w:val="auto"/>
          <w:lang w:eastAsia="zh-CN"/>
        </w:rPr>
        <w:t>，</w:t>
      </w:r>
      <w:r>
        <w:rPr>
          <w:rFonts w:hint="eastAsia" w:ascii="Arial" w:hAnsi="Arial" w:cs="Arial"/>
          <w:color w:val="auto"/>
          <w:lang w:val="en-US" w:eastAsia="zh-CN"/>
        </w:rPr>
        <w:t>强度应</w:t>
      </w:r>
      <w:r>
        <w:rPr>
          <w:rFonts w:hint="eastAsia"/>
          <w:color w:val="auto"/>
          <w:lang w:val="en-US" w:eastAsia="zh-CN"/>
        </w:rPr>
        <w:t>应达到40MPa以上</w:t>
      </w:r>
      <w:r>
        <w:rPr>
          <w:rFonts w:hint="eastAsia" w:ascii="Arial" w:hAnsi="Arial" w:cs="Arial"/>
          <w:color w:val="auto"/>
        </w:rPr>
        <w:t>。</w:t>
      </w:r>
    </w:p>
    <w:p>
      <w:pPr>
        <w:pStyle w:val="24"/>
        <w:bidi w:val="0"/>
        <w:rPr>
          <w:color w:val="auto"/>
        </w:rPr>
      </w:pPr>
      <w:r>
        <w:rPr>
          <w:rFonts w:hint="eastAsia"/>
          <w:color w:val="auto"/>
        </w:rPr>
        <w:t>建筑装饰材料燃烧性应符合现行国家标准《建筑内部装修防火规范》GB50222和《建筑设计防火规范》GB50016的规定。</w:t>
      </w:r>
    </w:p>
    <w:p>
      <w:pPr>
        <w:pStyle w:val="24"/>
        <w:bidi w:val="0"/>
        <w:rPr>
          <w:color w:val="auto"/>
        </w:rPr>
      </w:pPr>
      <w:r>
        <w:rPr>
          <w:rFonts w:hint="eastAsia"/>
          <w:color w:val="auto"/>
          <w:lang w:eastAsia="zh-CN"/>
        </w:rPr>
        <w:t>GRG</w:t>
      </w:r>
      <w:r>
        <w:rPr>
          <w:rFonts w:hint="eastAsia"/>
          <w:color w:val="auto"/>
        </w:rPr>
        <w:t>及其配套材料应符合现行国家规范《建筑材料放射性核素限量》GB 6566和《室内装饰装修材料 内墙涂料中有害物质限量》GB 18582的有关规定。</w:t>
      </w:r>
    </w:p>
    <w:p>
      <w:pPr>
        <w:pStyle w:val="24"/>
        <w:rPr>
          <w:color w:val="auto"/>
        </w:rPr>
      </w:pPr>
      <w:r>
        <w:rPr>
          <w:rFonts w:hint="eastAsia"/>
          <w:color w:val="auto"/>
        </w:rPr>
        <w:t>耐碱玻璃纤维无捻粗纱、耐碱玻璃纤维短切纱应符合现行行业标准《耐碱玻璃纤维无捻粗纱》JC/T572的有关规定</w:t>
      </w:r>
      <w:r>
        <w:rPr>
          <w:rFonts w:hint="eastAsia"/>
          <w:color w:val="auto"/>
          <w:lang w:eastAsia="zh-CN"/>
        </w:rPr>
        <w:t>。</w:t>
      </w:r>
    </w:p>
    <w:p>
      <w:pPr>
        <w:pStyle w:val="24"/>
        <w:rPr>
          <w:color w:val="auto"/>
        </w:rPr>
      </w:pPr>
      <w:r>
        <w:rPr>
          <w:rFonts w:hint="eastAsia"/>
          <w:color w:val="auto"/>
        </w:rPr>
        <w:t>耐碱玻璃纤维网格布应符合现行行业标准《耐碱玻璃纤维网格布》JC/T841的有关规定，且玻璃纤维材料的掺加量不应少于5%</w:t>
      </w:r>
      <w:r>
        <w:rPr>
          <w:rFonts w:hint="eastAsia"/>
          <w:color w:val="auto"/>
          <w:lang w:eastAsia="zh-CN"/>
        </w:rPr>
        <w:t>。</w:t>
      </w:r>
    </w:p>
    <w:p>
      <w:pPr>
        <w:pStyle w:val="24"/>
        <w:rPr>
          <w:color w:val="auto"/>
        </w:rPr>
      </w:pPr>
      <w:r>
        <w:rPr>
          <w:rFonts w:hint="eastAsia"/>
          <w:color w:val="auto"/>
        </w:rPr>
        <w:t>掺和其他材料后的原材料pH值应为中性或弱碱性。</w:t>
      </w:r>
    </w:p>
    <w:p>
      <w:pPr>
        <w:pStyle w:val="22"/>
        <w:bidi w:val="0"/>
        <w:rPr>
          <w:color w:val="auto"/>
        </w:rPr>
      </w:pPr>
      <w:bookmarkStart w:id="8" w:name="_Toc26600"/>
      <w:r>
        <w:rPr>
          <w:rFonts w:hint="eastAsia"/>
          <w:color w:val="auto"/>
          <w:lang w:val="en-US" w:eastAsia="zh-CN"/>
        </w:rPr>
        <w:t>GRG材料</w:t>
      </w:r>
      <w:bookmarkEnd w:id="8"/>
    </w:p>
    <w:p>
      <w:pPr>
        <w:pStyle w:val="24"/>
        <w:bidi w:val="0"/>
        <w:rPr>
          <w:color w:val="auto"/>
        </w:rPr>
      </w:pPr>
      <w:r>
        <w:rPr>
          <w:rFonts w:hint="eastAsia"/>
          <w:color w:val="auto"/>
        </w:rPr>
        <w:t>GRG的物理性能指标应符合表</w:t>
      </w:r>
      <w:r>
        <w:rPr>
          <w:rFonts w:hint="eastAsia"/>
          <w:color w:val="auto"/>
          <w:lang w:val="en-US" w:eastAsia="zh-CN"/>
        </w:rPr>
        <w:t>3</w:t>
      </w:r>
      <w:r>
        <w:rPr>
          <w:rFonts w:hint="eastAsia"/>
          <w:color w:val="auto"/>
        </w:rPr>
        <w:t>.</w:t>
      </w:r>
      <w:r>
        <w:rPr>
          <w:rFonts w:hint="eastAsia"/>
          <w:color w:val="auto"/>
          <w:lang w:val="en-US" w:eastAsia="zh-CN"/>
        </w:rPr>
        <w:t>1</w:t>
      </w:r>
      <w:r>
        <w:rPr>
          <w:rFonts w:hint="eastAsia"/>
          <w:color w:val="auto"/>
        </w:rPr>
        <w:t>.</w:t>
      </w:r>
      <w:r>
        <w:rPr>
          <w:rFonts w:hint="eastAsia"/>
          <w:color w:val="auto"/>
          <w:lang w:val="en-US" w:eastAsia="zh-CN"/>
        </w:rPr>
        <w:t>1</w:t>
      </w:r>
      <w:r>
        <w:rPr>
          <w:rFonts w:hint="eastAsia"/>
          <w:color w:val="auto"/>
        </w:rPr>
        <w:t>的规定</w:t>
      </w:r>
      <w:r>
        <w:rPr>
          <w:rFonts w:hint="eastAsia"/>
          <w:color w:val="auto"/>
          <w:lang w:eastAsia="zh-CN"/>
        </w:rPr>
        <w:t>。</w:t>
      </w:r>
    </w:p>
    <w:p>
      <w:pPr>
        <w:spacing w:line="360" w:lineRule="auto"/>
        <w:jc w:val="center"/>
        <w:rPr>
          <w:b/>
          <w:bCs/>
          <w:color w:val="auto"/>
          <w:sz w:val="18"/>
          <w:szCs w:val="18"/>
        </w:rPr>
      </w:pPr>
      <w:r>
        <w:rPr>
          <w:rFonts w:hint="eastAsia"/>
          <w:b/>
          <w:bCs/>
          <w:color w:val="auto"/>
          <w:sz w:val="18"/>
          <w:szCs w:val="18"/>
        </w:rPr>
        <w:t>表</w:t>
      </w:r>
      <w:r>
        <w:rPr>
          <w:rFonts w:hint="eastAsia"/>
          <w:b/>
          <w:bCs/>
          <w:color w:val="auto"/>
          <w:sz w:val="18"/>
          <w:szCs w:val="18"/>
          <w:lang w:val="en-US" w:eastAsia="zh-CN"/>
        </w:rPr>
        <w:t>3</w:t>
      </w:r>
      <w:r>
        <w:rPr>
          <w:rFonts w:hint="eastAsia"/>
          <w:b/>
          <w:bCs/>
          <w:color w:val="auto"/>
          <w:sz w:val="18"/>
          <w:szCs w:val="18"/>
        </w:rPr>
        <w:t>.</w:t>
      </w:r>
      <w:r>
        <w:rPr>
          <w:rFonts w:hint="eastAsia"/>
          <w:b/>
          <w:bCs/>
          <w:color w:val="auto"/>
          <w:sz w:val="18"/>
          <w:szCs w:val="18"/>
          <w:lang w:val="en-US" w:eastAsia="zh-CN"/>
        </w:rPr>
        <w:t>1</w:t>
      </w:r>
      <w:r>
        <w:rPr>
          <w:rFonts w:hint="eastAsia"/>
          <w:b/>
          <w:bCs/>
          <w:color w:val="auto"/>
          <w:sz w:val="18"/>
          <w:szCs w:val="18"/>
        </w:rPr>
        <w:t>.</w:t>
      </w:r>
      <w:r>
        <w:rPr>
          <w:rFonts w:hint="eastAsia"/>
          <w:b/>
          <w:bCs/>
          <w:color w:val="auto"/>
          <w:sz w:val="18"/>
          <w:szCs w:val="18"/>
          <w:lang w:val="en-US" w:eastAsia="zh-CN"/>
        </w:rPr>
        <w:t>1</w:t>
      </w:r>
      <w:r>
        <w:rPr>
          <w:rFonts w:hint="eastAsia"/>
          <w:b/>
          <w:bCs/>
          <w:color w:val="auto"/>
          <w:sz w:val="18"/>
          <w:szCs w:val="18"/>
        </w:rPr>
        <w:t xml:space="preserve">   GRG的物理性能指标</w:t>
      </w:r>
    </w:p>
    <w:tbl>
      <w:tblPr>
        <w:tblStyle w:val="17"/>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80"/>
        <w:gridCol w:w="1731"/>
        <w:gridCol w:w="1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9" w:type="pct"/>
          </w:tcPr>
          <w:p>
            <w:pPr>
              <w:pStyle w:val="24"/>
              <w:numPr>
                <w:ilvl w:val="3"/>
                <w:numId w:val="0"/>
              </w:numPr>
              <w:jc w:val="center"/>
              <w:rPr>
                <w:color w:val="auto"/>
              </w:rPr>
            </w:pPr>
            <w:r>
              <w:rPr>
                <w:rFonts w:hint="eastAsia"/>
                <w:color w:val="auto"/>
              </w:rPr>
              <w:t>性能</w:t>
            </w:r>
          </w:p>
        </w:tc>
        <w:tc>
          <w:tcPr>
            <w:tcW w:w="1248" w:type="pct"/>
          </w:tcPr>
          <w:p>
            <w:pPr>
              <w:pStyle w:val="24"/>
              <w:numPr>
                <w:ilvl w:val="3"/>
                <w:numId w:val="0"/>
              </w:numPr>
              <w:jc w:val="center"/>
              <w:rPr>
                <w:color w:val="auto"/>
              </w:rPr>
            </w:pPr>
            <w:r>
              <w:rPr>
                <w:rFonts w:hint="eastAsia"/>
                <w:color w:val="auto"/>
              </w:rPr>
              <w:t>专用型（A）</w:t>
            </w:r>
          </w:p>
        </w:tc>
        <w:tc>
          <w:tcPr>
            <w:tcW w:w="1242" w:type="pct"/>
          </w:tcPr>
          <w:p>
            <w:pPr>
              <w:pStyle w:val="24"/>
              <w:numPr>
                <w:ilvl w:val="3"/>
                <w:numId w:val="0"/>
              </w:numPr>
              <w:jc w:val="center"/>
              <w:rPr>
                <w:color w:val="auto"/>
              </w:rPr>
            </w:pPr>
            <w:r>
              <w:rPr>
                <w:rFonts w:hint="eastAsia"/>
                <w:color w:val="auto"/>
              </w:rPr>
              <w:t>通用型（B）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9" w:type="pct"/>
          </w:tcPr>
          <w:p>
            <w:pPr>
              <w:pStyle w:val="24"/>
              <w:numPr>
                <w:ilvl w:val="3"/>
                <w:numId w:val="0"/>
              </w:numPr>
              <w:jc w:val="center"/>
              <w:rPr>
                <w:color w:val="auto"/>
              </w:rPr>
            </w:pPr>
            <w:r>
              <w:rPr>
                <w:rFonts w:hint="eastAsia"/>
                <w:color w:val="auto"/>
              </w:rPr>
              <w:t>抗弯强度（Mpa）</w:t>
            </w:r>
          </w:p>
        </w:tc>
        <w:tc>
          <w:tcPr>
            <w:tcW w:w="1248" w:type="pct"/>
          </w:tcPr>
          <w:p>
            <w:pPr>
              <w:pStyle w:val="24"/>
              <w:numPr>
                <w:ilvl w:val="3"/>
                <w:numId w:val="0"/>
              </w:numPr>
              <w:jc w:val="center"/>
              <w:rPr>
                <w:color w:val="auto"/>
              </w:rPr>
            </w:pPr>
            <w:r>
              <w:rPr>
                <w:rFonts w:hint="eastAsia"/>
                <w:color w:val="auto"/>
              </w:rPr>
              <w:t>≥17</w:t>
            </w:r>
          </w:p>
        </w:tc>
        <w:tc>
          <w:tcPr>
            <w:tcW w:w="1242" w:type="pct"/>
          </w:tcPr>
          <w:p>
            <w:pPr>
              <w:pStyle w:val="24"/>
              <w:numPr>
                <w:ilvl w:val="3"/>
                <w:numId w:val="0"/>
              </w:numPr>
              <w:jc w:val="center"/>
              <w:rPr>
                <w:color w:val="auto"/>
              </w:rPr>
            </w:pPr>
            <w:r>
              <w:rPr>
                <w:rFonts w:hint="eastAsia"/>
                <w:color w:val="auto"/>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9" w:type="pct"/>
          </w:tcPr>
          <w:p>
            <w:pPr>
              <w:pStyle w:val="24"/>
              <w:numPr>
                <w:ilvl w:val="3"/>
                <w:numId w:val="0"/>
              </w:numPr>
              <w:jc w:val="center"/>
              <w:rPr>
                <w:color w:val="auto"/>
              </w:rPr>
            </w:pPr>
            <w:r>
              <w:rPr>
                <w:rFonts w:hint="eastAsia"/>
                <w:color w:val="auto"/>
              </w:rPr>
              <w:t>巴氏硬度（HBa）</w:t>
            </w:r>
          </w:p>
        </w:tc>
        <w:tc>
          <w:tcPr>
            <w:tcW w:w="1248" w:type="pct"/>
          </w:tcPr>
          <w:p>
            <w:pPr>
              <w:pStyle w:val="24"/>
              <w:numPr>
                <w:ilvl w:val="3"/>
                <w:numId w:val="0"/>
              </w:numPr>
              <w:jc w:val="center"/>
              <w:rPr>
                <w:color w:val="auto"/>
              </w:rPr>
            </w:pPr>
            <w:r>
              <w:rPr>
                <w:rFonts w:hint="eastAsia"/>
                <w:color w:val="auto"/>
              </w:rPr>
              <w:t>≥45</w:t>
            </w:r>
          </w:p>
        </w:tc>
        <w:tc>
          <w:tcPr>
            <w:tcW w:w="1242" w:type="pct"/>
          </w:tcPr>
          <w:p>
            <w:pPr>
              <w:pStyle w:val="24"/>
              <w:numPr>
                <w:ilvl w:val="3"/>
                <w:numId w:val="0"/>
              </w:numPr>
              <w:jc w:val="center"/>
              <w:rPr>
                <w:color w:val="auto"/>
              </w:rPr>
            </w:pPr>
            <w:r>
              <w:rPr>
                <w:rFonts w:hint="eastAsia"/>
                <w:color w:val="auto"/>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9" w:type="pct"/>
          </w:tcPr>
          <w:p>
            <w:pPr>
              <w:pStyle w:val="24"/>
              <w:numPr>
                <w:ilvl w:val="3"/>
                <w:numId w:val="0"/>
              </w:numPr>
              <w:jc w:val="center"/>
              <w:rPr>
                <w:color w:val="auto"/>
              </w:rPr>
            </w:pPr>
            <w:r>
              <w:rPr>
                <w:rFonts w:hint="eastAsia"/>
                <w:color w:val="auto"/>
              </w:rPr>
              <w:t>吊挂力（kN）</w:t>
            </w:r>
          </w:p>
        </w:tc>
        <w:tc>
          <w:tcPr>
            <w:tcW w:w="1248" w:type="pct"/>
          </w:tcPr>
          <w:p>
            <w:pPr>
              <w:pStyle w:val="24"/>
              <w:numPr>
                <w:ilvl w:val="3"/>
                <w:numId w:val="0"/>
              </w:numPr>
              <w:jc w:val="center"/>
              <w:rPr>
                <w:color w:val="auto"/>
              </w:rPr>
            </w:pPr>
            <w:r>
              <w:rPr>
                <w:rFonts w:hint="eastAsia"/>
                <w:color w:val="auto"/>
              </w:rPr>
              <w:t>≥6.0</w:t>
            </w:r>
          </w:p>
        </w:tc>
        <w:tc>
          <w:tcPr>
            <w:tcW w:w="1242" w:type="pct"/>
          </w:tcPr>
          <w:p>
            <w:pPr>
              <w:pStyle w:val="24"/>
              <w:numPr>
                <w:ilvl w:val="3"/>
                <w:numId w:val="0"/>
              </w:numPr>
              <w:jc w:val="center"/>
              <w:rPr>
                <w:color w:val="auto"/>
              </w:rPr>
            </w:pPr>
            <w:r>
              <w:rPr>
                <w:rFonts w:hint="eastAsia"/>
                <w:color w:val="auto"/>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9" w:type="pct"/>
          </w:tcPr>
          <w:p>
            <w:pPr>
              <w:pStyle w:val="24"/>
              <w:numPr>
                <w:ilvl w:val="3"/>
                <w:numId w:val="0"/>
              </w:numPr>
              <w:jc w:val="center"/>
              <w:rPr>
                <w:color w:val="auto"/>
              </w:rPr>
            </w:pPr>
            <w:r>
              <w:rPr>
                <w:rFonts w:hint="eastAsia"/>
                <w:color w:val="auto"/>
              </w:rPr>
              <w:t>抗压强度/面受压力（Mpa）</w:t>
            </w:r>
          </w:p>
        </w:tc>
        <w:tc>
          <w:tcPr>
            <w:tcW w:w="1248" w:type="pct"/>
          </w:tcPr>
          <w:p>
            <w:pPr>
              <w:pStyle w:val="24"/>
              <w:numPr>
                <w:ilvl w:val="3"/>
                <w:numId w:val="0"/>
              </w:numPr>
              <w:jc w:val="center"/>
              <w:rPr>
                <w:color w:val="auto"/>
              </w:rPr>
            </w:pPr>
            <w:r>
              <w:rPr>
                <w:rFonts w:hint="eastAsia"/>
                <w:color w:val="auto"/>
              </w:rPr>
              <w:t>≥40</w:t>
            </w:r>
          </w:p>
        </w:tc>
        <w:tc>
          <w:tcPr>
            <w:tcW w:w="1242" w:type="pct"/>
          </w:tcPr>
          <w:p>
            <w:pPr>
              <w:pStyle w:val="24"/>
              <w:numPr>
                <w:ilvl w:val="3"/>
                <w:numId w:val="0"/>
              </w:numPr>
              <w:jc w:val="center"/>
              <w:rPr>
                <w:color w:val="auto"/>
              </w:rPr>
            </w:pPr>
            <w:r>
              <w:rPr>
                <w:rFonts w:hint="eastAsia"/>
                <w:color w:val="auto"/>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9" w:type="pct"/>
          </w:tcPr>
          <w:p>
            <w:pPr>
              <w:pStyle w:val="24"/>
              <w:numPr>
                <w:ilvl w:val="3"/>
                <w:numId w:val="0"/>
              </w:numPr>
              <w:jc w:val="center"/>
              <w:rPr>
                <w:color w:val="auto"/>
              </w:rPr>
            </w:pPr>
            <w:r>
              <w:rPr>
                <w:rFonts w:hint="eastAsia"/>
                <w:color w:val="auto"/>
              </w:rPr>
              <w:t>体积密度（kg/cm³）</w:t>
            </w:r>
          </w:p>
        </w:tc>
        <w:tc>
          <w:tcPr>
            <w:tcW w:w="1248" w:type="pct"/>
          </w:tcPr>
          <w:p>
            <w:pPr>
              <w:pStyle w:val="24"/>
              <w:numPr>
                <w:ilvl w:val="3"/>
                <w:numId w:val="0"/>
              </w:numPr>
              <w:jc w:val="center"/>
              <w:rPr>
                <w:color w:val="auto"/>
              </w:rPr>
            </w:pPr>
            <w:r>
              <w:rPr>
                <w:rFonts w:hint="eastAsia"/>
                <w:color w:val="auto"/>
              </w:rPr>
              <w:t>≥1.8</w:t>
            </w:r>
          </w:p>
        </w:tc>
        <w:tc>
          <w:tcPr>
            <w:tcW w:w="1242" w:type="pct"/>
          </w:tcPr>
          <w:p>
            <w:pPr>
              <w:pStyle w:val="24"/>
              <w:numPr>
                <w:ilvl w:val="3"/>
                <w:numId w:val="0"/>
              </w:numPr>
              <w:jc w:val="center"/>
              <w:rPr>
                <w:color w:val="auto"/>
              </w:rPr>
            </w:pPr>
            <w:r>
              <w:rPr>
                <w:rFonts w:hint="eastAsia"/>
                <w:color w:val="auto"/>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9" w:type="pct"/>
          </w:tcPr>
          <w:p>
            <w:pPr>
              <w:pStyle w:val="24"/>
              <w:numPr>
                <w:ilvl w:val="3"/>
                <w:numId w:val="0"/>
              </w:numPr>
              <w:jc w:val="center"/>
              <w:rPr>
                <w:color w:val="auto"/>
              </w:rPr>
            </w:pPr>
            <w:r>
              <w:rPr>
                <w:rFonts w:hint="eastAsia"/>
                <w:color w:val="auto"/>
              </w:rPr>
              <w:t>受潮挠度（mm）</w:t>
            </w:r>
          </w:p>
        </w:tc>
        <w:tc>
          <w:tcPr>
            <w:tcW w:w="2490" w:type="pct"/>
            <w:gridSpan w:val="2"/>
          </w:tcPr>
          <w:p>
            <w:pPr>
              <w:pStyle w:val="24"/>
              <w:numPr>
                <w:ilvl w:val="3"/>
                <w:numId w:val="0"/>
              </w:numPr>
              <w:jc w:val="center"/>
              <w:rPr>
                <w:color w:val="auto"/>
              </w:rPr>
            </w:pPr>
            <w:r>
              <w:rPr>
                <w:rFonts w:hint="eastAsia"/>
                <w:color w:val="auto"/>
              </w:rPr>
              <w:t>≤3</w:t>
            </w:r>
          </w:p>
        </w:tc>
      </w:tr>
    </w:tbl>
    <w:p>
      <w:pPr>
        <w:pStyle w:val="24"/>
        <w:numPr>
          <w:ilvl w:val="3"/>
          <w:numId w:val="0"/>
        </w:numPr>
        <w:rPr>
          <w:color w:val="auto"/>
          <w:sz w:val="20"/>
          <w:szCs w:val="20"/>
        </w:rPr>
      </w:pPr>
      <w:r>
        <w:rPr>
          <w:rFonts w:hint="eastAsia"/>
          <w:color w:val="auto"/>
          <w:sz w:val="20"/>
          <w:szCs w:val="20"/>
        </w:rPr>
        <w:t>注：1  吊挂力是指30mm厚平板试件的吊挂力，其他规格GRG的吊挂力应满足设计要求；</w:t>
      </w:r>
    </w:p>
    <w:p>
      <w:pPr>
        <w:rPr>
          <w:color w:val="auto"/>
        </w:rPr>
      </w:pPr>
      <w:r>
        <w:rPr>
          <w:rFonts w:hint="eastAsia"/>
          <w:color w:val="auto"/>
          <w:sz w:val="20"/>
          <w:szCs w:val="20"/>
        </w:rPr>
        <w:t xml:space="preserve">   2   面外受压为承载方向垂直于试件模板面。</w:t>
      </w:r>
    </w:p>
    <w:p>
      <w:pPr>
        <w:pStyle w:val="24"/>
        <w:bidi w:val="0"/>
        <w:rPr>
          <w:color w:val="auto"/>
        </w:rPr>
      </w:pPr>
      <w:r>
        <w:rPr>
          <w:rFonts w:hint="eastAsia"/>
          <w:color w:val="auto"/>
        </w:rPr>
        <w:t>GRG的吸声系数应满足设计要求。 </w:t>
      </w:r>
    </w:p>
    <w:p>
      <w:pPr>
        <w:pStyle w:val="24"/>
        <w:rPr>
          <w:color w:val="auto"/>
        </w:rPr>
      </w:pPr>
      <w:r>
        <w:rPr>
          <w:rFonts w:hint="eastAsia"/>
          <w:color w:val="auto"/>
        </w:rPr>
        <w:t>GRG的燃烧性能应符合现行国家标准《建筑材料及制品燃烧性能分级》GB 8624中A级规定</w:t>
      </w:r>
      <w:r>
        <w:rPr>
          <w:rFonts w:hint="eastAsia" w:ascii="Arial" w:hAnsi="Arial" w:cs="Arial"/>
          <w:color w:val="auto"/>
        </w:rPr>
        <w:t>。</w:t>
      </w:r>
    </w:p>
    <w:p>
      <w:pPr>
        <w:pStyle w:val="24"/>
        <w:bidi w:val="0"/>
        <w:rPr>
          <w:color w:val="auto"/>
        </w:rPr>
      </w:pPr>
      <w:r>
        <w:rPr>
          <w:rFonts w:hint="eastAsia"/>
          <w:color w:val="auto"/>
          <w:lang w:val="en-US" w:eastAsia="zh-CN"/>
        </w:rPr>
        <w:t>GRG</w:t>
      </w:r>
      <w:r>
        <w:rPr>
          <w:rFonts w:hint="eastAsia"/>
          <w:color w:val="auto"/>
        </w:rPr>
        <w:t>材料燃烧性</w:t>
      </w:r>
      <w:r>
        <w:rPr>
          <w:rFonts w:hint="eastAsia"/>
          <w:color w:val="auto"/>
          <w:lang w:val="en-US" w:eastAsia="zh-CN"/>
        </w:rPr>
        <w:t>能</w:t>
      </w:r>
      <w:r>
        <w:rPr>
          <w:rFonts w:hint="eastAsia"/>
          <w:color w:val="auto"/>
        </w:rPr>
        <w:t>应符合现行国家标准《建筑内部装修防火规范》GB50222和《建筑设计防火规范》GB50016的规定。</w:t>
      </w:r>
    </w:p>
    <w:p>
      <w:pPr>
        <w:pStyle w:val="24"/>
        <w:bidi w:val="0"/>
        <w:rPr>
          <w:color w:val="auto"/>
        </w:rPr>
      </w:pPr>
      <w:r>
        <w:rPr>
          <w:rFonts w:hint="eastAsia"/>
          <w:color w:val="auto"/>
          <w:lang w:eastAsia="zh-CN"/>
        </w:rPr>
        <w:t>GRG</w:t>
      </w:r>
      <w:r>
        <w:rPr>
          <w:rFonts w:hint="eastAsia"/>
          <w:color w:val="auto"/>
        </w:rPr>
        <w:t>及其配套材料应符合现行国家</w:t>
      </w:r>
      <w:r>
        <w:rPr>
          <w:rFonts w:hint="eastAsia"/>
          <w:color w:val="auto"/>
          <w:lang w:val="en-US" w:eastAsia="zh-CN"/>
        </w:rPr>
        <w:t>标准</w:t>
      </w:r>
      <w:r>
        <w:rPr>
          <w:rFonts w:hint="eastAsia"/>
          <w:color w:val="auto"/>
        </w:rPr>
        <w:t>《建筑材料放射性核素限量》GB 6566和《室内装饰装修材料 内墙涂料中有害物质限量》GB 18582的有关规定。</w:t>
      </w:r>
    </w:p>
    <w:p>
      <w:pPr>
        <w:pStyle w:val="22"/>
        <w:rPr>
          <w:color w:val="auto"/>
        </w:rPr>
      </w:pPr>
      <w:bookmarkStart w:id="9" w:name="_Toc713"/>
      <w:r>
        <w:rPr>
          <w:rFonts w:hint="eastAsia"/>
          <w:color w:val="auto"/>
        </w:rPr>
        <w:t>接缝材料</w:t>
      </w:r>
      <w:bookmarkEnd w:id="9"/>
    </w:p>
    <w:p>
      <w:pPr>
        <w:pStyle w:val="24"/>
        <w:rPr>
          <w:color w:val="auto"/>
        </w:rPr>
      </w:pPr>
      <w:r>
        <w:rPr>
          <w:rFonts w:hint="eastAsia"/>
          <w:color w:val="auto"/>
          <w:lang w:val="en-US" w:eastAsia="zh-CN"/>
        </w:rPr>
        <w:t>专用</w:t>
      </w:r>
      <w:r>
        <w:rPr>
          <w:rFonts w:hint="eastAsia"/>
          <w:color w:val="auto"/>
        </w:rPr>
        <w:t>填缝剂性能指标应符合表3.2.1的规定。</w:t>
      </w:r>
    </w:p>
    <w:p>
      <w:pPr>
        <w:ind w:firstLine="361"/>
        <w:jc w:val="center"/>
        <w:rPr>
          <w:rFonts w:ascii="宋体" w:hAnsi="宋体" w:eastAsia="宋体"/>
          <w:b/>
          <w:color w:val="auto"/>
          <w:sz w:val="18"/>
        </w:rPr>
      </w:pPr>
      <w:r>
        <w:rPr>
          <w:rFonts w:hint="eastAsia" w:ascii="宋体" w:hAnsi="宋体" w:eastAsia="宋体"/>
          <w:b/>
          <w:color w:val="auto"/>
          <w:sz w:val="18"/>
        </w:rPr>
        <w:t>表3</w:t>
      </w:r>
      <w:r>
        <w:rPr>
          <w:rFonts w:ascii="宋体" w:hAnsi="宋体" w:eastAsia="宋体"/>
          <w:b/>
          <w:color w:val="auto"/>
          <w:sz w:val="18"/>
        </w:rPr>
        <w:t>.2.1</w:t>
      </w:r>
      <w:r>
        <w:rPr>
          <w:rFonts w:hint="eastAsia" w:ascii="宋体" w:hAnsi="宋体" w:eastAsia="宋体"/>
          <w:b/>
          <w:color w:val="auto"/>
          <w:sz w:val="18"/>
          <w:lang w:val="en-US" w:eastAsia="zh-CN"/>
        </w:rPr>
        <w:t>专用</w:t>
      </w:r>
      <w:r>
        <w:rPr>
          <w:rFonts w:hint="eastAsia" w:ascii="宋体" w:hAnsi="宋体" w:eastAsia="宋体"/>
          <w:b/>
          <w:color w:val="auto"/>
          <w:sz w:val="18"/>
        </w:rPr>
        <w:t>填缝剂性能指标</w:t>
      </w:r>
    </w:p>
    <w:tbl>
      <w:tblPr>
        <w:tblStyle w:val="17"/>
        <w:tblW w:w="0" w:type="auto"/>
        <w:tblInd w:w="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1"/>
        <w:gridCol w:w="2446"/>
        <w:gridCol w:w="21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637" w:type="dxa"/>
            <w:gridSpan w:val="2"/>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项目</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性能指标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637" w:type="dxa"/>
            <w:gridSpan w:val="2"/>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初凝时间（min）</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637" w:type="dxa"/>
            <w:gridSpan w:val="2"/>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终凝时间（min）</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191" w:type="dxa"/>
            <w:vMerge w:val="restart"/>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拉伸粘结强度（MPa）</w:t>
            </w:r>
          </w:p>
        </w:tc>
        <w:tc>
          <w:tcPr>
            <w:tcW w:w="2446"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1d</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191" w:type="dxa"/>
            <w:vMerge w:val="continue"/>
            <w:vAlign w:val="center"/>
          </w:tcPr>
          <w:p>
            <w:pPr>
              <w:spacing w:line="220" w:lineRule="atLeast"/>
              <w:jc w:val="center"/>
              <w:rPr>
                <w:rFonts w:hint="eastAsia" w:ascii="宋体" w:hAnsi="宋体" w:eastAsia="宋体" w:cs="宋体"/>
                <w:color w:val="auto"/>
                <w:sz w:val="21"/>
                <w:szCs w:val="21"/>
              </w:rPr>
            </w:pPr>
          </w:p>
        </w:tc>
        <w:tc>
          <w:tcPr>
            <w:tcW w:w="2446"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3d</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191" w:type="dxa"/>
            <w:vMerge w:val="continue"/>
            <w:vAlign w:val="center"/>
          </w:tcPr>
          <w:p>
            <w:pPr>
              <w:spacing w:line="220" w:lineRule="atLeast"/>
              <w:jc w:val="center"/>
              <w:rPr>
                <w:rFonts w:hint="eastAsia" w:ascii="宋体" w:hAnsi="宋体" w:eastAsia="宋体" w:cs="宋体"/>
                <w:color w:val="auto"/>
                <w:sz w:val="21"/>
                <w:szCs w:val="21"/>
              </w:rPr>
            </w:pPr>
          </w:p>
        </w:tc>
        <w:tc>
          <w:tcPr>
            <w:tcW w:w="2446"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浸水</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191" w:type="dxa"/>
            <w:vMerge w:val="continue"/>
            <w:vAlign w:val="center"/>
          </w:tcPr>
          <w:p>
            <w:pPr>
              <w:spacing w:line="220" w:lineRule="atLeast"/>
              <w:jc w:val="center"/>
              <w:rPr>
                <w:rFonts w:hint="eastAsia" w:ascii="宋体" w:hAnsi="宋体" w:eastAsia="宋体" w:cs="宋体"/>
                <w:color w:val="auto"/>
                <w:sz w:val="21"/>
                <w:szCs w:val="21"/>
              </w:rPr>
            </w:pPr>
          </w:p>
        </w:tc>
        <w:tc>
          <w:tcPr>
            <w:tcW w:w="2446"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20min晾置时间</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4637" w:type="dxa"/>
            <w:gridSpan w:val="2"/>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滑移（m</w:t>
            </w:r>
            <w:r>
              <w:rPr>
                <w:rFonts w:hint="eastAsia" w:ascii="宋体" w:hAnsi="宋体" w:eastAsia="宋体" w:cs="宋体"/>
                <w:color w:val="auto"/>
                <w:sz w:val="21"/>
                <w:szCs w:val="21"/>
                <w:lang w:val="en-US" w:eastAsia="zh-CN"/>
              </w:rPr>
              <w:t>m</w:t>
            </w:r>
            <w:r>
              <w:rPr>
                <w:rFonts w:hint="eastAsia" w:ascii="宋体" w:hAnsi="宋体" w:eastAsia="宋体" w:cs="宋体"/>
                <w:color w:val="auto"/>
                <w:sz w:val="21"/>
                <w:szCs w:val="21"/>
              </w:rPr>
              <w:t>）</w:t>
            </w:r>
          </w:p>
        </w:tc>
        <w:tc>
          <w:tcPr>
            <w:tcW w:w="2162" w:type="dxa"/>
            <w:vAlign w:val="center"/>
          </w:tcPr>
          <w:p>
            <w:pPr>
              <w:spacing w:line="220" w:lineRule="atLeast"/>
              <w:jc w:val="center"/>
              <w:rPr>
                <w:rFonts w:hint="eastAsia" w:ascii="宋体" w:hAnsi="宋体" w:eastAsia="宋体" w:cs="宋体"/>
                <w:color w:val="auto"/>
                <w:sz w:val="21"/>
                <w:szCs w:val="21"/>
              </w:rPr>
            </w:pPr>
            <w:r>
              <w:rPr>
                <w:rFonts w:hint="eastAsia" w:ascii="宋体" w:hAnsi="宋体" w:eastAsia="宋体" w:cs="宋体"/>
                <w:color w:val="auto"/>
                <w:sz w:val="21"/>
                <w:szCs w:val="21"/>
              </w:rPr>
              <w:t>≤0.50</w:t>
            </w:r>
          </w:p>
        </w:tc>
      </w:tr>
    </w:tbl>
    <w:p>
      <w:pPr>
        <w:widowControl/>
        <w:jc w:val="left"/>
        <w:rPr>
          <w:rFonts w:hint="eastAsia"/>
          <w:color w:val="auto"/>
          <w:sz w:val="18"/>
        </w:rPr>
      </w:pPr>
      <w:r>
        <w:rPr>
          <w:rFonts w:hint="eastAsia"/>
          <w:color w:val="auto"/>
          <w:sz w:val="18"/>
        </w:rPr>
        <w:t>注：浸水后拉伸粘结强度应为标准试验条件下养护7d后浸水48h测定。专用填缝剂的检验方法应符合现行行业标椎。</w:t>
      </w:r>
    </w:p>
    <w:p>
      <w:pPr>
        <w:pStyle w:val="24"/>
        <w:bidi w:val="0"/>
        <w:rPr>
          <w:rFonts w:hint="eastAsia"/>
          <w:color w:val="auto"/>
        </w:rPr>
      </w:pPr>
      <w:r>
        <w:rPr>
          <w:color w:val="auto"/>
        </w:rPr>
        <w:t>坞绑材料性能指标应符合的表3.2.1的定</w:t>
      </w:r>
      <w:r>
        <w:rPr>
          <w:rFonts w:hint="eastAsia"/>
          <w:color w:val="auto"/>
          <w:lang w:val="en-US" w:eastAsia="zh-CN"/>
        </w:rPr>
        <w:t>。</w:t>
      </w:r>
    </w:p>
    <w:p>
      <w:pPr>
        <w:pStyle w:val="22"/>
        <w:rPr>
          <w:color w:val="auto"/>
        </w:rPr>
      </w:pPr>
      <w:bookmarkStart w:id="10" w:name="_Toc23631"/>
      <w:r>
        <w:rPr>
          <w:rFonts w:hint="eastAsia"/>
          <w:color w:val="auto"/>
        </w:rPr>
        <w:t>固定材料</w:t>
      </w:r>
      <w:bookmarkEnd w:id="10"/>
    </w:p>
    <w:p>
      <w:pPr>
        <w:pStyle w:val="24"/>
        <w:bidi w:val="0"/>
        <w:rPr>
          <w:color w:val="auto"/>
        </w:rPr>
      </w:pPr>
      <w:r>
        <w:rPr>
          <w:rFonts w:hint="eastAsia"/>
          <w:color w:val="auto"/>
          <w:lang w:val="en-US" w:eastAsia="zh-CN"/>
        </w:rPr>
        <w:t>预埋件的</w:t>
      </w:r>
      <w:r>
        <w:rPr>
          <w:rFonts w:hint="eastAsia"/>
          <w:color w:val="auto"/>
        </w:rPr>
        <w:t>钢板及锚筋</w:t>
      </w:r>
      <w:r>
        <w:rPr>
          <w:rFonts w:hint="eastAsia"/>
          <w:color w:val="auto"/>
          <w:lang w:val="en-US" w:eastAsia="zh-CN"/>
        </w:rPr>
        <w:t>应</w:t>
      </w:r>
      <w:r>
        <w:rPr>
          <w:rFonts w:hint="eastAsia"/>
          <w:color w:val="auto"/>
        </w:rPr>
        <w:t>进行热镀锌防锈处理</w:t>
      </w:r>
      <w:r>
        <w:rPr>
          <w:rFonts w:hint="eastAsia"/>
          <w:color w:val="auto"/>
          <w:lang w:eastAsia="zh-CN"/>
        </w:rPr>
        <w:t>，</w:t>
      </w:r>
      <w:r>
        <w:rPr>
          <w:rFonts w:hint="eastAsia"/>
          <w:color w:val="auto"/>
        </w:rPr>
        <w:t>热镀锌镀锌层厚度应大于45微米</w:t>
      </w:r>
      <w:r>
        <w:rPr>
          <w:rFonts w:hint="eastAsia"/>
          <w:color w:val="auto"/>
          <w:lang w:eastAsia="zh-CN"/>
        </w:rPr>
        <w:t>，</w:t>
      </w:r>
      <w:r>
        <w:rPr>
          <w:rFonts w:hint="eastAsia"/>
          <w:color w:val="auto"/>
        </w:rPr>
        <w:t>钢材材质</w:t>
      </w:r>
      <w:r>
        <w:rPr>
          <w:rFonts w:hint="eastAsia"/>
          <w:color w:val="auto"/>
          <w:lang w:val="en-US" w:eastAsia="zh-CN"/>
        </w:rPr>
        <w:t>应</w:t>
      </w:r>
      <w:r>
        <w:rPr>
          <w:rFonts w:hint="eastAsia"/>
          <w:color w:val="auto"/>
        </w:rPr>
        <w:t>为Q235</w:t>
      </w:r>
      <w:r>
        <w:rPr>
          <w:rFonts w:hint="eastAsia"/>
          <w:color w:val="auto"/>
          <w:lang w:eastAsia="zh-CN"/>
        </w:rPr>
        <w:t>。</w:t>
      </w:r>
    </w:p>
    <w:p>
      <w:pPr>
        <w:pStyle w:val="24"/>
        <w:bidi w:val="0"/>
        <w:rPr>
          <w:color w:val="auto"/>
        </w:rPr>
      </w:pPr>
      <w:r>
        <w:rPr>
          <w:rFonts w:hint="eastAsia"/>
          <w:color w:val="auto"/>
        </w:rPr>
        <w:t>后</w:t>
      </w:r>
      <w:r>
        <w:rPr>
          <w:rFonts w:hint="eastAsia"/>
          <w:color w:val="auto"/>
          <w:lang w:val="en-US" w:eastAsia="zh-CN"/>
        </w:rPr>
        <w:t>植埋</w:t>
      </w:r>
      <w:r>
        <w:rPr>
          <w:rFonts w:hint="eastAsia"/>
          <w:color w:val="auto"/>
        </w:rPr>
        <w:t>件</w:t>
      </w:r>
      <w:r>
        <w:rPr>
          <w:rFonts w:hint="eastAsia"/>
          <w:color w:val="auto"/>
          <w:lang w:val="en-US" w:eastAsia="zh-CN"/>
        </w:rPr>
        <w:t>应</w:t>
      </w:r>
      <w:r>
        <w:rPr>
          <w:rFonts w:hint="eastAsia"/>
          <w:color w:val="auto"/>
        </w:rPr>
        <w:t>采用不锈钢螺栓，</w:t>
      </w:r>
      <w:r>
        <w:rPr>
          <w:rFonts w:hint="eastAsia"/>
          <w:color w:val="auto"/>
          <w:lang w:val="en-US" w:eastAsia="zh-CN"/>
        </w:rPr>
        <w:t>其材质应为</w:t>
      </w:r>
      <w:r>
        <w:rPr>
          <w:rFonts w:hint="eastAsia"/>
          <w:color w:val="auto"/>
        </w:rPr>
        <w:t>奥氏体不锈钢</w:t>
      </w:r>
      <w:r>
        <w:rPr>
          <w:rFonts w:hint="eastAsia"/>
          <w:color w:val="auto"/>
          <w:lang w:eastAsia="zh-CN"/>
        </w:rPr>
        <w:t>。</w:t>
      </w:r>
    </w:p>
    <w:p>
      <w:pPr>
        <w:pStyle w:val="24"/>
        <w:bidi w:val="0"/>
        <w:rPr>
          <w:color w:val="auto"/>
        </w:rPr>
      </w:pPr>
      <w:r>
        <w:rPr>
          <w:rFonts w:hint="eastAsia"/>
          <w:color w:val="auto"/>
          <w:lang w:val="en-US" w:eastAsia="zh-CN"/>
        </w:rPr>
        <w:t>GRG与钢骨架、GRG之间的连接件应</w:t>
      </w:r>
      <w:r>
        <w:rPr>
          <w:rFonts w:hint="eastAsia"/>
          <w:color w:val="auto"/>
        </w:rPr>
        <w:t>采用热镀锌构件</w:t>
      </w:r>
      <w:r>
        <w:rPr>
          <w:rFonts w:hint="eastAsia"/>
          <w:color w:val="auto"/>
          <w:lang w:val="en-US" w:eastAsia="zh-CN"/>
        </w:rPr>
        <w:t>或奥氏体不锈钢构件</w:t>
      </w:r>
      <w:r>
        <w:rPr>
          <w:rFonts w:hint="eastAsia"/>
          <w:color w:val="auto"/>
        </w:rPr>
        <w:t>。</w:t>
      </w:r>
    </w:p>
    <w:p>
      <w:pPr>
        <w:pStyle w:val="24"/>
        <w:bidi w:val="0"/>
        <w:rPr>
          <w:color w:val="auto"/>
        </w:rPr>
      </w:pPr>
      <w:r>
        <w:rPr>
          <w:color w:val="auto"/>
        </w:rPr>
        <w:t>钢骨架所用型钢材质应采用Q235 并进行热镀锌处理，型材壁厚不应小于3mm</w:t>
      </w:r>
      <w:r>
        <w:rPr>
          <w:rFonts w:hint="eastAsia"/>
          <w:color w:val="auto"/>
          <w:lang w:eastAsia="zh-CN"/>
        </w:rPr>
        <w:t>，</w:t>
      </w:r>
      <w:r>
        <w:rPr>
          <w:color w:val="auto"/>
        </w:rPr>
        <w:t>热镀锌层厚度不应小于75微米。</w:t>
      </w:r>
    </w:p>
    <w:p>
      <w:pPr>
        <w:pStyle w:val="24"/>
        <w:bidi w:val="0"/>
        <w:rPr>
          <w:color w:val="auto"/>
        </w:rPr>
      </w:pPr>
      <w:r>
        <w:rPr>
          <w:rFonts w:hint="eastAsia" w:eastAsiaTheme="minorEastAsia" w:cstheme="minorBidi"/>
          <w:color w:val="auto"/>
          <w:kern w:val="2"/>
          <w:sz w:val="21"/>
          <w:szCs w:val="21"/>
          <w:lang w:val="en-US" w:eastAsia="zh-CN" w:bidi="ar-SA"/>
        </w:rPr>
        <w:t>钢骨架所用型钢的规格</w:t>
      </w:r>
      <w:r>
        <w:rPr>
          <w:rFonts w:hint="eastAsia" w:asciiTheme="minorHAnsi" w:hAnsiTheme="minorHAnsi" w:eastAsiaTheme="minorEastAsia" w:cstheme="minorBidi"/>
          <w:color w:val="auto"/>
          <w:kern w:val="2"/>
          <w:sz w:val="21"/>
          <w:szCs w:val="21"/>
          <w:lang w:val="en-US" w:eastAsia="zh-CN" w:bidi="ar-SA"/>
        </w:rPr>
        <w:t>应通过计算确定，</w:t>
      </w:r>
      <w:r>
        <w:rPr>
          <w:rFonts w:hint="eastAsia" w:eastAsiaTheme="minorEastAsia" w:cstheme="minorBidi"/>
          <w:color w:val="auto"/>
          <w:kern w:val="2"/>
          <w:sz w:val="21"/>
          <w:szCs w:val="21"/>
          <w:lang w:val="en-US" w:eastAsia="zh-CN" w:bidi="ar-SA"/>
        </w:rPr>
        <w:t>且最小壁</w:t>
      </w:r>
      <w:r>
        <w:rPr>
          <w:rFonts w:hint="eastAsia" w:asciiTheme="minorHAnsi" w:hAnsiTheme="minorHAnsi" w:eastAsiaTheme="minorEastAsia" w:cstheme="minorBidi"/>
          <w:color w:val="auto"/>
          <w:kern w:val="2"/>
          <w:sz w:val="21"/>
          <w:szCs w:val="21"/>
          <w:lang w:val="en-US" w:eastAsia="zh-CN" w:bidi="ar-SA"/>
        </w:rPr>
        <w:t>厚</w:t>
      </w:r>
      <w:r>
        <w:rPr>
          <w:rFonts w:hint="eastAsia" w:eastAsiaTheme="minorEastAsia" w:cstheme="minorBidi"/>
          <w:color w:val="auto"/>
          <w:kern w:val="2"/>
          <w:sz w:val="21"/>
          <w:szCs w:val="21"/>
          <w:lang w:val="en-US" w:eastAsia="zh-CN" w:bidi="ar-SA"/>
        </w:rPr>
        <w:t>应</w:t>
      </w:r>
      <w:r>
        <w:rPr>
          <w:rFonts w:hint="eastAsia" w:asciiTheme="minorHAnsi" w:hAnsiTheme="minorHAnsi" w:eastAsiaTheme="minorEastAsia" w:cstheme="minorBidi"/>
          <w:color w:val="auto"/>
          <w:kern w:val="2"/>
          <w:sz w:val="21"/>
          <w:szCs w:val="21"/>
          <w:lang w:val="en-US" w:eastAsia="zh-CN" w:bidi="ar-SA"/>
        </w:rPr>
        <w:t>不小于3mm</w:t>
      </w:r>
      <w:r>
        <w:rPr>
          <w:rFonts w:hint="eastAsia" w:eastAsiaTheme="minorEastAsia" w:cstheme="minorBidi"/>
          <w:color w:val="auto"/>
          <w:kern w:val="2"/>
          <w:sz w:val="21"/>
          <w:szCs w:val="21"/>
          <w:lang w:val="en-US" w:eastAsia="zh-CN" w:bidi="ar-SA"/>
        </w:rPr>
        <w:t>。</w:t>
      </w:r>
    </w:p>
    <w:p>
      <w:pPr>
        <w:pStyle w:val="24"/>
        <w:bidi w:val="0"/>
        <w:rPr>
          <w:color w:val="auto"/>
        </w:rPr>
      </w:pPr>
      <w:r>
        <w:rPr>
          <w:color w:val="auto"/>
        </w:rPr>
        <w:t>钢骨架所用型钢的抗拉强度、伸长率、屈服强度的限值应满足现行国家标准《碳素钢结构》GB/T700的规定</w:t>
      </w:r>
      <w:r>
        <w:rPr>
          <w:rFonts w:hint="eastAsia" w:eastAsiaTheme="minorEastAsia" w:cstheme="minorBidi"/>
          <w:color w:val="auto"/>
          <w:kern w:val="2"/>
          <w:sz w:val="21"/>
          <w:szCs w:val="21"/>
          <w:lang w:val="en-US" w:eastAsia="zh-CN" w:bidi="ar-SA"/>
        </w:rPr>
        <w:t>。</w:t>
      </w:r>
      <w:r>
        <w:rPr>
          <w:color w:val="auto"/>
        </w:rPr>
        <w:br w:type="page"/>
      </w:r>
    </w:p>
    <w:p>
      <w:pPr>
        <w:pStyle w:val="22"/>
        <w:rPr>
          <w:color w:val="auto"/>
        </w:rPr>
      </w:pPr>
      <w:bookmarkStart w:id="11" w:name="_Toc26352"/>
      <w:r>
        <w:rPr>
          <w:rFonts w:hint="eastAsia"/>
          <w:color w:val="auto"/>
        </w:rPr>
        <w:t>饰面层</w:t>
      </w:r>
      <w:bookmarkEnd w:id="11"/>
    </w:p>
    <w:p>
      <w:pPr>
        <w:pStyle w:val="24"/>
        <w:rPr>
          <w:color w:val="auto"/>
        </w:rPr>
      </w:pPr>
      <w:r>
        <w:rPr>
          <w:color w:val="auto"/>
        </w:rPr>
        <w:t>GRG做表面装饰时，必须保持板面干燥、平整，含水率控制在0.2%面密度。严禁采用湿贴饰面材料</w:t>
      </w:r>
      <w:r>
        <w:rPr>
          <w:rFonts w:hint="eastAsia"/>
          <w:color w:val="auto"/>
        </w:rPr>
        <w:t>。</w:t>
      </w:r>
    </w:p>
    <w:p>
      <w:pPr>
        <w:pStyle w:val="24"/>
        <w:rPr>
          <w:color w:val="auto"/>
        </w:rPr>
      </w:pPr>
      <w:r>
        <w:rPr>
          <w:color w:val="auto"/>
        </w:rPr>
        <w:t>GRG做表面装饰时，应用柔软、干燥的物品做表面处理，严禁采用尖锐或重物撞击GRG板材</w:t>
      </w:r>
      <w:r>
        <w:rPr>
          <w:rFonts w:hint="eastAsia"/>
          <w:color w:val="auto"/>
        </w:rPr>
        <w:t>。</w:t>
      </w:r>
    </w:p>
    <w:p>
      <w:pPr>
        <w:pStyle w:val="24"/>
        <w:rPr>
          <w:color w:val="auto"/>
        </w:rPr>
      </w:pPr>
      <w:r>
        <w:rPr>
          <w:color w:val="auto"/>
        </w:rPr>
        <w:t>GRG饰面材料与基层应黏贴良好，不得空鼓开裂</w:t>
      </w:r>
      <w:r>
        <w:rPr>
          <w:rFonts w:hint="eastAsia"/>
          <w:color w:val="auto"/>
          <w:lang w:eastAsia="zh-CN"/>
        </w:rPr>
        <w:t>。</w:t>
      </w:r>
    </w:p>
    <w:p>
      <w:pPr>
        <w:pStyle w:val="24"/>
        <w:rPr>
          <w:color w:val="auto"/>
        </w:rPr>
      </w:pPr>
      <w:r>
        <w:rPr>
          <w:rFonts w:hint="eastAsia" w:ascii="微软雅黑" w:hAnsi="微软雅黑" w:cs="Arial"/>
          <w:color w:val="auto"/>
          <w:shd w:val="clear" w:color="auto" w:fill="FFFFFF"/>
        </w:rPr>
        <w:t>墙纸裱糊（含金银箔）应符合</w:t>
      </w:r>
      <w:r>
        <w:rPr>
          <w:rFonts w:hint="eastAsia"/>
          <w:color w:val="auto"/>
        </w:rPr>
        <w:t>国家现行标准《建筑工程施工质量验收统一标准》GB 50300、《建筑装饰装修工程质量验收规范》GB 50210有关规定。</w:t>
      </w:r>
    </w:p>
    <w:p>
      <w:pPr>
        <w:pStyle w:val="24"/>
        <w:rPr>
          <w:color w:val="auto"/>
        </w:rPr>
      </w:pPr>
      <w:r>
        <w:rPr>
          <w:rFonts w:hint="eastAsia" w:ascii="微软雅黑" w:hAnsi="微软雅黑" w:cs="Arial"/>
          <w:color w:val="auto"/>
          <w:shd w:val="clear" w:color="auto" w:fill="FFFFFF"/>
        </w:rPr>
        <w:t>绘画应符合设计施工图纸要求及说明。</w:t>
      </w:r>
      <w:r>
        <w:rPr>
          <w:color w:val="auto"/>
        </w:rPr>
        <w:br w:type="page"/>
      </w:r>
    </w:p>
    <w:p>
      <w:pPr>
        <w:pStyle w:val="21"/>
        <w:ind w:firstLine="560"/>
        <w:rPr>
          <w:color w:val="auto"/>
        </w:rPr>
      </w:pPr>
      <w:bookmarkStart w:id="12" w:name="_Toc67384439"/>
      <w:bookmarkStart w:id="13" w:name="_Toc99"/>
      <w:r>
        <w:rPr>
          <w:rFonts w:hint="eastAsia"/>
          <w:color w:val="auto"/>
        </w:rPr>
        <w:t>深化设计</w:t>
      </w:r>
      <w:bookmarkEnd w:id="12"/>
      <w:bookmarkEnd w:id="13"/>
    </w:p>
    <w:p>
      <w:pPr>
        <w:pStyle w:val="22"/>
        <w:ind w:firstLine="422"/>
        <w:rPr>
          <w:color w:val="auto"/>
        </w:rPr>
      </w:pPr>
      <w:bookmarkStart w:id="14" w:name="_Toc67384440"/>
      <w:bookmarkEnd w:id="14"/>
      <w:bookmarkStart w:id="15" w:name="_Toc19254"/>
      <w:r>
        <w:rPr>
          <w:rFonts w:hint="eastAsia"/>
          <w:color w:val="auto"/>
        </w:rPr>
        <w:t>一般规定</w:t>
      </w:r>
      <w:bookmarkEnd w:id="15"/>
    </w:p>
    <w:p>
      <w:pPr>
        <w:pStyle w:val="24"/>
        <w:bidi w:val="0"/>
        <w:rPr>
          <w:color w:val="auto"/>
        </w:rPr>
      </w:pPr>
      <w:r>
        <w:rPr>
          <w:rFonts w:hint="eastAsia"/>
          <w:color w:val="auto"/>
          <w:lang w:val="en-US" w:eastAsia="zh-CN"/>
        </w:rPr>
        <w:t>GRG装饰工程的深化设计单位应具备相应的设计资质。</w:t>
      </w:r>
    </w:p>
    <w:p>
      <w:pPr>
        <w:pStyle w:val="24"/>
        <w:bidi w:val="0"/>
        <w:rPr>
          <w:color w:val="auto"/>
        </w:rPr>
      </w:pPr>
      <w:r>
        <w:rPr>
          <w:rFonts w:hint="eastAsia"/>
          <w:color w:val="auto"/>
          <w:lang w:val="en-US" w:eastAsia="zh-CN"/>
        </w:rPr>
        <w:t>GRG装饰工程的深化设计应满足原装饰设计图的相关要求。</w:t>
      </w:r>
    </w:p>
    <w:p>
      <w:pPr>
        <w:pStyle w:val="24"/>
        <w:bidi w:val="0"/>
        <w:rPr>
          <w:color w:val="auto"/>
        </w:rPr>
      </w:pPr>
      <w:r>
        <w:rPr>
          <w:rFonts w:hint="eastAsia"/>
          <w:color w:val="auto"/>
          <w:lang w:val="en-US" w:eastAsia="zh-CN"/>
        </w:rPr>
        <w:t>GRG装饰工程的深化设计宜采用设计建筑信息模型、现场实测模型进行钢骨架与主体结构、机电管线的碰撞检查。</w:t>
      </w:r>
    </w:p>
    <w:p>
      <w:pPr>
        <w:rPr>
          <w:color w:val="auto"/>
        </w:rPr>
      </w:pPr>
    </w:p>
    <w:p>
      <w:pPr>
        <w:pStyle w:val="22"/>
        <w:rPr>
          <w:color w:val="auto"/>
        </w:rPr>
      </w:pPr>
      <w:bookmarkStart w:id="16" w:name="_Toc7085"/>
      <w:r>
        <w:rPr>
          <w:rFonts w:hint="eastAsia"/>
          <w:color w:val="auto"/>
          <w:lang w:val="en-US" w:eastAsia="zh-CN"/>
        </w:rPr>
        <w:t>钢骨架</w:t>
      </w:r>
      <w:r>
        <w:rPr>
          <w:rFonts w:hint="eastAsia"/>
          <w:color w:val="auto"/>
        </w:rPr>
        <w:t>设计</w:t>
      </w:r>
      <w:bookmarkEnd w:id="16"/>
    </w:p>
    <w:p>
      <w:pPr>
        <w:pStyle w:val="24"/>
        <w:bidi w:val="0"/>
        <w:rPr>
          <w:color w:val="auto"/>
        </w:rPr>
      </w:pPr>
      <w:r>
        <w:rPr>
          <w:rFonts w:hint="eastAsia"/>
          <w:color w:val="auto"/>
          <w:lang w:val="en-US" w:eastAsia="zh-CN"/>
        </w:rPr>
        <w:t>钢骨架设计不得影响建筑结构安全及使用功能，当钢骨架荷载大于建筑主体结构设计荷载时，应由原结构设计单位或具备相应资质的设计单位进行复核</w:t>
      </w:r>
      <w:r>
        <w:rPr>
          <w:rFonts w:hint="eastAsia"/>
          <w:color w:val="auto"/>
        </w:rPr>
        <w:t>。</w:t>
      </w:r>
    </w:p>
    <w:p>
      <w:pPr>
        <w:pStyle w:val="24"/>
        <w:bidi w:val="0"/>
        <w:rPr>
          <w:color w:val="auto"/>
        </w:rPr>
      </w:pPr>
      <w:r>
        <w:rPr>
          <w:rFonts w:hint="eastAsia"/>
          <w:color w:val="auto"/>
          <w:lang w:val="en-US" w:eastAsia="zh-CN"/>
        </w:rPr>
        <w:t>钢骨架不得作为建筑主体结构承载构件。</w:t>
      </w:r>
    </w:p>
    <w:p>
      <w:pPr>
        <w:pStyle w:val="24"/>
        <w:bidi w:val="0"/>
        <w:rPr>
          <w:color w:val="auto"/>
        </w:rPr>
      </w:pPr>
      <w:r>
        <w:rPr>
          <w:rFonts w:hint="eastAsia"/>
          <w:color w:val="auto"/>
          <w:lang w:val="en-US" w:eastAsia="zh-CN"/>
        </w:rPr>
        <w:t>钢骨架的抗震设防要求应满足《建筑抗震设计规范》GB50011的相关规定。</w:t>
      </w:r>
    </w:p>
    <w:p>
      <w:pPr>
        <w:pStyle w:val="24"/>
        <w:bidi w:val="0"/>
        <w:rPr>
          <w:color w:val="auto"/>
        </w:rPr>
      </w:pPr>
      <w:r>
        <w:rPr>
          <w:rFonts w:hint="eastAsia"/>
          <w:color w:val="auto"/>
          <w:lang w:val="en-US" w:eastAsia="zh-CN"/>
        </w:rPr>
        <w:t>当设置钢结构转换层时，钢结构转换层应进行结构承载力计算。</w:t>
      </w:r>
    </w:p>
    <w:p>
      <w:pPr>
        <w:pStyle w:val="24"/>
        <w:bidi w:val="0"/>
        <w:rPr>
          <w:color w:val="auto"/>
        </w:rPr>
      </w:pPr>
      <w:r>
        <w:rPr>
          <w:rFonts w:hint="eastAsia"/>
          <w:color w:val="auto"/>
          <w:lang w:val="en-US" w:eastAsia="zh-CN"/>
        </w:rPr>
        <w:t>GRG装饰工程的钢骨架和GRG不应跨越建筑变形缝。</w:t>
      </w:r>
    </w:p>
    <w:p>
      <w:pPr>
        <w:pStyle w:val="22"/>
        <w:bidi w:val="0"/>
        <w:rPr>
          <w:color w:val="auto"/>
        </w:rPr>
      </w:pPr>
      <w:bookmarkStart w:id="17" w:name="_Toc29737"/>
      <w:r>
        <w:rPr>
          <w:rFonts w:hint="eastAsia"/>
          <w:color w:val="auto"/>
          <w:lang w:val="en-US" w:eastAsia="zh-CN"/>
        </w:rPr>
        <w:t>GRG深化设计</w:t>
      </w:r>
      <w:bookmarkEnd w:id="17"/>
    </w:p>
    <w:p>
      <w:pPr>
        <w:pStyle w:val="24"/>
        <w:bidi w:val="0"/>
        <w:rPr>
          <w:color w:val="auto"/>
        </w:rPr>
      </w:pPr>
      <w:r>
        <w:rPr>
          <w:rFonts w:hint="eastAsia"/>
          <w:color w:val="auto"/>
          <w:lang w:val="en-US" w:eastAsia="zh-CN"/>
        </w:rPr>
        <w:t>GRG的板块尺寸应满足加工、堆放、运输和安装的要求。</w:t>
      </w:r>
    </w:p>
    <w:p>
      <w:pPr>
        <w:pStyle w:val="24"/>
        <w:bidi w:val="0"/>
        <w:rPr>
          <w:color w:val="auto"/>
        </w:rPr>
      </w:pPr>
      <w:r>
        <w:rPr>
          <w:rFonts w:hint="eastAsia"/>
          <w:color w:val="auto"/>
          <w:lang w:val="en-US" w:eastAsia="zh-CN"/>
        </w:rPr>
        <w:t>GRG的厚度不宜小于12mm，固定点间距不应大于300mm。</w:t>
      </w:r>
    </w:p>
    <w:p>
      <w:pPr>
        <w:pStyle w:val="24"/>
        <w:bidi w:val="0"/>
        <w:rPr>
          <w:color w:val="auto"/>
        </w:rPr>
      </w:pPr>
      <w:r>
        <w:rPr>
          <w:rFonts w:hint="eastAsia"/>
          <w:color w:val="auto"/>
          <w:lang w:val="en-US" w:eastAsia="zh-CN"/>
        </w:rPr>
        <w:t>GRG深化设计应满足末端设备安装位置和安装方式的要求。</w:t>
      </w:r>
    </w:p>
    <w:p>
      <w:pPr>
        <w:pStyle w:val="24"/>
        <w:bidi w:val="0"/>
        <w:rPr>
          <w:color w:val="auto"/>
        </w:rPr>
      </w:pPr>
      <w:r>
        <w:rPr>
          <w:rFonts w:hint="eastAsia"/>
          <w:color w:val="auto"/>
          <w:lang w:val="en-US" w:eastAsia="zh-CN"/>
        </w:rPr>
        <w:t>GRG的接缝应设置防开裂构造。</w:t>
      </w:r>
    </w:p>
    <w:p>
      <w:pPr>
        <w:pStyle w:val="29"/>
        <w:ind w:left="0" w:leftChars="0" w:firstLine="0" w:firstLineChars="0"/>
        <w:rPr>
          <w:color w:val="auto"/>
        </w:rPr>
      </w:pPr>
      <w:r>
        <w:rPr>
          <w:color w:val="auto"/>
        </w:rPr>
        <w:br w:type="page"/>
      </w:r>
    </w:p>
    <w:p>
      <w:pPr>
        <w:pStyle w:val="21"/>
        <w:bidi w:val="0"/>
        <w:rPr>
          <w:color w:val="auto"/>
        </w:rPr>
      </w:pPr>
      <w:bookmarkStart w:id="18" w:name="_Toc67384441"/>
      <w:bookmarkStart w:id="19" w:name="_Toc14079"/>
      <w:r>
        <w:rPr>
          <w:rFonts w:hint="eastAsia"/>
          <w:color w:val="auto"/>
        </w:rPr>
        <w:t>加工制作</w:t>
      </w:r>
      <w:bookmarkEnd w:id="18"/>
      <w:bookmarkEnd w:id="19"/>
    </w:p>
    <w:p>
      <w:pPr>
        <w:pStyle w:val="22"/>
        <w:bidi w:val="0"/>
        <w:rPr>
          <w:color w:val="auto"/>
        </w:rPr>
      </w:pPr>
      <w:bookmarkStart w:id="20" w:name="_Toc19404"/>
      <w:r>
        <w:rPr>
          <w:rFonts w:hint="eastAsia"/>
          <w:color w:val="auto"/>
        </w:rPr>
        <w:t>一般规定</w:t>
      </w:r>
      <w:bookmarkEnd w:id="20"/>
    </w:p>
    <w:p>
      <w:pPr>
        <w:pStyle w:val="24"/>
        <w:bidi w:val="0"/>
        <w:rPr>
          <w:color w:val="auto"/>
        </w:rPr>
      </w:pPr>
      <w:r>
        <w:rPr>
          <w:rFonts w:hint="eastAsia"/>
          <w:color w:val="auto"/>
          <w:lang w:val="en-US" w:eastAsia="zh-CN"/>
        </w:rPr>
        <w:t>GRG</w:t>
      </w:r>
      <w:r>
        <w:rPr>
          <w:rFonts w:hint="eastAsia"/>
          <w:color w:val="auto"/>
        </w:rPr>
        <w:t>加工</w:t>
      </w:r>
      <w:r>
        <w:rPr>
          <w:rFonts w:hint="eastAsia"/>
          <w:color w:val="auto"/>
          <w:lang w:val="en-US" w:eastAsia="zh-CN"/>
        </w:rPr>
        <w:t>制作</w:t>
      </w:r>
      <w:r>
        <w:rPr>
          <w:rFonts w:hint="eastAsia"/>
          <w:color w:val="auto"/>
        </w:rPr>
        <w:t>厂家应建立施工质量控制制度和检验制度。</w:t>
      </w:r>
    </w:p>
    <w:p>
      <w:pPr>
        <w:pStyle w:val="24"/>
        <w:bidi w:val="0"/>
        <w:rPr>
          <w:color w:val="auto"/>
        </w:rPr>
      </w:pPr>
      <w:r>
        <w:rPr>
          <w:rFonts w:hint="eastAsia"/>
          <w:color w:val="auto"/>
          <w:lang w:val="en-US" w:eastAsia="zh-CN"/>
        </w:rPr>
        <w:t>GRG加工制作应按照经设计认可的深化设计图纸进行</w:t>
      </w:r>
      <w:r>
        <w:rPr>
          <w:rFonts w:hint="eastAsia"/>
          <w:color w:val="auto"/>
        </w:rPr>
        <w:t>。</w:t>
      </w:r>
    </w:p>
    <w:p>
      <w:pPr>
        <w:pStyle w:val="22"/>
        <w:bidi w:val="0"/>
        <w:rPr>
          <w:color w:val="auto"/>
        </w:rPr>
      </w:pPr>
      <w:bookmarkStart w:id="21" w:name="_Toc28392"/>
      <w:r>
        <w:rPr>
          <w:rFonts w:hint="eastAsia"/>
          <w:color w:val="auto"/>
          <w:lang w:eastAsia="zh-CN"/>
        </w:rPr>
        <w:t>GRG</w:t>
      </w:r>
      <w:r>
        <w:rPr>
          <w:rFonts w:hint="eastAsia"/>
          <w:color w:val="auto"/>
        </w:rPr>
        <w:t>加工制作</w:t>
      </w:r>
      <w:bookmarkEnd w:id="21"/>
    </w:p>
    <w:p>
      <w:pPr>
        <w:pStyle w:val="24"/>
        <w:bidi w:val="0"/>
        <w:rPr>
          <w:color w:val="auto"/>
        </w:rPr>
      </w:pPr>
      <w:r>
        <w:rPr>
          <w:rFonts w:hint="eastAsia"/>
          <w:color w:val="auto"/>
          <w:lang w:val="en-US" w:eastAsia="zh-CN"/>
        </w:rPr>
        <w:t>每块GRG均应按照图纸设计分格图或加工编号图标识清晰。</w:t>
      </w:r>
    </w:p>
    <w:p>
      <w:pPr>
        <w:pStyle w:val="24"/>
        <w:bidi w:val="0"/>
        <w:rPr>
          <w:color w:val="auto"/>
        </w:rPr>
      </w:pPr>
      <w:r>
        <w:rPr>
          <w:rFonts w:hint="eastAsia"/>
          <w:color w:val="auto"/>
        </w:rPr>
        <w:t>GRG的</w:t>
      </w:r>
      <w:r>
        <w:rPr>
          <w:rFonts w:hint="eastAsia"/>
          <w:color w:val="auto"/>
          <w:lang w:val="en-US" w:eastAsia="zh-CN"/>
        </w:rPr>
        <w:t>加工制作</w:t>
      </w:r>
      <w:r>
        <w:rPr>
          <w:rFonts w:hint="eastAsia"/>
          <w:color w:val="auto"/>
        </w:rPr>
        <w:t>尺寸允许偏差应符合表5.2.</w:t>
      </w:r>
      <w:r>
        <w:rPr>
          <w:rFonts w:hint="eastAsia"/>
          <w:color w:val="auto"/>
          <w:lang w:val="en-US" w:eastAsia="zh-CN"/>
        </w:rPr>
        <w:t>2</w:t>
      </w:r>
      <w:r>
        <w:rPr>
          <w:rFonts w:hint="eastAsia"/>
          <w:color w:val="auto"/>
        </w:rPr>
        <w:t>的规定</w:t>
      </w:r>
      <w:r>
        <w:rPr>
          <w:rFonts w:hint="eastAsia"/>
          <w:color w:val="auto"/>
          <w:lang w:eastAsia="zh-CN"/>
        </w:rPr>
        <w:t>。</w:t>
      </w:r>
    </w:p>
    <w:p>
      <w:pPr>
        <w:spacing w:line="360" w:lineRule="auto"/>
        <w:jc w:val="center"/>
        <w:rPr>
          <w:b/>
          <w:bCs/>
          <w:color w:val="auto"/>
          <w:sz w:val="18"/>
          <w:szCs w:val="18"/>
        </w:rPr>
      </w:pPr>
      <w:r>
        <w:rPr>
          <w:rFonts w:hint="eastAsia"/>
          <w:b/>
          <w:bCs/>
          <w:color w:val="auto"/>
          <w:sz w:val="18"/>
          <w:szCs w:val="18"/>
        </w:rPr>
        <w:t>表5.2.</w:t>
      </w:r>
      <w:r>
        <w:rPr>
          <w:rFonts w:hint="eastAsia"/>
          <w:b/>
          <w:bCs/>
          <w:color w:val="auto"/>
          <w:sz w:val="18"/>
          <w:szCs w:val="18"/>
          <w:lang w:val="en-US" w:eastAsia="zh-CN"/>
        </w:rPr>
        <w:t>2</w:t>
      </w:r>
      <w:r>
        <w:rPr>
          <w:rFonts w:hint="eastAsia"/>
          <w:b/>
          <w:bCs/>
          <w:color w:val="auto"/>
          <w:sz w:val="18"/>
          <w:szCs w:val="18"/>
        </w:rPr>
        <w:t xml:space="preserve">   GRG的</w:t>
      </w:r>
      <w:r>
        <w:rPr>
          <w:rFonts w:hint="eastAsia"/>
          <w:b/>
          <w:bCs/>
          <w:color w:val="auto"/>
          <w:sz w:val="18"/>
          <w:szCs w:val="18"/>
          <w:lang w:val="en-US" w:eastAsia="zh-CN"/>
        </w:rPr>
        <w:t>加工制作</w:t>
      </w:r>
      <w:r>
        <w:rPr>
          <w:rFonts w:hint="eastAsia"/>
          <w:b/>
          <w:bCs/>
          <w:color w:val="auto"/>
          <w:sz w:val="18"/>
          <w:szCs w:val="18"/>
        </w:rPr>
        <w:t>尺寸允许偏差</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0"/>
        <w:gridCol w:w="1332"/>
        <w:gridCol w:w="2040"/>
        <w:gridCol w:w="26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tcPr>
          <w:p>
            <w:pPr>
              <w:spacing w:line="360" w:lineRule="auto"/>
              <w:jc w:val="center"/>
              <w:rPr>
                <w:rFonts w:hint="default" w:eastAsia="宋体"/>
                <w:color w:val="auto"/>
                <w:lang w:val="en-US" w:eastAsia="zh-CN"/>
              </w:rPr>
            </w:pPr>
            <w:r>
              <w:rPr>
                <w:rFonts w:hint="eastAsia" w:eastAsia="宋体"/>
                <w:color w:val="auto"/>
                <w:lang w:val="en-US" w:eastAsia="zh-CN"/>
              </w:rPr>
              <w:t>项次</w:t>
            </w:r>
          </w:p>
        </w:tc>
        <w:tc>
          <w:tcPr>
            <w:tcW w:w="1332" w:type="dxa"/>
          </w:tcPr>
          <w:p>
            <w:pPr>
              <w:spacing w:line="360" w:lineRule="auto"/>
              <w:jc w:val="center"/>
              <w:rPr>
                <w:rFonts w:hint="eastAsia" w:eastAsia="宋体"/>
                <w:color w:val="auto"/>
                <w:lang w:val="en-US" w:eastAsia="zh-CN"/>
              </w:rPr>
            </w:pPr>
            <w:r>
              <w:rPr>
                <w:rFonts w:hint="eastAsia" w:eastAsia="宋体"/>
                <w:color w:val="auto"/>
                <w:lang w:val="en-US" w:eastAsia="zh-CN"/>
              </w:rPr>
              <w:t>项目</w:t>
            </w:r>
          </w:p>
        </w:tc>
        <w:tc>
          <w:tcPr>
            <w:tcW w:w="2040" w:type="dxa"/>
          </w:tcPr>
          <w:p>
            <w:pPr>
              <w:spacing w:line="360" w:lineRule="auto"/>
              <w:jc w:val="center"/>
              <w:rPr>
                <w:rFonts w:hint="default" w:eastAsia="宋体"/>
                <w:color w:val="auto"/>
                <w:lang w:val="en-US" w:eastAsia="zh-CN"/>
              </w:rPr>
            </w:pPr>
            <w:r>
              <w:rPr>
                <w:rFonts w:hint="eastAsia" w:eastAsia="宋体"/>
                <w:color w:val="auto"/>
                <w:lang w:val="en-US" w:eastAsia="zh-CN"/>
              </w:rPr>
              <w:t>允许偏差（mm）</w:t>
            </w:r>
          </w:p>
        </w:tc>
        <w:tc>
          <w:tcPr>
            <w:tcW w:w="2693" w:type="dxa"/>
          </w:tcPr>
          <w:p>
            <w:pPr>
              <w:spacing w:line="360" w:lineRule="auto"/>
              <w:jc w:val="center"/>
              <w:rPr>
                <w:rFonts w:hint="default" w:eastAsia="宋体"/>
                <w:color w:val="auto"/>
                <w:lang w:val="en-US" w:eastAsia="zh-CN"/>
              </w:rPr>
            </w:pPr>
            <w:r>
              <w:rPr>
                <w:rFonts w:hint="eastAsia" w:eastAsia="宋体"/>
                <w:color w:val="auto"/>
                <w:lang w:val="en-US" w:eastAsia="zh-CN"/>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1</w:t>
            </w:r>
          </w:p>
        </w:tc>
        <w:tc>
          <w:tcPr>
            <w:tcW w:w="1332"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宽度</w:t>
            </w:r>
          </w:p>
        </w:tc>
        <w:tc>
          <w:tcPr>
            <w:tcW w:w="2040"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+0， -5</w:t>
            </w:r>
          </w:p>
        </w:tc>
        <w:tc>
          <w:tcPr>
            <w:tcW w:w="2693"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尺量检查，每构件1处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2</w:t>
            </w:r>
          </w:p>
        </w:tc>
        <w:tc>
          <w:tcPr>
            <w:tcW w:w="1332"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长度</w:t>
            </w:r>
          </w:p>
        </w:tc>
        <w:tc>
          <w:tcPr>
            <w:tcW w:w="2040" w:type="dxa"/>
            <w:vAlign w:val="center"/>
          </w:tcPr>
          <w:p>
            <w:pPr>
              <w:pStyle w:val="24"/>
              <w:numPr>
                <w:ilvl w:val="3"/>
                <w:numId w:val="0"/>
              </w:numPr>
              <w:bidi w:val="0"/>
              <w:jc w:val="center"/>
              <w:rPr>
                <w:rFonts w:hint="default"/>
                <w:color w:val="auto"/>
                <w:vertAlign w:val="baseline"/>
                <w:lang w:val="en-US"/>
              </w:rPr>
            </w:pPr>
            <w:r>
              <w:rPr>
                <w:rFonts w:hint="eastAsia"/>
                <w:color w:val="auto"/>
                <w:vertAlign w:val="baseline"/>
                <w:lang w:val="en-US" w:eastAsia="zh-CN"/>
              </w:rPr>
              <w:t>+0， -10</w:t>
            </w:r>
          </w:p>
        </w:tc>
        <w:tc>
          <w:tcPr>
            <w:tcW w:w="2693" w:type="dxa"/>
            <w:vAlign w:val="center"/>
          </w:tcPr>
          <w:p>
            <w:pPr>
              <w:pStyle w:val="24"/>
              <w:numPr>
                <w:ilvl w:val="3"/>
                <w:numId w:val="0"/>
              </w:numPr>
              <w:bidi w:val="0"/>
              <w:jc w:val="center"/>
              <w:rPr>
                <w:color w:val="auto"/>
                <w:vertAlign w:val="baseline"/>
              </w:rPr>
            </w:pPr>
            <w:r>
              <w:rPr>
                <w:rFonts w:hint="eastAsia"/>
                <w:color w:val="auto"/>
                <w:vertAlign w:val="baseline"/>
                <w:lang w:val="en-US" w:eastAsia="zh-CN"/>
              </w:rPr>
              <w:t>尺量检查，每构件1处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3</w:t>
            </w:r>
          </w:p>
        </w:tc>
        <w:tc>
          <w:tcPr>
            <w:tcW w:w="1332"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对角线</w:t>
            </w:r>
          </w:p>
        </w:tc>
        <w:tc>
          <w:tcPr>
            <w:tcW w:w="2040"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±10</w:t>
            </w:r>
          </w:p>
        </w:tc>
        <w:tc>
          <w:tcPr>
            <w:tcW w:w="2693" w:type="dxa"/>
            <w:vAlign w:val="center"/>
          </w:tcPr>
          <w:p>
            <w:pPr>
              <w:pStyle w:val="24"/>
              <w:numPr>
                <w:ilvl w:val="3"/>
                <w:numId w:val="0"/>
              </w:numPr>
              <w:bidi w:val="0"/>
              <w:jc w:val="center"/>
              <w:rPr>
                <w:color w:val="auto"/>
                <w:vertAlign w:val="baseline"/>
              </w:rPr>
            </w:pPr>
            <w:r>
              <w:rPr>
                <w:rFonts w:hint="eastAsia"/>
                <w:color w:val="auto"/>
                <w:vertAlign w:val="baseline"/>
                <w:lang w:val="en-US" w:eastAsia="zh-CN"/>
              </w:rPr>
              <w:t>尺量检查，每构件1处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4</w:t>
            </w:r>
          </w:p>
        </w:tc>
        <w:tc>
          <w:tcPr>
            <w:tcW w:w="1332"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边缘平直度</w:t>
            </w:r>
          </w:p>
        </w:tc>
        <w:tc>
          <w:tcPr>
            <w:tcW w:w="2040"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3</w:t>
            </w:r>
          </w:p>
        </w:tc>
        <w:tc>
          <w:tcPr>
            <w:tcW w:w="2693"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2m靠尺或塞尺，每边3点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5</w:t>
            </w:r>
          </w:p>
        </w:tc>
        <w:tc>
          <w:tcPr>
            <w:tcW w:w="1332"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厚度</w:t>
            </w:r>
          </w:p>
        </w:tc>
        <w:tc>
          <w:tcPr>
            <w:tcW w:w="2040" w:type="dxa"/>
            <w:vAlign w:val="center"/>
          </w:tcPr>
          <w:p>
            <w:pPr>
              <w:pStyle w:val="24"/>
              <w:numPr>
                <w:ilvl w:val="3"/>
                <w:numId w:val="0"/>
              </w:numPr>
              <w:bidi w:val="0"/>
              <w:jc w:val="center"/>
              <w:rPr>
                <w:rFonts w:hint="default"/>
                <w:color w:val="auto"/>
                <w:vertAlign w:val="baseline"/>
                <w:lang w:val="en-US"/>
              </w:rPr>
            </w:pPr>
            <w:r>
              <w:rPr>
                <w:rFonts w:hint="eastAsia"/>
                <w:color w:val="auto"/>
                <w:vertAlign w:val="baseline"/>
                <w:lang w:val="en-US" w:eastAsia="zh-CN"/>
              </w:rPr>
              <w:t>±3</w:t>
            </w:r>
          </w:p>
        </w:tc>
        <w:tc>
          <w:tcPr>
            <w:tcW w:w="2693" w:type="dxa"/>
            <w:vAlign w:val="center"/>
          </w:tcPr>
          <w:p>
            <w:pPr>
              <w:pStyle w:val="24"/>
              <w:numPr>
                <w:ilvl w:val="3"/>
                <w:numId w:val="0"/>
              </w:numPr>
              <w:bidi w:val="0"/>
              <w:jc w:val="center"/>
              <w:rPr>
                <w:rFonts w:hint="default"/>
                <w:color w:val="auto"/>
                <w:vertAlign w:val="baseline"/>
                <w:lang w:val="en-US"/>
              </w:rPr>
            </w:pPr>
            <w:r>
              <w:rPr>
                <w:rFonts w:hint="eastAsia"/>
                <w:color w:val="auto"/>
                <w:vertAlign w:val="baseline"/>
                <w:lang w:val="en-US" w:eastAsia="zh-CN"/>
              </w:rPr>
              <w:t>尺量检查，每平方监测2点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6</w:t>
            </w:r>
          </w:p>
        </w:tc>
        <w:tc>
          <w:tcPr>
            <w:tcW w:w="1332"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控制厚度</w:t>
            </w:r>
          </w:p>
        </w:tc>
        <w:tc>
          <w:tcPr>
            <w:tcW w:w="2040"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+5， -2</w:t>
            </w:r>
          </w:p>
        </w:tc>
        <w:tc>
          <w:tcPr>
            <w:tcW w:w="2693" w:type="dxa"/>
            <w:vAlign w:val="center"/>
          </w:tcPr>
          <w:p>
            <w:pPr>
              <w:pStyle w:val="24"/>
              <w:numPr>
                <w:ilvl w:val="3"/>
                <w:numId w:val="0"/>
              </w:numPr>
              <w:bidi w:val="0"/>
              <w:jc w:val="center"/>
              <w:rPr>
                <w:color w:val="auto"/>
                <w:vertAlign w:val="baseline"/>
              </w:rPr>
            </w:pPr>
            <w:r>
              <w:rPr>
                <w:rFonts w:hint="eastAsia"/>
                <w:color w:val="auto"/>
                <w:vertAlign w:val="baseline"/>
                <w:lang w:val="en-US" w:eastAsia="zh-CN"/>
              </w:rPr>
              <w:t>尺量检查，每平方监测1点</w:t>
            </w:r>
          </w:p>
        </w:tc>
      </w:tr>
    </w:tbl>
    <w:p>
      <w:pPr>
        <w:pStyle w:val="24"/>
        <w:numPr>
          <w:ilvl w:val="3"/>
          <w:numId w:val="0"/>
        </w:numPr>
        <w:bidi w:val="0"/>
        <w:ind w:leftChars="0"/>
        <w:rPr>
          <w:color w:val="auto"/>
        </w:rPr>
      </w:pPr>
    </w:p>
    <w:p>
      <w:pPr>
        <w:pStyle w:val="24"/>
        <w:bidi w:val="0"/>
        <w:rPr>
          <w:color w:val="auto"/>
        </w:rPr>
      </w:pPr>
      <w:r>
        <w:rPr>
          <w:rFonts w:hint="eastAsia"/>
          <w:color w:val="auto"/>
          <w:lang w:eastAsia="zh-CN"/>
        </w:rPr>
        <w:t>GRG</w:t>
      </w:r>
      <w:r>
        <w:rPr>
          <w:rFonts w:hint="eastAsia"/>
          <w:color w:val="auto"/>
        </w:rPr>
        <w:t>的外观质量应符合表5.2.</w:t>
      </w:r>
      <w:r>
        <w:rPr>
          <w:rFonts w:hint="eastAsia"/>
          <w:color w:val="auto"/>
          <w:lang w:val="en-US" w:eastAsia="zh-CN"/>
        </w:rPr>
        <w:t>3</w:t>
      </w:r>
      <w:r>
        <w:rPr>
          <w:rFonts w:hint="eastAsia"/>
          <w:color w:val="auto"/>
        </w:rPr>
        <w:t>的规定。</w:t>
      </w:r>
    </w:p>
    <w:p>
      <w:pPr>
        <w:spacing w:line="360" w:lineRule="auto"/>
        <w:jc w:val="center"/>
        <w:rPr>
          <w:rFonts w:hint="eastAsia"/>
          <w:b/>
          <w:bCs/>
          <w:color w:val="auto"/>
          <w:sz w:val="18"/>
          <w:szCs w:val="18"/>
        </w:rPr>
      </w:pPr>
      <w:r>
        <w:rPr>
          <w:rFonts w:hint="eastAsia"/>
          <w:b/>
          <w:bCs/>
          <w:color w:val="auto"/>
          <w:sz w:val="18"/>
          <w:szCs w:val="18"/>
        </w:rPr>
        <w:t>表5.2.</w:t>
      </w:r>
      <w:r>
        <w:rPr>
          <w:rFonts w:hint="eastAsia"/>
          <w:b/>
          <w:bCs/>
          <w:color w:val="auto"/>
          <w:sz w:val="18"/>
          <w:szCs w:val="18"/>
          <w:lang w:val="en-US" w:eastAsia="zh-CN"/>
        </w:rPr>
        <w:t>3</w:t>
      </w:r>
      <w:r>
        <w:rPr>
          <w:rFonts w:hint="eastAsia"/>
          <w:b/>
          <w:bCs/>
          <w:color w:val="auto"/>
          <w:sz w:val="18"/>
          <w:szCs w:val="18"/>
        </w:rPr>
        <w:t xml:space="preserve">   </w:t>
      </w:r>
      <w:r>
        <w:rPr>
          <w:rFonts w:hint="eastAsia"/>
          <w:b/>
          <w:bCs/>
          <w:color w:val="auto"/>
          <w:sz w:val="18"/>
          <w:szCs w:val="18"/>
          <w:lang w:eastAsia="zh-CN"/>
        </w:rPr>
        <w:t>GRG</w:t>
      </w:r>
      <w:r>
        <w:rPr>
          <w:rFonts w:hint="eastAsia"/>
          <w:b/>
          <w:bCs/>
          <w:color w:val="auto"/>
          <w:sz w:val="18"/>
          <w:szCs w:val="18"/>
        </w:rPr>
        <w:t>的外观质量</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8"/>
        <w:gridCol w:w="1092"/>
        <w:gridCol w:w="1080"/>
        <w:gridCol w:w="1116"/>
        <w:gridCol w:w="1188"/>
        <w:gridCol w:w="1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spacing w:line="360" w:lineRule="auto"/>
              <w:jc w:val="center"/>
              <w:rPr>
                <w:rFonts w:hint="eastAsia" w:eastAsia="宋体"/>
                <w:color w:val="auto"/>
                <w:lang w:val="en-US" w:eastAsia="zh-CN"/>
              </w:rPr>
            </w:pPr>
            <w:r>
              <w:rPr>
                <w:rFonts w:hint="eastAsia" w:eastAsia="宋体"/>
                <w:color w:val="auto"/>
                <w:lang w:val="en-US" w:eastAsia="zh-CN"/>
              </w:rPr>
              <w:t>项次</w:t>
            </w:r>
          </w:p>
        </w:tc>
        <w:tc>
          <w:tcPr>
            <w:tcW w:w="2172" w:type="dxa"/>
            <w:gridSpan w:val="2"/>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项目</w:t>
            </w:r>
          </w:p>
        </w:tc>
        <w:tc>
          <w:tcPr>
            <w:tcW w:w="2304" w:type="dxa"/>
            <w:gridSpan w:val="2"/>
            <w:vAlign w:val="center"/>
          </w:tcPr>
          <w:p>
            <w:pPr>
              <w:spacing w:line="360" w:lineRule="auto"/>
              <w:jc w:val="center"/>
              <w:rPr>
                <w:rFonts w:hint="eastAsia" w:eastAsia="宋体"/>
                <w:color w:val="auto"/>
                <w:lang w:val="en-US" w:eastAsia="zh-CN"/>
              </w:rPr>
            </w:pPr>
            <w:r>
              <w:rPr>
                <w:rFonts w:hint="eastAsia" w:eastAsia="宋体"/>
                <w:color w:val="auto"/>
                <w:lang w:val="en-US" w:eastAsia="zh-CN"/>
              </w:rPr>
              <w:t>允许偏差</w:t>
            </w:r>
          </w:p>
        </w:tc>
        <w:tc>
          <w:tcPr>
            <w:tcW w:w="1841"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spacing w:line="360" w:lineRule="auto"/>
              <w:jc w:val="center"/>
              <w:rPr>
                <w:rFonts w:hint="eastAsia" w:eastAsia="宋体"/>
                <w:color w:val="auto"/>
                <w:lang w:val="en-US" w:eastAsia="zh-CN"/>
              </w:rPr>
            </w:pPr>
          </w:p>
        </w:tc>
        <w:tc>
          <w:tcPr>
            <w:tcW w:w="2172" w:type="dxa"/>
            <w:gridSpan w:val="2"/>
            <w:vMerge w:val="continue"/>
          </w:tcPr>
          <w:p>
            <w:pPr>
              <w:spacing w:line="360" w:lineRule="auto"/>
              <w:jc w:val="center"/>
              <w:rPr>
                <w:rFonts w:hint="eastAsia" w:eastAsia="宋体"/>
                <w:color w:val="auto"/>
                <w:lang w:val="en-US" w:eastAsia="zh-CN"/>
              </w:rPr>
            </w:pPr>
          </w:p>
        </w:tc>
        <w:tc>
          <w:tcPr>
            <w:tcW w:w="1116" w:type="dxa"/>
          </w:tcPr>
          <w:p>
            <w:pPr>
              <w:spacing w:line="360" w:lineRule="auto"/>
              <w:jc w:val="center"/>
              <w:rPr>
                <w:rFonts w:hint="default" w:eastAsia="宋体"/>
                <w:color w:val="auto"/>
                <w:lang w:val="en-US" w:eastAsia="zh-CN"/>
              </w:rPr>
            </w:pPr>
            <w:r>
              <w:rPr>
                <w:rFonts w:hint="eastAsia" w:eastAsia="宋体"/>
                <w:color w:val="auto"/>
                <w:lang w:val="en-US" w:eastAsia="zh-CN"/>
              </w:rPr>
              <w:t>一等品</w:t>
            </w:r>
          </w:p>
        </w:tc>
        <w:tc>
          <w:tcPr>
            <w:tcW w:w="1188" w:type="dxa"/>
          </w:tcPr>
          <w:p>
            <w:pPr>
              <w:spacing w:line="360" w:lineRule="auto"/>
              <w:jc w:val="center"/>
              <w:rPr>
                <w:rFonts w:hint="default" w:eastAsia="宋体"/>
                <w:color w:val="auto"/>
                <w:lang w:val="en-US" w:eastAsia="zh-CN"/>
              </w:rPr>
            </w:pPr>
            <w:r>
              <w:rPr>
                <w:rFonts w:hint="eastAsia" w:eastAsia="宋体"/>
                <w:color w:val="auto"/>
                <w:lang w:val="en-US" w:eastAsia="zh-CN"/>
              </w:rPr>
              <w:t>合格品</w:t>
            </w:r>
          </w:p>
        </w:tc>
        <w:tc>
          <w:tcPr>
            <w:tcW w:w="1841" w:type="dxa"/>
            <w:vMerge w:val="continue"/>
          </w:tcPr>
          <w:p>
            <w:pPr>
              <w:spacing w:line="360" w:lineRule="auto"/>
              <w:jc w:val="center"/>
              <w:rPr>
                <w:rFonts w:hint="eastAsia" w:eastAsia="宋体"/>
                <w:color w:val="auto"/>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1</w:t>
            </w:r>
          </w:p>
        </w:tc>
        <w:tc>
          <w:tcPr>
            <w:tcW w:w="1092"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缺棱掉角</w:t>
            </w:r>
          </w:p>
        </w:tc>
        <w:tc>
          <w:tcPr>
            <w:tcW w:w="1080" w:type="dxa"/>
          </w:tcPr>
          <w:p>
            <w:pPr>
              <w:spacing w:line="360" w:lineRule="auto"/>
              <w:jc w:val="center"/>
              <w:rPr>
                <w:rFonts w:hint="default" w:eastAsia="宋体"/>
                <w:color w:val="auto"/>
                <w:lang w:val="en-US" w:eastAsia="zh-CN"/>
              </w:rPr>
            </w:pPr>
            <w:r>
              <w:rPr>
                <w:rFonts w:hint="eastAsia" w:eastAsia="宋体"/>
                <w:color w:val="auto"/>
                <w:lang w:val="en-US" w:eastAsia="zh-CN"/>
              </w:rPr>
              <w:t>长度</w:t>
            </w:r>
          </w:p>
        </w:tc>
        <w:tc>
          <w:tcPr>
            <w:tcW w:w="1116" w:type="dxa"/>
          </w:tcPr>
          <w:p>
            <w:pPr>
              <w:spacing w:line="360" w:lineRule="auto"/>
              <w:jc w:val="center"/>
              <w:rPr>
                <w:rFonts w:hint="default" w:eastAsia="宋体"/>
                <w:color w:val="auto"/>
                <w:lang w:val="en-US" w:eastAsia="zh-CN"/>
              </w:rPr>
            </w:pPr>
            <w:r>
              <w:rPr>
                <w:rFonts w:hint="eastAsia" w:eastAsia="宋体"/>
                <w:color w:val="auto"/>
                <w:lang w:val="en-US" w:eastAsia="zh-CN"/>
              </w:rPr>
              <w:t>≤20mm</w:t>
            </w:r>
          </w:p>
        </w:tc>
        <w:tc>
          <w:tcPr>
            <w:tcW w:w="1188" w:type="dxa"/>
          </w:tcPr>
          <w:p>
            <w:pPr>
              <w:spacing w:line="360" w:lineRule="auto"/>
              <w:jc w:val="center"/>
              <w:rPr>
                <w:rFonts w:hint="eastAsia" w:eastAsia="宋体"/>
                <w:color w:val="auto"/>
                <w:lang w:val="en-US" w:eastAsia="zh-CN"/>
              </w:rPr>
            </w:pPr>
            <w:r>
              <w:rPr>
                <w:rFonts w:hint="eastAsia" w:eastAsia="宋体"/>
                <w:color w:val="auto"/>
                <w:lang w:val="en-US" w:eastAsia="zh-CN"/>
              </w:rPr>
              <w:t>≤30mm</w:t>
            </w:r>
          </w:p>
        </w:tc>
        <w:tc>
          <w:tcPr>
            <w:tcW w:w="1841" w:type="dxa"/>
          </w:tcPr>
          <w:p>
            <w:pPr>
              <w:spacing w:line="360" w:lineRule="auto"/>
              <w:jc w:val="center"/>
              <w:rPr>
                <w:rFonts w:hint="default" w:eastAsia="宋体"/>
                <w:color w:val="auto"/>
                <w:lang w:val="en-US" w:eastAsia="zh-CN"/>
              </w:rPr>
            </w:pPr>
            <w:r>
              <w:rPr>
                <w:rFonts w:hint="eastAsia" w:eastAsia="宋体"/>
                <w:color w:val="auto"/>
                <w:lang w:val="en-US" w:eastAsia="zh-CN"/>
              </w:rPr>
              <w:t>观察和尺量检查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spacing w:line="360" w:lineRule="auto"/>
              <w:jc w:val="center"/>
              <w:rPr>
                <w:rFonts w:hint="eastAsia" w:eastAsia="宋体"/>
                <w:color w:val="auto"/>
                <w:lang w:val="en-US" w:eastAsia="zh-CN"/>
              </w:rPr>
            </w:pPr>
          </w:p>
        </w:tc>
        <w:tc>
          <w:tcPr>
            <w:tcW w:w="1092" w:type="dxa"/>
            <w:vMerge w:val="continue"/>
          </w:tcPr>
          <w:p>
            <w:pPr>
              <w:spacing w:line="360" w:lineRule="auto"/>
              <w:jc w:val="center"/>
              <w:rPr>
                <w:rFonts w:hint="eastAsia" w:eastAsia="宋体"/>
                <w:color w:val="auto"/>
                <w:lang w:val="en-US" w:eastAsia="zh-CN"/>
              </w:rPr>
            </w:pPr>
          </w:p>
        </w:tc>
        <w:tc>
          <w:tcPr>
            <w:tcW w:w="1080" w:type="dxa"/>
          </w:tcPr>
          <w:p>
            <w:pPr>
              <w:spacing w:line="360" w:lineRule="auto"/>
              <w:jc w:val="center"/>
              <w:rPr>
                <w:rFonts w:hint="default" w:eastAsia="宋体"/>
                <w:color w:val="auto"/>
                <w:lang w:val="en-US" w:eastAsia="zh-CN"/>
              </w:rPr>
            </w:pPr>
            <w:r>
              <w:rPr>
                <w:rFonts w:hint="eastAsia" w:eastAsia="宋体"/>
                <w:color w:val="auto"/>
                <w:lang w:val="en-US" w:eastAsia="zh-CN"/>
              </w:rPr>
              <w:t>宽度</w:t>
            </w:r>
          </w:p>
        </w:tc>
        <w:tc>
          <w:tcPr>
            <w:tcW w:w="1116"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≤20mm</w:t>
            </w:r>
          </w:p>
        </w:tc>
        <w:tc>
          <w:tcPr>
            <w:tcW w:w="1188"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≤30mm</w:t>
            </w:r>
          </w:p>
        </w:tc>
        <w:tc>
          <w:tcPr>
            <w:tcW w:w="1841" w:type="dxa"/>
          </w:tcPr>
          <w:p>
            <w:pPr>
              <w:spacing w:line="360" w:lineRule="auto"/>
              <w:jc w:val="center"/>
              <w:rPr>
                <w:rFonts w:hint="eastAsia" w:eastAsia="宋体"/>
                <w:color w:val="auto"/>
                <w:lang w:val="en-US" w:eastAsia="zh-CN"/>
              </w:rPr>
            </w:pPr>
            <w:r>
              <w:rPr>
                <w:rFonts w:hint="eastAsia" w:eastAsia="宋体"/>
                <w:color w:val="auto"/>
                <w:lang w:val="en-US" w:eastAsia="zh-CN"/>
              </w:rPr>
              <w:t>观察和尺量检查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spacing w:line="360" w:lineRule="auto"/>
              <w:jc w:val="center"/>
              <w:rPr>
                <w:rFonts w:hint="eastAsia" w:eastAsia="宋体"/>
                <w:color w:val="auto"/>
                <w:lang w:val="en-US" w:eastAsia="zh-CN"/>
              </w:rPr>
            </w:pPr>
          </w:p>
        </w:tc>
        <w:tc>
          <w:tcPr>
            <w:tcW w:w="1092" w:type="dxa"/>
            <w:vMerge w:val="continue"/>
          </w:tcPr>
          <w:p>
            <w:pPr>
              <w:spacing w:line="360" w:lineRule="auto"/>
              <w:jc w:val="center"/>
              <w:rPr>
                <w:rFonts w:hint="eastAsia" w:eastAsia="宋体"/>
                <w:color w:val="auto"/>
                <w:lang w:val="en-US" w:eastAsia="zh-CN"/>
              </w:rPr>
            </w:pPr>
          </w:p>
        </w:tc>
        <w:tc>
          <w:tcPr>
            <w:tcW w:w="1080" w:type="dxa"/>
          </w:tcPr>
          <w:p>
            <w:pPr>
              <w:spacing w:line="360" w:lineRule="auto"/>
              <w:jc w:val="center"/>
              <w:rPr>
                <w:rFonts w:hint="default" w:eastAsia="宋体"/>
                <w:color w:val="auto"/>
                <w:lang w:val="en-US" w:eastAsia="zh-CN"/>
              </w:rPr>
            </w:pPr>
            <w:r>
              <w:rPr>
                <w:rFonts w:hint="eastAsia" w:eastAsia="宋体"/>
                <w:color w:val="auto"/>
                <w:lang w:val="en-US" w:eastAsia="zh-CN"/>
              </w:rPr>
              <w:t>数量</w:t>
            </w:r>
          </w:p>
        </w:tc>
        <w:tc>
          <w:tcPr>
            <w:tcW w:w="1116" w:type="dxa"/>
          </w:tcPr>
          <w:p>
            <w:pPr>
              <w:spacing w:line="360" w:lineRule="auto"/>
              <w:jc w:val="center"/>
              <w:rPr>
                <w:rFonts w:hint="eastAsia" w:eastAsia="宋体"/>
                <w:color w:val="auto"/>
                <w:lang w:val="en-US" w:eastAsia="zh-CN"/>
              </w:rPr>
            </w:pPr>
            <w:r>
              <w:rPr>
                <w:rFonts w:hint="eastAsia" w:eastAsia="宋体"/>
                <w:color w:val="auto"/>
                <w:lang w:val="en-US" w:eastAsia="zh-CN"/>
              </w:rPr>
              <w:t>≤2处</w:t>
            </w:r>
          </w:p>
        </w:tc>
        <w:tc>
          <w:tcPr>
            <w:tcW w:w="1188" w:type="dxa"/>
          </w:tcPr>
          <w:p>
            <w:pPr>
              <w:spacing w:line="360" w:lineRule="auto"/>
              <w:jc w:val="center"/>
              <w:rPr>
                <w:rFonts w:hint="eastAsia" w:eastAsia="宋体"/>
                <w:color w:val="auto"/>
                <w:lang w:val="en-US" w:eastAsia="zh-CN"/>
              </w:rPr>
            </w:pPr>
            <w:r>
              <w:rPr>
                <w:rFonts w:hint="eastAsia" w:eastAsia="宋体"/>
                <w:color w:val="auto"/>
                <w:lang w:val="en-US" w:eastAsia="zh-CN"/>
              </w:rPr>
              <w:t>≤3处</w:t>
            </w:r>
          </w:p>
        </w:tc>
        <w:tc>
          <w:tcPr>
            <w:tcW w:w="1841" w:type="dxa"/>
          </w:tcPr>
          <w:p>
            <w:pPr>
              <w:spacing w:line="360" w:lineRule="auto"/>
              <w:jc w:val="center"/>
              <w:rPr>
                <w:rFonts w:hint="eastAsia" w:eastAsia="宋体"/>
                <w:color w:val="auto"/>
                <w:lang w:val="en-US" w:eastAsia="zh-CN"/>
              </w:rPr>
            </w:pPr>
            <w:r>
              <w:rPr>
                <w:rFonts w:hint="eastAsia" w:eastAsia="宋体"/>
                <w:color w:val="auto"/>
                <w:lang w:val="en-US" w:eastAsia="zh-CN"/>
              </w:rPr>
              <w:t>观察检查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2</w:t>
            </w:r>
          </w:p>
        </w:tc>
        <w:tc>
          <w:tcPr>
            <w:tcW w:w="1092"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裂纹</w:t>
            </w:r>
          </w:p>
        </w:tc>
        <w:tc>
          <w:tcPr>
            <w:tcW w:w="1080"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长度</w:t>
            </w:r>
          </w:p>
        </w:tc>
        <w:tc>
          <w:tcPr>
            <w:tcW w:w="1116"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不允许</w:t>
            </w:r>
          </w:p>
        </w:tc>
        <w:tc>
          <w:tcPr>
            <w:tcW w:w="1188" w:type="dxa"/>
          </w:tcPr>
          <w:p>
            <w:pPr>
              <w:spacing w:line="360" w:lineRule="auto"/>
              <w:jc w:val="center"/>
              <w:rPr>
                <w:rFonts w:hint="eastAsia" w:eastAsia="宋体"/>
                <w:color w:val="auto"/>
                <w:lang w:val="en-US" w:eastAsia="zh-CN"/>
              </w:rPr>
            </w:pPr>
            <w:r>
              <w:rPr>
                <w:rFonts w:hint="eastAsia" w:eastAsia="宋体"/>
                <w:color w:val="auto"/>
                <w:lang w:val="en-US" w:eastAsia="zh-CN"/>
              </w:rPr>
              <w:t>≤30mm</w:t>
            </w:r>
          </w:p>
        </w:tc>
        <w:tc>
          <w:tcPr>
            <w:tcW w:w="1841"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观察和尺量检查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spacing w:line="360" w:lineRule="auto"/>
              <w:jc w:val="center"/>
              <w:rPr>
                <w:rFonts w:hint="eastAsia" w:eastAsia="宋体"/>
                <w:color w:val="auto"/>
                <w:lang w:val="en-US" w:eastAsia="zh-CN"/>
              </w:rPr>
            </w:pPr>
          </w:p>
        </w:tc>
        <w:tc>
          <w:tcPr>
            <w:tcW w:w="1092" w:type="dxa"/>
            <w:vMerge w:val="continue"/>
          </w:tcPr>
          <w:p>
            <w:pPr>
              <w:spacing w:line="360" w:lineRule="auto"/>
              <w:jc w:val="center"/>
              <w:rPr>
                <w:rFonts w:hint="eastAsia" w:eastAsia="宋体"/>
                <w:color w:val="auto"/>
                <w:lang w:val="en-US" w:eastAsia="zh-CN"/>
              </w:rPr>
            </w:pPr>
          </w:p>
        </w:tc>
        <w:tc>
          <w:tcPr>
            <w:tcW w:w="1080"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宽度</w:t>
            </w:r>
          </w:p>
        </w:tc>
        <w:tc>
          <w:tcPr>
            <w:tcW w:w="1116" w:type="dxa"/>
            <w:vMerge w:val="continue"/>
          </w:tcPr>
          <w:p>
            <w:pPr>
              <w:spacing w:line="360" w:lineRule="auto"/>
              <w:jc w:val="center"/>
              <w:rPr>
                <w:rFonts w:hint="eastAsia" w:eastAsia="宋体"/>
                <w:color w:val="auto"/>
                <w:lang w:val="en-US" w:eastAsia="zh-CN"/>
              </w:rPr>
            </w:pPr>
          </w:p>
        </w:tc>
        <w:tc>
          <w:tcPr>
            <w:tcW w:w="1188" w:type="dxa"/>
          </w:tcPr>
          <w:p>
            <w:pPr>
              <w:spacing w:line="360" w:lineRule="auto"/>
              <w:jc w:val="center"/>
              <w:rPr>
                <w:rFonts w:hint="eastAsia" w:eastAsia="宋体"/>
                <w:color w:val="auto"/>
                <w:lang w:val="en-US" w:eastAsia="zh-CN"/>
              </w:rPr>
            </w:pPr>
            <w:r>
              <w:rPr>
                <w:rFonts w:hint="eastAsia" w:eastAsia="宋体"/>
                <w:color w:val="auto"/>
                <w:lang w:val="en-US" w:eastAsia="zh-CN"/>
              </w:rPr>
              <w:t>≤0.2mm</w:t>
            </w:r>
          </w:p>
        </w:tc>
        <w:tc>
          <w:tcPr>
            <w:tcW w:w="1841"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观察和尺量检查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spacing w:line="360" w:lineRule="auto"/>
              <w:jc w:val="center"/>
              <w:rPr>
                <w:rFonts w:hint="eastAsia" w:eastAsia="宋体"/>
                <w:color w:val="auto"/>
                <w:lang w:val="en-US" w:eastAsia="zh-CN"/>
              </w:rPr>
            </w:pPr>
          </w:p>
        </w:tc>
        <w:tc>
          <w:tcPr>
            <w:tcW w:w="1092" w:type="dxa"/>
            <w:vMerge w:val="continue"/>
          </w:tcPr>
          <w:p>
            <w:pPr>
              <w:spacing w:line="360" w:lineRule="auto"/>
              <w:jc w:val="center"/>
              <w:rPr>
                <w:rFonts w:hint="eastAsia" w:eastAsia="宋体"/>
                <w:color w:val="auto"/>
                <w:lang w:val="en-US" w:eastAsia="zh-CN"/>
              </w:rPr>
            </w:pPr>
          </w:p>
        </w:tc>
        <w:tc>
          <w:tcPr>
            <w:tcW w:w="1080"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数量</w:t>
            </w:r>
          </w:p>
        </w:tc>
        <w:tc>
          <w:tcPr>
            <w:tcW w:w="1116" w:type="dxa"/>
            <w:vMerge w:val="continue"/>
          </w:tcPr>
          <w:p>
            <w:pPr>
              <w:spacing w:line="360" w:lineRule="auto"/>
              <w:jc w:val="center"/>
              <w:rPr>
                <w:rFonts w:hint="eastAsia" w:eastAsia="宋体"/>
                <w:color w:val="auto"/>
                <w:lang w:val="en-US" w:eastAsia="zh-CN"/>
              </w:rPr>
            </w:pPr>
          </w:p>
        </w:tc>
        <w:tc>
          <w:tcPr>
            <w:tcW w:w="1188" w:type="dxa"/>
          </w:tcPr>
          <w:p>
            <w:pPr>
              <w:spacing w:line="360" w:lineRule="auto"/>
              <w:jc w:val="center"/>
              <w:rPr>
                <w:rFonts w:hint="eastAsia" w:eastAsia="宋体"/>
                <w:color w:val="auto"/>
                <w:lang w:val="en-US" w:eastAsia="zh-CN"/>
              </w:rPr>
            </w:pPr>
            <w:r>
              <w:rPr>
                <w:rFonts w:hint="eastAsia" w:eastAsia="宋体"/>
                <w:color w:val="auto"/>
                <w:lang w:val="en-US" w:eastAsia="zh-CN"/>
              </w:rPr>
              <w:t>≤2处</w:t>
            </w:r>
          </w:p>
        </w:tc>
        <w:tc>
          <w:tcPr>
            <w:tcW w:w="1841" w:type="dxa"/>
            <w:vAlign w:val="top"/>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观察检查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3</w:t>
            </w:r>
          </w:p>
        </w:tc>
        <w:tc>
          <w:tcPr>
            <w:tcW w:w="1092" w:type="dxa"/>
            <w:vMerge w:val="restart"/>
            <w:vAlign w:val="center"/>
          </w:tcPr>
          <w:p>
            <w:pPr>
              <w:spacing w:line="360" w:lineRule="auto"/>
              <w:jc w:val="center"/>
              <w:rPr>
                <w:rFonts w:hint="default" w:eastAsia="宋体"/>
                <w:color w:val="auto"/>
                <w:lang w:val="en-US" w:eastAsia="zh-CN"/>
              </w:rPr>
            </w:pPr>
            <w:r>
              <w:rPr>
                <w:rFonts w:hint="eastAsia" w:eastAsia="宋体"/>
                <w:color w:val="auto"/>
                <w:lang w:val="en-US" w:eastAsia="zh-CN"/>
              </w:rPr>
              <w:t>蜂窝麻面</w:t>
            </w:r>
          </w:p>
        </w:tc>
        <w:tc>
          <w:tcPr>
            <w:tcW w:w="1080"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占总面积</w:t>
            </w:r>
          </w:p>
        </w:tc>
        <w:tc>
          <w:tcPr>
            <w:tcW w:w="1116"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≤1.0%</w:t>
            </w:r>
          </w:p>
        </w:tc>
        <w:tc>
          <w:tcPr>
            <w:tcW w:w="1188"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≤2.0%</w:t>
            </w:r>
          </w:p>
        </w:tc>
        <w:tc>
          <w:tcPr>
            <w:tcW w:w="1841"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观察和尺量检查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vAlign w:val="center"/>
          </w:tcPr>
          <w:p>
            <w:pPr>
              <w:spacing w:line="360" w:lineRule="auto"/>
              <w:jc w:val="center"/>
              <w:rPr>
                <w:rFonts w:hint="eastAsia" w:eastAsia="宋体"/>
                <w:color w:val="auto"/>
                <w:lang w:val="en-US" w:eastAsia="zh-CN"/>
              </w:rPr>
            </w:pPr>
          </w:p>
        </w:tc>
        <w:tc>
          <w:tcPr>
            <w:tcW w:w="1092" w:type="dxa"/>
            <w:vMerge w:val="continue"/>
            <w:vAlign w:val="center"/>
          </w:tcPr>
          <w:p>
            <w:pPr>
              <w:spacing w:line="360" w:lineRule="auto"/>
              <w:jc w:val="center"/>
              <w:rPr>
                <w:rFonts w:hint="eastAsia" w:eastAsia="宋体"/>
                <w:color w:val="auto"/>
                <w:lang w:val="en-US" w:eastAsia="zh-CN"/>
              </w:rPr>
            </w:pPr>
          </w:p>
        </w:tc>
        <w:tc>
          <w:tcPr>
            <w:tcW w:w="1080"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单处面积</w:t>
            </w:r>
          </w:p>
        </w:tc>
        <w:tc>
          <w:tcPr>
            <w:tcW w:w="1116" w:type="dxa"/>
            <w:vAlign w:val="center"/>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≤0.5%</w:t>
            </w:r>
          </w:p>
        </w:tc>
        <w:tc>
          <w:tcPr>
            <w:tcW w:w="1188" w:type="dxa"/>
            <w:vAlign w:val="center"/>
          </w:tcPr>
          <w:p>
            <w:pPr>
              <w:spacing w:line="360" w:lineRule="auto"/>
              <w:jc w:val="center"/>
              <w:rPr>
                <w:rFonts w:hint="eastAsia" w:eastAsia="宋体" w:asciiTheme="minorHAnsi" w:hAnsiTheme="minorHAnsi" w:cstheme="minorBidi"/>
                <w:color w:val="auto"/>
                <w:kern w:val="2"/>
                <w:sz w:val="21"/>
                <w:szCs w:val="21"/>
                <w:lang w:val="en-US" w:eastAsia="zh-CN" w:bidi="ar-SA"/>
              </w:rPr>
            </w:pPr>
            <w:r>
              <w:rPr>
                <w:rFonts w:hint="eastAsia" w:eastAsia="宋体"/>
                <w:color w:val="auto"/>
                <w:lang w:val="en-US" w:eastAsia="zh-CN"/>
              </w:rPr>
              <w:t>≤1.0%</w:t>
            </w:r>
          </w:p>
        </w:tc>
        <w:tc>
          <w:tcPr>
            <w:tcW w:w="1841"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观察和尺量检查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vAlign w:val="center"/>
          </w:tcPr>
          <w:p>
            <w:pPr>
              <w:spacing w:line="360" w:lineRule="auto"/>
              <w:jc w:val="center"/>
              <w:rPr>
                <w:rFonts w:hint="eastAsia" w:eastAsia="宋体"/>
                <w:color w:val="auto"/>
                <w:lang w:val="en-US" w:eastAsia="zh-CN"/>
              </w:rPr>
            </w:pPr>
          </w:p>
        </w:tc>
        <w:tc>
          <w:tcPr>
            <w:tcW w:w="1092" w:type="dxa"/>
            <w:vMerge w:val="continue"/>
            <w:vAlign w:val="center"/>
          </w:tcPr>
          <w:p>
            <w:pPr>
              <w:spacing w:line="360" w:lineRule="auto"/>
              <w:jc w:val="center"/>
              <w:rPr>
                <w:rFonts w:hint="eastAsia" w:eastAsia="宋体"/>
                <w:color w:val="auto"/>
                <w:lang w:val="en-US" w:eastAsia="zh-CN"/>
              </w:rPr>
            </w:pPr>
          </w:p>
        </w:tc>
        <w:tc>
          <w:tcPr>
            <w:tcW w:w="1080"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数量</w:t>
            </w:r>
          </w:p>
        </w:tc>
        <w:tc>
          <w:tcPr>
            <w:tcW w:w="1116"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≤1处</w:t>
            </w:r>
          </w:p>
        </w:tc>
        <w:tc>
          <w:tcPr>
            <w:tcW w:w="1188"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≤2处</w:t>
            </w:r>
          </w:p>
        </w:tc>
        <w:tc>
          <w:tcPr>
            <w:tcW w:w="1841"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观察检查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4</w:t>
            </w:r>
          </w:p>
        </w:tc>
        <w:tc>
          <w:tcPr>
            <w:tcW w:w="1092"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飞边毛刺</w:t>
            </w:r>
          </w:p>
        </w:tc>
        <w:tc>
          <w:tcPr>
            <w:tcW w:w="1080"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厚度</w:t>
            </w:r>
          </w:p>
        </w:tc>
        <w:tc>
          <w:tcPr>
            <w:tcW w:w="1116"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≤1.0mm</w:t>
            </w:r>
          </w:p>
        </w:tc>
        <w:tc>
          <w:tcPr>
            <w:tcW w:w="1188"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≤2.0mm</w:t>
            </w:r>
          </w:p>
        </w:tc>
        <w:tc>
          <w:tcPr>
            <w:tcW w:w="1841" w:type="dxa"/>
            <w:vAlign w:val="center"/>
          </w:tcPr>
          <w:p>
            <w:pPr>
              <w:spacing w:line="360" w:lineRule="auto"/>
              <w:jc w:val="center"/>
              <w:rPr>
                <w:rFonts w:hint="eastAsia" w:eastAsia="宋体"/>
                <w:color w:val="auto"/>
                <w:lang w:val="en-US" w:eastAsia="zh-CN"/>
              </w:rPr>
            </w:pPr>
            <w:r>
              <w:rPr>
                <w:rFonts w:hint="eastAsia" w:eastAsia="宋体"/>
                <w:color w:val="auto"/>
                <w:lang w:val="en-US" w:eastAsia="zh-CN"/>
              </w:rPr>
              <w:t>观察和尺量检查</w:t>
            </w:r>
          </w:p>
        </w:tc>
      </w:tr>
    </w:tbl>
    <w:p>
      <w:pPr>
        <w:spacing w:line="360" w:lineRule="auto"/>
        <w:jc w:val="center"/>
        <w:rPr>
          <w:rFonts w:hint="eastAsia"/>
          <w:b/>
          <w:bCs/>
          <w:color w:val="auto"/>
          <w:sz w:val="18"/>
          <w:szCs w:val="18"/>
        </w:rPr>
      </w:pPr>
    </w:p>
    <w:p>
      <w:pPr>
        <w:pStyle w:val="22"/>
        <w:bidi w:val="0"/>
        <w:rPr>
          <w:color w:val="auto"/>
        </w:rPr>
      </w:pPr>
      <w:bookmarkStart w:id="22" w:name="_Toc13503"/>
      <w:r>
        <w:rPr>
          <w:rFonts w:hint="eastAsia"/>
          <w:color w:val="auto"/>
        </w:rPr>
        <w:t>GRG</w:t>
      </w:r>
      <w:r>
        <w:rPr>
          <w:rFonts w:hint="eastAsia"/>
          <w:color w:val="auto"/>
          <w:lang w:val="en-US" w:eastAsia="zh-CN"/>
        </w:rPr>
        <w:t>出厂</w:t>
      </w:r>
      <w:r>
        <w:rPr>
          <w:rFonts w:hint="eastAsia"/>
          <w:color w:val="auto"/>
        </w:rPr>
        <w:t>检验</w:t>
      </w:r>
      <w:bookmarkEnd w:id="22"/>
    </w:p>
    <w:p>
      <w:pPr>
        <w:pStyle w:val="24"/>
        <w:bidi w:val="0"/>
        <w:rPr>
          <w:color w:val="auto"/>
        </w:rPr>
      </w:pPr>
      <w:r>
        <w:rPr>
          <w:rFonts w:hint="eastAsia"/>
          <w:color w:val="auto"/>
        </w:rPr>
        <w:t>GRG的放射性核素限量性能应符合表5.3.1的规定。</w:t>
      </w:r>
    </w:p>
    <w:p>
      <w:pPr>
        <w:spacing w:line="360" w:lineRule="auto"/>
        <w:jc w:val="center"/>
        <w:rPr>
          <w:rFonts w:hint="eastAsia"/>
          <w:b/>
          <w:bCs/>
          <w:color w:val="auto"/>
          <w:sz w:val="18"/>
          <w:szCs w:val="18"/>
        </w:rPr>
      </w:pPr>
      <w:r>
        <w:rPr>
          <w:rFonts w:hint="eastAsia"/>
          <w:b/>
          <w:bCs/>
          <w:color w:val="auto"/>
          <w:sz w:val="18"/>
          <w:szCs w:val="18"/>
        </w:rPr>
        <w:t>表5.</w:t>
      </w:r>
      <w:r>
        <w:rPr>
          <w:rFonts w:hint="eastAsia"/>
          <w:b/>
          <w:bCs/>
          <w:color w:val="auto"/>
          <w:sz w:val="18"/>
          <w:szCs w:val="18"/>
          <w:lang w:val="en-US" w:eastAsia="zh-CN"/>
        </w:rPr>
        <w:t>3</w:t>
      </w:r>
      <w:r>
        <w:rPr>
          <w:rFonts w:hint="eastAsia"/>
          <w:b/>
          <w:bCs/>
          <w:color w:val="auto"/>
          <w:sz w:val="18"/>
          <w:szCs w:val="18"/>
        </w:rPr>
        <w:t>.</w:t>
      </w:r>
      <w:r>
        <w:rPr>
          <w:rFonts w:hint="eastAsia"/>
          <w:b/>
          <w:bCs/>
          <w:color w:val="auto"/>
          <w:sz w:val="18"/>
          <w:szCs w:val="18"/>
          <w:lang w:val="en-US" w:eastAsia="zh-CN"/>
        </w:rPr>
        <w:t>1</w:t>
      </w:r>
      <w:r>
        <w:rPr>
          <w:rFonts w:hint="eastAsia"/>
          <w:b/>
          <w:bCs/>
          <w:color w:val="auto"/>
          <w:sz w:val="18"/>
          <w:szCs w:val="18"/>
        </w:rPr>
        <w:t xml:space="preserve">   </w:t>
      </w:r>
      <w:r>
        <w:rPr>
          <w:rFonts w:hint="eastAsia"/>
          <w:b/>
          <w:bCs/>
          <w:color w:val="auto"/>
          <w:sz w:val="18"/>
          <w:szCs w:val="18"/>
          <w:lang w:eastAsia="zh-CN"/>
        </w:rPr>
        <w:t>GRG</w:t>
      </w:r>
      <w:r>
        <w:rPr>
          <w:rFonts w:hint="eastAsia"/>
          <w:b/>
          <w:bCs/>
          <w:color w:val="auto"/>
          <w:sz w:val="18"/>
          <w:szCs w:val="18"/>
        </w:rPr>
        <w:t>的</w:t>
      </w:r>
      <w:r>
        <w:rPr>
          <w:rFonts w:hint="eastAsia"/>
          <w:b/>
          <w:bCs/>
          <w:color w:val="auto"/>
          <w:sz w:val="18"/>
          <w:szCs w:val="18"/>
          <w:lang w:val="en-US" w:eastAsia="zh-CN"/>
        </w:rPr>
        <w:t>放射性核素限量性能</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8"/>
        <w:gridCol w:w="1164"/>
        <w:gridCol w:w="1776"/>
        <w:gridCol w:w="2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tcPr>
          <w:p>
            <w:pPr>
              <w:spacing w:line="360" w:lineRule="auto"/>
              <w:jc w:val="center"/>
              <w:rPr>
                <w:rFonts w:hint="default" w:eastAsia="宋体"/>
                <w:color w:val="auto"/>
                <w:lang w:val="en-US" w:eastAsia="zh-CN"/>
              </w:rPr>
            </w:pPr>
            <w:r>
              <w:rPr>
                <w:rFonts w:hint="eastAsia" w:eastAsia="宋体"/>
                <w:color w:val="auto"/>
                <w:lang w:val="en-US" w:eastAsia="zh-CN"/>
              </w:rPr>
              <w:t>检验项目</w:t>
            </w:r>
          </w:p>
        </w:tc>
        <w:tc>
          <w:tcPr>
            <w:tcW w:w="1164" w:type="dxa"/>
          </w:tcPr>
          <w:p>
            <w:pPr>
              <w:spacing w:line="360" w:lineRule="auto"/>
              <w:jc w:val="center"/>
              <w:rPr>
                <w:rFonts w:hint="default" w:eastAsia="宋体"/>
                <w:color w:val="auto"/>
                <w:lang w:val="en-US" w:eastAsia="zh-CN"/>
              </w:rPr>
            </w:pPr>
            <w:r>
              <w:rPr>
                <w:rFonts w:hint="eastAsia" w:eastAsia="宋体"/>
                <w:color w:val="auto"/>
                <w:lang w:val="en-US" w:eastAsia="zh-CN"/>
              </w:rPr>
              <w:t>计量单位</w:t>
            </w:r>
          </w:p>
        </w:tc>
        <w:tc>
          <w:tcPr>
            <w:tcW w:w="1776" w:type="dxa"/>
          </w:tcPr>
          <w:p>
            <w:pPr>
              <w:spacing w:line="360" w:lineRule="auto"/>
              <w:jc w:val="center"/>
              <w:rPr>
                <w:rFonts w:hint="default" w:eastAsia="宋体"/>
                <w:color w:val="auto"/>
                <w:lang w:val="en-US" w:eastAsia="zh-CN"/>
              </w:rPr>
            </w:pPr>
            <w:r>
              <w:rPr>
                <w:rFonts w:hint="eastAsia" w:eastAsia="宋体"/>
                <w:color w:val="auto"/>
                <w:lang w:val="en-US" w:eastAsia="zh-CN"/>
              </w:rPr>
              <w:t>依据标准</w:t>
            </w:r>
          </w:p>
        </w:tc>
        <w:tc>
          <w:tcPr>
            <w:tcW w:w="2417" w:type="dxa"/>
          </w:tcPr>
          <w:p>
            <w:pPr>
              <w:spacing w:line="360" w:lineRule="auto"/>
              <w:jc w:val="center"/>
              <w:rPr>
                <w:rFonts w:hint="default" w:eastAsia="宋体"/>
                <w:color w:val="auto"/>
                <w:lang w:val="en-US" w:eastAsia="zh-CN"/>
              </w:rPr>
            </w:pPr>
            <w:r>
              <w:rPr>
                <w:rFonts w:hint="eastAsia" w:eastAsia="宋体"/>
                <w:color w:val="auto"/>
                <w:lang w:val="en-US" w:eastAsia="zh-CN"/>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tcPr>
          <w:p>
            <w:pPr>
              <w:spacing w:line="360" w:lineRule="auto"/>
              <w:jc w:val="center"/>
              <w:rPr>
                <w:rFonts w:hint="default" w:eastAsia="宋体"/>
                <w:color w:val="auto"/>
                <w:lang w:val="en-US" w:eastAsia="zh-CN"/>
              </w:rPr>
            </w:pPr>
            <w:r>
              <w:rPr>
                <w:rFonts w:hint="eastAsia" w:eastAsia="宋体"/>
                <w:color w:val="auto"/>
                <w:lang w:val="en-US" w:eastAsia="zh-CN"/>
              </w:rPr>
              <w:t>镭-226</w:t>
            </w:r>
          </w:p>
        </w:tc>
        <w:tc>
          <w:tcPr>
            <w:tcW w:w="1164"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Bq/kg</w:t>
            </w:r>
          </w:p>
        </w:tc>
        <w:tc>
          <w:tcPr>
            <w:tcW w:w="1776"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GB  6566-2010</w:t>
            </w:r>
          </w:p>
        </w:tc>
        <w:tc>
          <w:tcPr>
            <w:tcW w:w="2417" w:type="dxa"/>
          </w:tcPr>
          <w:p>
            <w:pPr>
              <w:spacing w:line="360" w:lineRule="auto"/>
              <w:jc w:val="center"/>
              <w:rPr>
                <w:rFonts w:hint="default" w:eastAsia="宋体"/>
                <w:color w:val="auto"/>
                <w:lang w:val="en-US" w:eastAsia="zh-CN"/>
              </w:rPr>
            </w:pPr>
            <w:r>
              <w:rPr>
                <w:rFonts w:hint="eastAsia" w:eastAsia="宋体"/>
                <w:color w:val="auto"/>
                <w:lang w:val="en-US" w:eastAsia="zh-CN"/>
              </w:rPr>
              <w:t>符合放射性比活度限量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tcPr>
          <w:p>
            <w:pPr>
              <w:spacing w:line="360" w:lineRule="auto"/>
              <w:jc w:val="center"/>
              <w:rPr>
                <w:rFonts w:hint="default" w:eastAsia="宋体"/>
                <w:color w:val="auto"/>
                <w:lang w:val="en-US" w:eastAsia="zh-CN"/>
              </w:rPr>
            </w:pPr>
            <w:r>
              <w:rPr>
                <w:rFonts w:hint="eastAsia" w:eastAsia="宋体"/>
                <w:color w:val="auto"/>
                <w:lang w:val="en-US" w:eastAsia="zh-CN"/>
              </w:rPr>
              <w:t>钍-232</w:t>
            </w:r>
          </w:p>
        </w:tc>
        <w:tc>
          <w:tcPr>
            <w:tcW w:w="1164"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Bq/kg</w:t>
            </w:r>
          </w:p>
        </w:tc>
        <w:tc>
          <w:tcPr>
            <w:tcW w:w="1776"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GB  6566-2010</w:t>
            </w:r>
          </w:p>
        </w:tc>
        <w:tc>
          <w:tcPr>
            <w:tcW w:w="2417" w:type="dxa"/>
          </w:tcPr>
          <w:p>
            <w:pPr>
              <w:spacing w:line="360" w:lineRule="auto"/>
              <w:jc w:val="center"/>
              <w:rPr>
                <w:rFonts w:hint="eastAsia" w:eastAsia="宋体"/>
                <w:color w:val="auto"/>
                <w:lang w:val="en-US" w:eastAsia="zh-CN"/>
              </w:rPr>
            </w:pPr>
            <w:r>
              <w:rPr>
                <w:rFonts w:hint="eastAsia" w:eastAsia="宋体"/>
                <w:color w:val="auto"/>
                <w:lang w:val="en-US" w:eastAsia="zh-CN"/>
              </w:rPr>
              <w:t>符合放射性比活度限量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tcPr>
          <w:p>
            <w:pPr>
              <w:spacing w:line="360" w:lineRule="auto"/>
              <w:jc w:val="center"/>
              <w:rPr>
                <w:rFonts w:hint="default" w:eastAsia="宋体"/>
                <w:color w:val="auto"/>
                <w:lang w:val="en-US" w:eastAsia="zh-CN"/>
              </w:rPr>
            </w:pPr>
            <w:r>
              <w:rPr>
                <w:rFonts w:hint="eastAsia" w:eastAsia="宋体"/>
                <w:color w:val="auto"/>
                <w:lang w:val="en-US" w:eastAsia="zh-CN"/>
              </w:rPr>
              <w:t>钾-40</w:t>
            </w:r>
          </w:p>
        </w:tc>
        <w:tc>
          <w:tcPr>
            <w:tcW w:w="1164"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Bq/kg</w:t>
            </w:r>
          </w:p>
        </w:tc>
        <w:tc>
          <w:tcPr>
            <w:tcW w:w="1776"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GB  6566-2010</w:t>
            </w:r>
          </w:p>
        </w:tc>
        <w:tc>
          <w:tcPr>
            <w:tcW w:w="2417" w:type="dxa"/>
          </w:tcPr>
          <w:p>
            <w:pPr>
              <w:spacing w:line="360" w:lineRule="auto"/>
              <w:jc w:val="center"/>
              <w:rPr>
                <w:rFonts w:hint="eastAsia" w:eastAsia="宋体"/>
                <w:color w:val="auto"/>
                <w:lang w:val="en-US" w:eastAsia="zh-CN"/>
              </w:rPr>
            </w:pPr>
            <w:r>
              <w:rPr>
                <w:rFonts w:hint="eastAsia" w:eastAsia="宋体"/>
                <w:color w:val="auto"/>
                <w:lang w:val="en-US" w:eastAsia="zh-CN"/>
              </w:rPr>
              <w:t>符合放射性比活度限量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tcPr>
          <w:p>
            <w:pPr>
              <w:spacing w:line="360" w:lineRule="auto"/>
              <w:jc w:val="center"/>
              <w:rPr>
                <w:rFonts w:hint="default" w:eastAsia="宋体"/>
                <w:color w:val="auto"/>
                <w:lang w:val="en-US" w:eastAsia="zh-CN"/>
              </w:rPr>
            </w:pPr>
            <w:r>
              <w:rPr>
                <w:rFonts w:hint="eastAsia" w:eastAsia="宋体"/>
                <w:color w:val="auto"/>
                <w:lang w:val="en-US" w:eastAsia="zh-CN"/>
              </w:rPr>
              <w:t>内照射指数</w:t>
            </w:r>
          </w:p>
        </w:tc>
        <w:tc>
          <w:tcPr>
            <w:tcW w:w="1164"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w:t>
            </w:r>
          </w:p>
        </w:tc>
        <w:tc>
          <w:tcPr>
            <w:tcW w:w="1776"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GB  6566-2010</w:t>
            </w:r>
          </w:p>
        </w:tc>
        <w:tc>
          <w:tcPr>
            <w:tcW w:w="2417" w:type="dxa"/>
          </w:tcPr>
          <w:p>
            <w:pPr>
              <w:spacing w:line="360" w:lineRule="auto"/>
              <w:jc w:val="center"/>
              <w:rPr>
                <w:rFonts w:hint="default" w:eastAsia="宋体"/>
                <w:color w:val="auto"/>
                <w:lang w:val="en-US" w:eastAsia="zh-CN"/>
              </w:rPr>
            </w:pPr>
            <w:r>
              <w:rPr>
                <w:rFonts w:hint="eastAsia" w:eastAsia="宋体"/>
                <w:color w:val="auto"/>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tcPr>
          <w:p>
            <w:pPr>
              <w:spacing w:line="360" w:lineRule="auto"/>
              <w:jc w:val="center"/>
              <w:rPr>
                <w:rFonts w:hint="default" w:eastAsia="宋体"/>
                <w:color w:val="auto"/>
                <w:lang w:val="en-US" w:eastAsia="zh-CN"/>
              </w:rPr>
            </w:pPr>
            <w:r>
              <w:rPr>
                <w:rFonts w:hint="eastAsia" w:eastAsia="宋体"/>
                <w:color w:val="auto"/>
                <w:lang w:val="en-US" w:eastAsia="zh-CN"/>
              </w:rPr>
              <w:t>外照射指数</w:t>
            </w:r>
          </w:p>
        </w:tc>
        <w:tc>
          <w:tcPr>
            <w:tcW w:w="1164"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w:t>
            </w:r>
          </w:p>
        </w:tc>
        <w:tc>
          <w:tcPr>
            <w:tcW w:w="1776" w:type="dxa"/>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GB  6566-2010</w:t>
            </w:r>
          </w:p>
        </w:tc>
        <w:tc>
          <w:tcPr>
            <w:tcW w:w="2417" w:type="dxa"/>
          </w:tcPr>
          <w:p>
            <w:pPr>
              <w:spacing w:line="360" w:lineRule="auto"/>
              <w:jc w:val="center"/>
              <w:rPr>
                <w:rFonts w:hint="default" w:eastAsia="宋体"/>
                <w:color w:val="auto"/>
                <w:lang w:val="en-US" w:eastAsia="zh-CN"/>
              </w:rPr>
            </w:pPr>
            <w:r>
              <w:rPr>
                <w:rFonts w:hint="eastAsia" w:eastAsia="宋体"/>
                <w:color w:val="auto"/>
                <w:lang w:val="en-US" w:eastAsia="zh-CN"/>
              </w:rPr>
              <w:t>≤1.3</w:t>
            </w:r>
          </w:p>
        </w:tc>
      </w:tr>
    </w:tbl>
    <w:p>
      <w:pPr>
        <w:rPr>
          <w:color w:val="auto"/>
        </w:rPr>
      </w:pPr>
    </w:p>
    <w:p>
      <w:pPr>
        <w:rPr>
          <w:color w:val="auto"/>
        </w:rPr>
      </w:pPr>
    </w:p>
    <w:p>
      <w:pPr>
        <w:pStyle w:val="24"/>
        <w:bidi w:val="0"/>
        <w:rPr>
          <w:color w:val="auto"/>
        </w:rPr>
      </w:pPr>
      <w:r>
        <w:rPr>
          <w:rFonts w:hint="eastAsia"/>
          <w:color w:val="auto"/>
        </w:rPr>
        <w:t>GRG的物理主要性能应符合表5.3.2的规定。</w:t>
      </w:r>
    </w:p>
    <w:p>
      <w:pPr>
        <w:spacing w:line="360" w:lineRule="auto"/>
        <w:jc w:val="center"/>
        <w:rPr>
          <w:rFonts w:hint="eastAsia"/>
          <w:b/>
          <w:bCs/>
          <w:color w:val="auto"/>
          <w:sz w:val="18"/>
          <w:szCs w:val="18"/>
        </w:rPr>
      </w:pPr>
      <w:r>
        <w:rPr>
          <w:rFonts w:hint="eastAsia"/>
          <w:b/>
          <w:bCs/>
          <w:color w:val="auto"/>
          <w:sz w:val="18"/>
          <w:szCs w:val="18"/>
        </w:rPr>
        <w:t>表5.</w:t>
      </w:r>
      <w:r>
        <w:rPr>
          <w:rFonts w:hint="eastAsia"/>
          <w:b/>
          <w:bCs/>
          <w:color w:val="auto"/>
          <w:sz w:val="18"/>
          <w:szCs w:val="18"/>
          <w:lang w:val="en-US" w:eastAsia="zh-CN"/>
        </w:rPr>
        <w:t>3</w:t>
      </w:r>
      <w:r>
        <w:rPr>
          <w:rFonts w:hint="eastAsia"/>
          <w:b/>
          <w:bCs/>
          <w:color w:val="auto"/>
          <w:sz w:val="18"/>
          <w:szCs w:val="18"/>
        </w:rPr>
        <w:t>.</w:t>
      </w:r>
      <w:r>
        <w:rPr>
          <w:rFonts w:hint="eastAsia"/>
          <w:b/>
          <w:bCs/>
          <w:color w:val="auto"/>
          <w:sz w:val="18"/>
          <w:szCs w:val="18"/>
          <w:lang w:val="en-US" w:eastAsia="zh-CN"/>
        </w:rPr>
        <w:t>2</w:t>
      </w:r>
      <w:r>
        <w:rPr>
          <w:rFonts w:hint="eastAsia"/>
          <w:b/>
          <w:bCs/>
          <w:color w:val="auto"/>
          <w:sz w:val="18"/>
          <w:szCs w:val="18"/>
        </w:rPr>
        <w:t xml:space="preserve">   </w:t>
      </w:r>
      <w:r>
        <w:rPr>
          <w:rFonts w:hint="eastAsia"/>
          <w:b/>
          <w:bCs/>
          <w:color w:val="auto"/>
          <w:sz w:val="18"/>
          <w:szCs w:val="18"/>
          <w:lang w:eastAsia="zh-CN"/>
        </w:rPr>
        <w:t>GRG</w:t>
      </w:r>
      <w:r>
        <w:rPr>
          <w:rFonts w:hint="eastAsia"/>
          <w:b/>
          <w:bCs/>
          <w:color w:val="auto"/>
          <w:sz w:val="18"/>
          <w:szCs w:val="18"/>
        </w:rPr>
        <w:t>的</w:t>
      </w:r>
      <w:r>
        <w:rPr>
          <w:rFonts w:hint="eastAsia"/>
          <w:b/>
          <w:bCs/>
          <w:color w:val="auto"/>
          <w:sz w:val="18"/>
          <w:szCs w:val="18"/>
          <w:lang w:val="en-US" w:eastAsia="zh-CN"/>
        </w:rPr>
        <w:t>物理主要性能</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8"/>
        <w:gridCol w:w="1164"/>
        <w:gridCol w:w="1776"/>
        <w:gridCol w:w="2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检验项目</w:t>
            </w:r>
          </w:p>
        </w:tc>
        <w:tc>
          <w:tcPr>
            <w:tcW w:w="1164"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计量单位</w:t>
            </w:r>
          </w:p>
        </w:tc>
        <w:tc>
          <w:tcPr>
            <w:tcW w:w="1776"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依据标准</w:t>
            </w:r>
          </w:p>
        </w:tc>
        <w:tc>
          <w:tcPr>
            <w:tcW w:w="2417"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体积密度</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g/cm³</w:t>
            </w:r>
          </w:p>
        </w:tc>
        <w:tc>
          <w:tcPr>
            <w:tcW w:w="1776" w:type="dxa"/>
            <w:vAlign w:val="center"/>
          </w:tcPr>
          <w:p>
            <w:pPr>
              <w:spacing w:line="360" w:lineRule="auto"/>
              <w:jc w:val="center"/>
              <w:rPr>
                <w:rFonts w:hint="default"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GB/T 15231-2008</w:t>
            </w:r>
          </w:p>
        </w:tc>
        <w:tc>
          <w:tcPr>
            <w:tcW w:w="2417" w:type="dxa"/>
            <w:vAlign w:val="center"/>
          </w:tcPr>
          <w:p>
            <w:pPr>
              <w:spacing w:line="360" w:lineRule="auto"/>
              <w:jc w:val="center"/>
              <w:rPr>
                <w:rFonts w:hint="default" w:eastAsia="宋体"/>
                <w:color w:val="auto"/>
                <w:lang w:val="en-US" w:eastAsia="zh-CN"/>
              </w:rPr>
            </w:pPr>
            <w:r>
              <w:rPr>
                <w:rFonts w:hint="eastAsia" w:asciiTheme="minorEastAsia" w:hAnsiTheme="minorEastAsia" w:eastAsiaTheme="minorEastAsia" w:cstheme="minorEastAsia"/>
                <w:color w:val="auto"/>
                <w:lang w:val="en-US" w:eastAsia="zh-CN"/>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抗压强度</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Mpa</w:t>
            </w:r>
          </w:p>
        </w:tc>
        <w:tc>
          <w:tcPr>
            <w:tcW w:w="1776"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GB/T 15231-2008</w:t>
            </w:r>
          </w:p>
        </w:tc>
        <w:tc>
          <w:tcPr>
            <w:tcW w:w="2417"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抗弯强度</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Mpa</w:t>
            </w:r>
          </w:p>
        </w:tc>
        <w:tc>
          <w:tcPr>
            <w:tcW w:w="1776"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GB/T 15231-2008</w:t>
            </w:r>
          </w:p>
        </w:tc>
        <w:tc>
          <w:tcPr>
            <w:tcW w:w="2417"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抗冲击强度</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Mpa</w:t>
            </w:r>
          </w:p>
        </w:tc>
        <w:tc>
          <w:tcPr>
            <w:tcW w:w="1776"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GB/T 15231-2008</w:t>
            </w:r>
          </w:p>
        </w:tc>
        <w:tc>
          <w:tcPr>
            <w:tcW w:w="2417"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吸水率</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w:t>
            </w:r>
          </w:p>
        </w:tc>
        <w:tc>
          <w:tcPr>
            <w:tcW w:w="1776" w:type="dxa"/>
            <w:vAlign w:val="center"/>
          </w:tcPr>
          <w:p>
            <w:pPr>
              <w:spacing w:line="360" w:lineRule="auto"/>
              <w:jc w:val="center"/>
              <w:rPr>
                <w:rFonts w:hint="eastAsia" w:asciiTheme="minorEastAsia" w:hAnsiTheme="minorEastAsia" w:eastAsiaTheme="minorEastAsia" w:cstheme="minorEastAsia"/>
                <w:color w:val="auto"/>
                <w:lang w:val="en-US" w:eastAsia="zh-CN"/>
              </w:rPr>
            </w:pPr>
          </w:p>
        </w:tc>
        <w:tc>
          <w:tcPr>
            <w:tcW w:w="2417" w:type="dxa"/>
            <w:vAlign w:val="center"/>
          </w:tcPr>
          <w:p>
            <w:pPr>
              <w:spacing w:line="360" w:lineRule="auto"/>
              <w:jc w:val="center"/>
              <w:rPr>
                <w:rFonts w:hint="default" w:eastAsia="宋体"/>
                <w:color w:val="auto"/>
                <w:lang w:val="en-US" w:eastAsia="zh-CN"/>
              </w:rPr>
            </w:pPr>
            <w:r>
              <w:rPr>
                <w:rFonts w:hint="eastAsia" w:asciiTheme="minorEastAsia" w:hAnsiTheme="minorEastAsia" w:eastAsiaTheme="minorEastAsia" w:cstheme="minorEastAsia"/>
                <w:color w:val="auto"/>
                <w:lang w:val="en-US" w:eastAsia="zh-CN"/>
              </w:rPr>
              <w:t>≤</w:t>
            </w:r>
            <w:r>
              <w:rPr>
                <w:rFonts w:hint="eastAsia" w:asciiTheme="minorEastAsia" w:hAnsiTheme="minorEastAsia" w:cstheme="minorEastAsia"/>
                <w:color w:val="auto"/>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巴氏硬度</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p>
        </w:tc>
        <w:tc>
          <w:tcPr>
            <w:tcW w:w="1776" w:type="dxa"/>
            <w:vAlign w:val="center"/>
          </w:tcPr>
          <w:p>
            <w:pPr>
              <w:spacing w:line="360" w:lineRule="auto"/>
              <w:jc w:val="center"/>
              <w:rPr>
                <w:rFonts w:hint="default"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GB/</w:t>
            </w:r>
            <w:r>
              <w:rPr>
                <w:rFonts w:hint="eastAsia" w:asciiTheme="minorEastAsia" w:hAnsiTheme="minorEastAsia" w:cstheme="minorEastAsia"/>
                <w:color w:val="auto"/>
                <w:lang w:val="en-US" w:eastAsia="zh-CN"/>
              </w:rPr>
              <w:t xml:space="preserve"> </w:t>
            </w:r>
            <w:r>
              <w:rPr>
                <w:rFonts w:hint="eastAsia" w:asciiTheme="minorEastAsia" w:hAnsiTheme="minorEastAsia" w:eastAsiaTheme="minorEastAsia" w:cstheme="minorEastAsia"/>
                <w:color w:val="auto"/>
                <w:lang w:val="en-US" w:eastAsia="zh-CN"/>
              </w:rPr>
              <w:t>T3854</w:t>
            </w:r>
            <w:r>
              <w:rPr>
                <w:rFonts w:hint="eastAsia" w:asciiTheme="minorEastAsia" w:hAnsiTheme="minorEastAsia" w:cstheme="minorEastAsia"/>
                <w:color w:val="auto"/>
                <w:lang w:val="en-US" w:eastAsia="zh-CN"/>
              </w:rPr>
              <w:t>-2017</w:t>
            </w:r>
          </w:p>
        </w:tc>
        <w:tc>
          <w:tcPr>
            <w:tcW w:w="2417" w:type="dxa"/>
            <w:vAlign w:val="center"/>
          </w:tcPr>
          <w:p>
            <w:pPr>
              <w:spacing w:line="360" w:lineRule="auto"/>
              <w:jc w:val="center"/>
              <w:rPr>
                <w:rFonts w:hint="default" w:eastAsia="宋体"/>
                <w:color w:val="auto"/>
                <w:lang w:val="en-US" w:eastAsia="zh-CN"/>
              </w:rPr>
            </w:pPr>
            <w:r>
              <w:rPr>
                <w:rFonts w:hint="eastAsia" w:asciiTheme="minorEastAsia" w:hAnsiTheme="minorEastAsia" w:eastAsiaTheme="minorEastAsia" w:cstheme="minorEastAsia"/>
                <w:color w:val="auto"/>
                <w:lang w:val="en-US" w:eastAsia="zh-CN"/>
              </w:rPr>
              <w:t>（0～100度）±1度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240" w:lineRule="auto"/>
              <w:jc w:val="center"/>
              <w:rPr>
                <w:rFonts w:hint="default" w:eastAsia="宋体"/>
                <w:color w:val="auto"/>
                <w:lang w:val="en-US" w:eastAsia="zh-CN"/>
              </w:rPr>
            </w:pPr>
            <w:r>
              <w:rPr>
                <w:rFonts w:hint="eastAsia" w:eastAsia="宋体"/>
                <w:color w:val="auto"/>
                <w:lang w:val="en-US" w:eastAsia="zh-CN"/>
              </w:rPr>
              <w:t>断裂荷载（平均值）</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N</w:t>
            </w:r>
          </w:p>
        </w:tc>
        <w:tc>
          <w:tcPr>
            <w:tcW w:w="1776" w:type="dxa"/>
            <w:vAlign w:val="center"/>
          </w:tcPr>
          <w:p>
            <w:pPr>
              <w:spacing w:line="360" w:lineRule="auto"/>
              <w:jc w:val="center"/>
              <w:rPr>
                <w:rFonts w:hint="default"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JC/T</w:t>
            </w:r>
            <w:r>
              <w:rPr>
                <w:rFonts w:hint="eastAsia" w:asciiTheme="minorEastAsia" w:hAnsiTheme="minorEastAsia" w:cstheme="minorEastAsia"/>
                <w:color w:val="auto"/>
                <w:lang w:val="en-US" w:eastAsia="zh-CN"/>
              </w:rPr>
              <w:t xml:space="preserve"> </w:t>
            </w:r>
            <w:r>
              <w:rPr>
                <w:rFonts w:hint="eastAsia" w:asciiTheme="minorEastAsia" w:hAnsiTheme="minorEastAsia" w:eastAsiaTheme="minorEastAsia" w:cstheme="minorEastAsia"/>
                <w:color w:val="auto"/>
                <w:lang w:val="en-US" w:eastAsia="zh-CN"/>
              </w:rPr>
              <w:t>799</w:t>
            </w:r>
            <w:r>
              <w:rPr>
                <w:rFonts w:hint="eastAsia" w:asciiTheme="minorEastAsia" w:hAnsiTheme="minorEastAsia" w:cstheme="minorEastAsia"/>
                <w:color w:val="auto"/>
                <w:lang w:val="en-US" w:eastAsia="zh-CN"/>
              </w:rPr>
              <w:t>-2016</w:t>
            </w:r>
          </w:p>
        </w:tc>
        <w:tc>
          <w:tcPr>
            <w:tcW w:w="2417"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≥118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240" w:lineRule="auto"/>
              <w:jc w:val="center"/>
              <w:rPr>
                <w:rFonts w:hint="default" w:eastAsia="宋体"/>
                <w:color w:val="auto"/>
                <w:lang w:val="en-US" w:eastAsia="zh-CN"/>
              </w:rPr>
            </w:pPr>
            <w:r>
              <w:rPr>
                <w:rFonts w:hint="eastAsia" w:eastAsia="宋体"/>
                <w:color w:val="auto"/>
                <w:lang w:val="en-US" w:eastAsia="zh-CN"/>
              </w:rPr>
              <w:t>断裂荷载（平最小值）</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N</w:t>
            </w:r>
          </w:p>
        </w:tc>
        <w:tc>
          <w:tcPr>
            <w:tcW w:w="1776"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JC/T</w:t>
            </w:r>
            <w:r>
              <w:rPr>
                <w:rFonts w:hint="eastAsia" w:asciiTheme="minorEastAsia" w:hAnsiTheme="minorEastAsia" w:cstheme="minorEastAsia"/>
                <w:color w:val="auto"/>
                <w:lang w:val="en-US" w:eastAsia="zh-CN"/>
              </w:rPr>
              <w:t xml:space="preserve"> </w:t>
            </w:r>
            <w:r>
              <w:rPr>
                <w:rFonts w:hint="eastAsia" w:asciiTheme="minorEastAsia" w:hAnsiTheme="minorEastAsia" w:eastAsiaTheme="minorEastAsia" w:cstheme="minorEastAsia"/>
                <w:color w:val="auto"/>
                <w:lang w:val="en-US" w:eastAsia="zh-CN"/>
              </w:rPr>
              <w:t>799</w:t>
            </w:r>
            <w:r>
              <w:rPr>
                <w:rFonts w:hint="eastAsia" w:asciiTheme="minorEastAsia" w:hAnsiTheme="minorEastAsia" w:cstheme="minorEastAsia"/>
                <w:color w:val="auto"/>
                <w:lang w:val="en-US" w:eastAsia="zh-CN"/>
              </w:rPr>
              <w:t>-2016</w:t>
            </w:r>
          </w:p>
        </w:tc>
        <w:tc>
          <w:tcPr>
            <w:tcW w:w="2417"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8" w:type="dxa"/>
            <w:vAlign w:val="center"/>
          </w:tcPr>
          <w:p>
            <w:pPr>
              <w:spacing w:line="240" w:lineRule="auto"/>
              <w:jc w:val="center"/>
              <w:rPr>
                <w:rFonts w:hint="default" w:eastAsia="宋体"/>
                <w:color w:val="auto"/>
                <w:lang w:val="en-US" w:eastAsia="zh-CN"/>
              </w:rPr>
            </w:pPr>
            <w:r>
              <w:rPr>
                <w:rFonts w:hint="eastAsia" w:eastAsia="宋体"/>
                <w:color w:val="auto"/>
                <w:lang w:val="en-US" w:eastAsia="zh-CN"/>
              </w:rPr>
              <w:t>吊挂件与GRG粘附力</w:t>
            </w:r>
          </w:p>
        </w:tc>
        <w:tc>
          <w:tcPr>
            <w:tcW w:w="1164" w:type="dxa"/>
            <w:vAlign w:val="center"/>
          </w:tcPr>
          <w:p>
            <w:pPr>
              <w:spacing w:line="360" w:lineRule="auto"/>
              <w:jc w:val="center"/>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N</w:t>
            </w:r>
          </w:p>
        </w:tc>
        <w:tc>
          <w:tcPr>
            <w:tcW w:w="1776" w:type="dxa"/>
            <w:vAlign w:val="center"/>
          </w:tcPr>
          <w:p>
            <w:pPr>
              <w:spacing w:line="360" w:lineRule="auto"/>
              <w:jc w:val="center"/>
              <w:rPr>
                <w:rFonts w:hint="default"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V=5mm/min</w:t>
            </w:r>
          </w:p>
        </w:tc>
        <w:tc>
          <w:tcPr>
            <w:tcW w:w="2417" w:type="dxa"/>
            <w:vAlign w:val="center"/>
          </w:tcPr>
          <w:p>
            <w:pPr>
              <w:spacing w:line="360" w:lineRule="auto"/>
              <w:jc w:val="center"/>
              <w:rPr>
                <w:rFonts w:hint="default" w:eastAsia="宋体"/>
                <w:color w:val="auto"/>
                <w:lang w:val="en-US" w:eastAsia="zh-CN"/>
              </w:rPr>
            </w:pPr>
            <w:r>
              <w:rPr>
                <w:rFonts w:hint="eastAsia" w:eastAsia="宋体"/>
                <w:color w:val="auto"/>
                <w:lang w:val="en-US" w:eastAsia="zh-CN"/>
              </w:rPr>
              <w:t>≥800</w:t>
            </w:r>
          </w:p>
        </w:tc>
      </w:tr>
    </w:tbl>
    <w:p>
      <w:pPr>
        <w:rPr>
          <w:color w:val="auto"/>
        </w:rPr>
      </w:pPr>
    </w:p>
    <w:p>
      <w:pPr>
        <w:pStyle w:val="24"/>
        <w:bidi w:val="0"/>
        <w:rPr>
          <w:color w:val="auto"/>
        </w:rPr>
      </w:pPr>
      <w:r>
        <w:rPr>
          <w:rFonts w:hint="eastAsia"/>
          <w:color w:val="auto"/>
        </w:rPr>
        <w:t>GRG的吸声系数应满足设计要求。</w:t>
      </w:r>
    </w:p>
    <w:p>
      <w:pPr>
        <w:pStyle w:val="24"/>
        <w:bidi w:val="0"/>
        <w:rPr>
          <w:color w:val="auto"/>
        </w:rPr>
      </w:pPr>
      <w:r>
        <w:rPr>
          <w:rFonts w:hint="eastAsia" w:asciiTheme="minorEastAsia" w:hAnsiTheme="minorEastAsia" w:eastAsiaTheme="minorEastAsia" w:cstheme="minorEastAsia"/>
          <w:color w:val="auto"/>
          <w:kern w:val="2"/>
          <w:sz w:val="21"/>
          <w:szCs w:val="21"/>
          <w:lang w:val="en-US" w:eastAsia="zh-CN" w:bidi="ar-SA"/>
        </w:rPr>
        <w:t>GRG</w:t>
      </w:r>
      <w:r>
        <w:rPr>
          <w:rFonts w:hint="eastAsia"/>
          <w:color w:val="auto"/>
        </w:rPr>
        <w:t>的</w:t>
      </w:r>
      <w:r>
        <w:rPr>
          <w:rFonts w:hint="eastAsia"/>
          <w:color w:val="auto"/>
          <w:lang w:val="en-US" w:eastAsia="zh-CN"/>
        </w:rPr>
        <w:t>燃烧性能应符合现行国家标准《建筑材料及制品燃烧性能分级》</w:t>
      </w:r>
      <w:r>
        <w:rPr>
          <w:rFonts w:hint="eastAsia" w:asciiTheme="minorEastAsia" w:hAnsiTheme="minorEastAsia" w:eastAsiaTheme="minorEastAsia" w:cstheme="minorEastAsia"/>
          <w:color w:val="auto"/>
          <w:kern w:val="2"/>
          <w:sz w:val="21"/>
          <w:szCs w:val="21"/>
          <w:lang w:val="en-US" w:eastAsia="zh-CN" w:bidi="ar-SA"/>
        </w:rPr>
        <w:t>GB 6566中A级的规定</w:t>
      </w:r>
      <w:r>
        <w:rPr>
          <w:rFonts w:hint="eastAsia"/>
          <w:color w:val="auto"/>
        </w:rPr>
        <w:t>。</w:t>
      </w:r>
    </w:p>
    <w:p>
      <w:pPr>
        <w:pStyle w:val="22"/>
        <w:bidi w:val="0"/>
        <w:rPr>
          <w:color w:val="auto"/>
        </w:rPr>
      </w:pPr>
      <w:bookmarkStart w:id="23" w:name="_Toc6821"/>
      <w:r>
        <w:rPr>
          <w:rFonts w:hint="eastAsia"/>
          <w:color w:val="auto"/>
          <w:lang w:val="en-US" w:eastAsia="zh-CN"/>
        </w:rPr>
        <w:t>钢骨架</w:t>
      </w:r>
      <w:bookmarkEnd w:id="23"/>
    </w:p>
    <w:p>
      <w:pPr>
        <w:pStyle w:val="24"/>
        <w:bidi w:val="0"/>
        <w:rPr>
          <w:color w:val="auto"/>
        </w:rPr>
      </w:pPr>
      <w:r>
        <w:rPr>
          <w:rFonts w:hint="eastAsia" w:asciiTheme="minorEastAsia" w:hAnsiTheme="minorEastAsia" w:eastAsiaTheme="minorEastAsia" w:cstheme="minorEastAsia"/>
          <w:color w:val="auto"/>
          <w:kern w:val="2"/>
          <w:sz w:val="21"/>
          <w:szCs w:val="21"/>
          <w:lang w:val="en-US" w:eastAsia="zh-CN" w:bidi="ar-SA"/>
        </w:rPr>
        <w:t>钢骨架使用的钢材，应进行膜厚和表面质量检验</w:t>
      </w:r>
      <w:r>
        <w:rPr>
          <w:rFonts w:hint="eastAsia"/>
          <w:color w:val="auto"/>
        </w:rPr>
        <w:t>。</w:t>
      </w:r>
      <w:r>
        <w:rPr>
          <w:rFonts w:hint="eastAsia"/>
          <w:color w:val="auto"/>
          <w:lang w:val="en-US" w:eastAsia="zh-CN"/>
        </w:rPr>
        <w:tab/>
      </w:r>
    </w:p>
    <w:p>
      <w:pPr>
        <w:pStyle w:val="24"/>
        <w:bidi w:val="0"/>
        <w:rPr>
          <w:rFonts w:hint="eastAsia"/>
          <w:color w:val="auto"/>
          <w:lang w:eastAsia="zh-CN"/>
        </w:rPr>
      </w:pPr>
      <w:r>
        <w:rPr>
          <w:rFonts w:hint="eastAsia" w:asciiTheme="minorEastAsia" w:hAnsiTheme="minorEastAsia" w:eastAsiaTheme="minorEastAsia" w:cstheme="minorEastAsia"/>
          <w:color w:val="auto"/>
          <w:kern w:val="2"/>
          <w:sz w:val="21"/>
          <w:szCs w:val="21"/>
          <w:lang w:val="en-US" w:eastAsia="zh-CN" w:bidi="ar-SA"/>
        </w:rPr>
        <w:t>钢材表面应进行防腐处理</w:t>
      </w:r>
      <w:r>
        <w:rPr>
          <w:rFonts w:hint="eastAsia"/>
          <w:color w:val="auto"/>
        </w:rPr>
        <w:t>。</w:t>
      </w:r>
      <w:r>
        <w:rPr>
          <w:rFonts w:hint="eastAsia"/>
          <w:color w:val="auto"/>
          <w:lang w:val="en-US" w:eastAsia="zh-CN"/>
        </w:rPr>
        <w:t>当采用热浸镀锌处理时，其膜厚应大于</w:t>
      </w:r>
      <w:r>
        <w:rPr>
          <w:rFonts w:hint="eastAsia" w:asciiTheme="minorEastAsia" w:hAnsiTheme="minorEastAsia" w:eastAsiaTheme="minorEastAsia" w:cstheme="minorEastAsia"/>
          <w:color w:val="auto"/>
          <w:lang w:val="en-US" w:eastAsia="zh-CN"/>
        </w:rPr>
        <w:t>45μm；当采用静电喷涂时，</w:t>
      </w:r>
      <w:r>
        <w:rPr>
          <w:rFonts w:hint="eastAsia"/>
          <w:color w:val="auto"/>
          <w:lang w:val="en-US" w:eastAsia="zh-CN"/>
        </w:rPr>
        <w:t>其膜厚应大于</w:t>
      </w:r>
      <w:r>
        <w:rPr>
          <w:rFonts w:hint="eastAsia" w:asciiTheme="minorEastAsia" w:hAnsiTheme="minorEastAsia" w:eastAsiaTheme="minorEastAsia" w:cstheme="minorEastAsia"/>
          <w:color w:val="auto"/>
          <w:lang w:val="en-US" w:eastAsia="zh-CN"/>
        </w:rPr>
        <w:t>40μm。</w:t>
      </w:r>
    </w:p>
    <w:p>
      <w:pPr>
        <w:pStyle w:val="24"/>
        <w:bidi w:val="0"/>
        <w:rPr>
          <w:rFonts w:hint="eastAsia"/>
          <w:color w:val="auto"/>
          <w:lang w:eastAsia="zh-CN"/>
        </w:rPr>
      </w:pPr>
      <w:r>
        <w:rPr>
          <w:rFonts w:hint="eastAsia" w:asciiTheme="minorEastAsia" w:hAnsiTheme="minorEastAsia" w:eastAsiaTheme="minorEastAsia" w:cstheme="minorEastAsia"/>
          <w:color w:val="auto"/>
          <w:kern w:val="2"/>
          <w:sz w:val="21"/>
          <w:szCs w:val="21"/>
          <w:lang w:val="en-US" w:eastAsia="zh-CN" w:bidi="ar-SA"/>
        </w:rPr>
        <w:t>膜厚的检验，应采用分辨率为0.5</w:t>
      </w:r>
      <w:r>
        <w:rPr>
          <w:rFonts w:hint="eastAsia" w:asciiTheme="minorEastAsia" w:hAnsiTheme="minorEastAsia" w:eastAsiaTheme="minorEastAsia" w:cstheme="minorEastAsia"/>
          <w:color w:val="auto"/>
          <w:lang w:val="en-US" w:eastAsia="zh-CN"/>
        </w:rPr>
        <w:t>μm的膜厚检测仪检测。每个杆件在不同部位的测点不应少于5个。同一测点应测量5次，取平均值，修约至整数。</w:t>
      </w:r>
    </w:p>
    <w:p>
      <w:pPr>
        <w:pStyle w:val="24"/>
        <w:bidi w:val="0"/>
        <w:rPr>
          <w:rFonts w:hint="eastAsia"/>
          <w:color w:val="auto"/>
          <w:lang w:eastAsia="zh-CN"/>
        </w:rPr>
      </w:pPr>
      <w:r>
        <w:rPr>
          <w:rFonts w:hint="eastAsia" w:asciiTheme="minorEastAsia" w:hAnsiTheme="minorEastAsia" w:eastAsiaTheme="minorEastAsia" w:cstheme="minorEastAsia"/>
          <w:color w:val="auto"/>
          <w:kern w:val="2"/>
          <w:sz w:val="21"/>
          <w:szCs w:val="21"/>
          <w:lang w:val="en-US" w:eastAsia="zh-CN" w:bidi="ar-SA"/>
        </w:rPr>
        <w:t>钢材表面不得有裂纹、气泡、结疤、泛锈、夹杂和折叠</w:t>
      </w:r>
      <w:r>
        <w:rPr>
          <w:rFonts w:hint="eastAsia" w:asciiTheme="minorEastAsia" w:hAnsiTheme="minorEastAsia" w:eastAsiaTheme="minorEastAsia" w:cstheme="minorEastAsia"/>
          <w:color w:val="auto"/>
          <w:lang w:val="en-US" w:eastAsia="zh-CN"/>
        </w:rPr>
        <w:t>。</w:t>
      </w:r>
    </w:p>
    <w:p>
      <w:pPr>
        <w:pStyle w:val="24"/>
        <w:bidi w:val="0"/>
        <w:rPr>
          <w:rFonts w:hint="eastAsia"/>
          <w:color w:val="auto"/>
          <w:lang w:eastAsia="zh-CN"/>
        </w:rPr>
      </w:pPr>
      <w:r>
        <w:rPr>
          <w:rFonts w:hint="eastAsia" w:asciiTheme="minorEastAsia" w:hAnsiTheme="minorEastAsia" w:eastAsiaTheme="minorEastAsia" w:cstheme="minorEastAsia"/>
          <w:color w:val="auto"/>
          <w:lang w:val="en-US" w:eastAsia="zh-CN"/>
        </w:rPr>
        <w:t>钢材表面质量的检验，应在自然散射光条件下，观察检查。</w:t>
      </w:r>
    </w:p>
    <w:p>
      <w:pPr>
        <w:pStyle w:val="24"/>
        <w:bidi w:val="0"/>
        <w:rPr>
          <w:rFonts w:hint="eastAsia"/>
          <w:color w:val="auto"/>
          <w:lang w:eastAsia="zh-CN"/>
        </w:rPr>
      </w:pPr>
      <w:r>
        <w:rPr>
          <w:rFonts w:hint="eastAsia" w:asciiTheme="minorEastAsia" w:hAnsiTheme="minorEastAsia" w:eastAsiaTheme="minorEastAsia" w:cstheme="minorEastAsia"/>
          <w:color w:val="auto"/>
          <w:lang w:val="en-US" w:eastAsia="zh-CN"/>
        </w:rPr>
        <w:t>钢骨架立柱安装标高偏差≤3mm，轴线前后偏差≤2mm，左右偏差≤3mm。</w:t>
      </w:r>
    </w:p>
    <w:p>
      <w:pPr>
        <w:pStyle w:val="24"/>
        <w:bidi w:val="0"/>
        <w:rPr>
          <w:rFonts w:hint="eastAsia"/>
          <w:color w:val="auto"/>
          <w:lang w:eastAsia="zh-CN"/>
        </w:rPr>
      </w:pPr>
      <w:r>
        <w:rPr>
          <w:rFonts w:hint="eastAsia" w:asciiTheme="minorEastAsia" w:hAnsiTheme="minorEastAsia" w:eastAsiaTheme="minorEastAsia" w:cstheme="minorEastAsia"/>
          <w:color w:val="auto"/>
          <w:lang w:val="en-US" w:eastAsia="zh-CN"/>
        </w:rPr>
        <w:t>钢骨架两根相邻立柱安装标高偏差≤3mm，同层立柱的最大标高偏差不大于5mm，相邻两根立柱的距离偏差不大于2mm。</w:t>
      </w:r>
    </w:p>
    <w:p>
      <w:pPr>
        <w:pStyle w:val="24"/>
        <w:bidi w:val="0"/>
        <w:rPr>
          <w:rFonts w:hint="eastAsia"/>
          <w:color w:val="auto"/>
          <w:lang w:eastAsia="zh-CN"/>
        </w:rPr>
      </w:pPr>
      <w:r>
        <w:rPr>
          <w:rFonts w:hint="eastAsia" w:asciiTheme="minorEastAsia" w:hAnsiTheme="minorEastAsia" w:eastAsiaTheme="minorEastAsia" w:cstheme="minorEastAsia"/>
          <w:color w:val="auto"/>
          <w:lang w:val="en-US" w:eastAsia="zh-CN"/>
        </w:rPr>
        <w:t>钢骨架两根相邻横梁安装标高偏差不应大于1mm，同层标高偏差：当GRG宽度小于或等于35mm时不应大于4mm，当GRG宽度大于35m时不应大于5mm。</w:t>
      </w:r>
    </w:p>
    <w:p>
      <w:pPr>
        <w:pStyle w:val="24"/>
        <w:bidi w:val="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钢骨架横梁两端与立柱连接处必须加设弹性垫片，满足变形要求。</w:t>
      </w:r>
    </w:p>
    <w:p>
      <w:pPr>
        <w:rPr>
          <w:rFonts w:ascii="黑体" w:hAnsi="黑体" w:eastAsia="黑体"/>
          <w:color w:val="auto"/>
          <w:sz w:val="28"/>
          <w:szCs w:val="28"/>
        </w:rPr>
      </w:pPr>
      <w:r>
        <w:rPr>
          <w:color w:val="auto"/>
        </w:rPr>
        <w:br w:type="page"/>
      </w:r>
    </w:p>
    <w:p>
      <w:pPr>
        <w:pStyle w:val="21"/>
        <w:bidi w:val="0"/>
        <w:rPr>
          <w:color w:val="auto"/>
        </w:rPr>
      </w:pPr>
      <w:bookmarkStart w:id="24" w:name="_Toc13283"/>
      <w:bookmarkStart w:id="25" w:name="_Toc67384442"/>
      <w:r>
        <w:rPr>
          <w:rFonts w:hint="eastAsia"/>
          <w:color w:val="auto"/>
        </w:rPr>
        <w:t>安装施工</w:t>
      </w:r>
      <w:bookmarkEnd w:id="24"/>
      <w:bookmarkEnd w:id="25"/>
    </w:p>
    <w:p>
      <w:pPr>
        <w:pStyle w:val="22"/>
        <w:bidi w:val="0"/>
      </w:pPr>
      <w:bookmarkStart w:id="26" w:name="_Toc29639"/>
      <w:r>
        <w:rPr>
          <w:rFonts w:hint="eastAsia"/>
          <w:lang w:val="en-US" w:eastAsia="zh-CN"/>
        </w:rPr>
        <w:t>施工准备</w:t>
      </w:r>
      <w:bookmarkEnd w:id="26"/>
    </w:p>
    <w:p>
      <w:pPr>
        <w:pStyle w:val="24"/>
        <w:bidi w:val="0"/>
        <w:rPr>
          <w:color w:val="auto"/>
        </w:rPr>
      </w:pPr>
      <w:r>
        <w:rPr>
          <w:rFonts w:hint="eastAsia"/>
          <w:color w:val="auto"/>
        </w:rPr>
        <w:t>GRG装饰工程施工现场应建立施工质量控制制度和检验制度。</w:t>
      </w:r>
    </w:p>
    <w:p>
      <w:pPr>
        <w:pStyle w:val="24"/>
        <w:bidi w:val="0"/>
        <w:rPr>
          <w:color w:val="auto"/>
        </w:rPr>
      </w:pPr>
      <w:r>
        <w:rPr>
          <w:rFonts w:hint="eastAsia"/>
          <w:color w:val="auto"/>
        </w:rPr>
        <w:t>GRG装饰工程施工应按设计文件和经审查的施工方案组织实施。</w:t>
      </w:r>
    </w:p>
    <w:p>
      <w:pPr>
        <w:pStyle w:val="24"/>
        <w:bidi w:val="0"/>
        <w:rPr>
          <w:color w:val="auto"/>
        </w:rPr>
      </w:pPr>
      <w:r>
        <w:rPr>
          <w:rFonts w:hint="eastAsia"/>
          <w:color w:val="auto"/>
        </w:rPr>
        <w:t>GRG装饰工程施工前，施工单位应编制施工方案，施工人员应进行实际操作培训。</w:t>
      </w:r>
    </w:p>
    <w:p>
      <w:pPr>
        <w:pStyle w:val="24"/>
        <w:bidi w:val="0"/>
        <w:rPr>
          <w:color w:val="auto"/>
        </w:rPr>
      </w:pPr>
      <w:r>
        <w:rPr>
          <w:rFonts w:hint="eastAsia"/>
          <w:color w:val="auto"/>
        </w:rPr>
        <w:t>GRG</w:t>
      </w:r>
      <w:r>
        <w:rPr>
          <w:rFonts w:hint="eastAsia"/>
          <w:color w:val="auto"/>
          <w:lang w:val="en-US" w:eastAsia="zh-CN"/>
        </w:rPr>
        <w:t>宜采用放置架堆放</w:t>
      </w:r>
      <w:r>
        <w:rPr>
          <w:rFonts w:hint="eastAsia"/>
          <w:color w:val="auto"/>
          <w:lang w:eastAsia="zh-CN"/>
        </w:rPr>
        <w:t>，</w:t>
      </w:r>
      <w:r>
        <w:rPr>
          <w:rFonts w:hint="eastAsia"/>
          <w:color w:val="auto"/>
        </w:rPr>
        <w:t>放置架应有足够的承载力和刚度</w:t>
      </w:r>
      <w:r>
        <w:rPr>
          <w:rFonts w:hint="eastAsia"/>
          <w:color w:val="auto"/>
          <w:lang w:eastAsia="zh-CN"/>
        </w:rPr>
        <w:t>。</w:t>
      </w:r>
    </w:p>
    <w:p>
      <w:pPr>
        <w:pStyle w:val="24"/>
        <w:bidi w:val="0"/>
        <w:rPr>
          <w:color w:val="auto"/>
        </w:rPr>
      </w:pPr>
      <w:r>
        <w:rPr>
          <w:rFonts w:hint="eastAsia"/>
          <w:color w:val="auto"/>
          <w:lang w:val="en-US" w:eastAsia="zh-CN"/>
        </w:rPr>
        <w:t>GRG宜</w:t>
      </w:r>
      <w:r>
        <w:rPr>
          <w:rFonts w:hint="eastAsia"/>
          <w:color w:val="auto"/>
        </w:rPr>
        <w:t>在室</w:t>
      </w:r>
      <w:r>
        <w:rPr>
          <w:rFonts w:hint="eastAsia"/>
          <w:color w:val="auto"/>
          <w:lang w:val="en-US" w:eastAsia="zh-CN"/>
        </w:rPr>
        <w:t>内储存，室</w:t>
      </w:r>
      <w:r>
        <w:rPr>
          <w:rFonts w:hint="eastAsia"/>
          <w:color w:val="auto"/>
        </w:rPr>
        <w:t>外储存时应采取</w:t>
      </w:r>
      <w:r>
        <w:rPr>
          <w:rFonts w:hint="eastAsia"/>
          <w:color w:val="auto"/>
          <w:lang w:val="en-US" w:eastAsia="zh-CN"/>
        </w:rPr>
        <w:t>防水</w:t>
      </w:r>
      <w:r>
        <w:rPr>
          <w:rFonts w:hint="eastAsia"/>
          <w:color w:val="auto"/>
        </w:rPr>
        <w:t>措施。</w:t>
      </w:r>
    </w:p>
    <w:p>
      <w:pPr>
        <w:pStyle w:val="24"/>
        <w:bidi w:val="0"/>
        <w:rPr>
          <w:color w:val="auto"/>
        </w:rPr>
      </w:pPr>
      <w:r>
        <w:rPr>
          <w:rFonts w:hint="eastAsia"/>
          <w:color w:val="auto"/>
        </w:rPr>
        <w:t>GRG装饰工程宜在现场采用相同材料、构造做法和工艺制作</w:t>
      </w:r>
      <w:r>
        <w:rPr>
          <w:rFonts w:hint="eastAsia"/>
          <w:color w:val="auto"/>
          <w:lang w:val="en-US" w:eastAsia="zh-CN"/>
        </w:rPr>
        <w:t>工序</w:t>
      </w:r>
      <w:r>
        <w:rPr>
          <w:rFonts w:hint="eastAsia"/>
          <w:color w:val="auto"/>
        </w:rPr>
        <w:t>样板。</w:t>
      </w:r>
    </w:p>
    <w:p>
      <w:pPr>
        <w:pStyle w:val="24"/>
        <w:bidi w:val="0"/>
        <w:rPr>
          <w:color w:val="auto"/>
        </w:rPr>
      </w:pPr>
      <w:r>
        <w:rPr>
          <w:rFonts w:hint="eastAsia"/>
          <w:color w:val="auto"/>
        </w:rPr>
        <w:t>施工的室内环境条件应满足材料和施工工艺的要求</w:t>
      </w:r>
      <w:r>
        <w:rPr>
          <w:rFonts w:hint="eastAsia"/>
          <w:color w:val="auto"/>
          <w:lang w:eastAsia="zh-CN"/>
        </w:rPr>
        <w:t>。</w:t>
      </w:r>
    </w:p>
    <w:p>
      <w:pPr>
        <w:pStyle w:val="24"/>
        <w:bidi w:val="0"/>
        <w:rPr>
          <w:color w:val="auto"/>
        </w:rPr>
      </w:pPr>
      <w:r>
        <w:rPr>
          <w:rFonts w:hint="eastAsia"/>
          <w:color w:val="auto"/>
        </w:rPr>
        <w:t>GRG</w:t>
      </w:r>
      <w:r>
        <w:rPr>
          <w:rFonts w:hint="eastAsia"/>
          <w:color w:val="auto"/>
          <w:lang w:val="en-US" w:eastAsia="zh-CN"/>
        </w:rPr>
        <w:t>安装</w:t>
      </w:r>
      <w:r>
        <w:rPr>
          <w:rFonts w:hint="eastAsia"/>
          <w:color w:val="auto"/>
        </w:rPr>
        <w:t>前</w:t>
      </w:r>
      <w:r>
        <w:rPr>
          <w:rFonts w:hint="eastAsia"/>
          <w:color w:val="auto"/>
          <w:lang w:val="en-US" w:eastAsia="zh-CN"/>
        </w:rPr>
        <w:t>应进行</w:t>
      </w:r>
      <w:r>
        <w:rPr>
          <w:rFonts w:hint="eastAsia"/>
          <w:color w:val="auto"/>
        </w:rPr>
        <w:t>管道、设备等的安装、试压与过程调试</w:t>
      </w:r>
      <w:r>
        <w:rPr>
          <w:rFonts w:hint="eastAsia"/>
          <w:color w:val="auto"/>
          <w:lang w:eastAsia="zh-CN"/>
        </w:rPr>
        <w:t>，</w:t>
      </w:r>
      <w:r>
        <w:rPr>
          <w:rFonts w:hint="eastAsia"/>
          <w:color w:val="auto"/>
          <w:lang w:val="en-US" w:eastAsia="zh-CN"/>
        </w:rPr>
        <w:t>并形成相关试验记录。</w:t>
      </w:r>
    </w:p>
    <w:p>
      <w:pPr>
        <w:pStyle w:val="24"/>
        <w:bidi w:val="0"/>
        <w:rPr>
          <w:color w:val="auto"/>
        </w:rPr>
      </w:pPr>
      <w:r>
        <w:rPr>
          <w:rFonts w:hint="eastAsia"/>
          <w:color w:val="auto"/>
        </w:rPr>
        <w:t>GRG装饰工程特殊部位的设计，或设计文件中有明确要求时，应先做性能试验验证。</w:t>
      </w:r>
    </w:p>
    <w:p>
      <w:pPr>
        <w:pStyle w:val="24"/>
        <w:bidi w:val="0"/>
        <w:rPr>
          <w:color w:val="auto"/>
        </w:rPr>
      </w:pPr>
      <w:r>
        <w:rPr>
          <w:rFonts w:hint="eastAsia"/>
          <w:color w:val="auto"/>
        </w:rPr>
        <w:t>作业条件应满足下列要求：</w:t>
      </w:r>
    </w:p>
    <w:p>
      <w:pPr>
        <w:pStyle w:val="26"/>
        <w:bidi w:val="0"/>
        <w:rPr>
          <w:rFonts w:hint="eastAsia"/>
          <w:color w:val="auto"/>
        </w:rPr>
      </w:pPr>
      <w:r>
        <w:rPr>
          <w:rFonts w:hint="eastAsia"/>
          <w:color w:val="auto"/>
        </w:rPr>
        <w:t>作业范围内的</w:t>
      </w:r>
      <w:r>
        <w:rPr>
          <w:rFonts w:hint="eastAsia"/>
          <w:color w:val="auto"/>
          <w:lang w:val="en-US" w:eastAsia="zh-CN"/>
        </w:rPr>
        <w:t>建筑</w:t>
      </w:r>
      <w:r>
        <w:rPr>
          <w:rFonts w:hint="eastAsia"/>
          <w:color w:val="auto"/>
        </w:rPr>
        <w:t>结构和机电隐蔽安装工程应验收合格；</w:t>
      </w:r>
    </w:p>
    <w:p>
      <w:pPr>
        <w:pStyle w:val="26"/>
        <w:bidi w:val="0"/>
        <w:rPr>
          <w:rFonts w:hint="eastAsia"/>
          <w:color w:val="auto"/>
        </w:rPr>
      </w:pPr>
      <w:r>
        <w:rPr>
          <w:rFonts w:hint="eastAsia"/>
          <w:color w:val="auto"/>
        </w:rPr>
        <w:t>基准点、线应已完成交接并经复核验线；</w:t>
      </w:r>
    </w:p>
    <w:p>
      <w:pPr>
        <w:pStyle w:val="26"/>
        <w:bidi w:val="0"/>
        <w:rPr>
          <w:rFonts w:hint="eastAsia"/>
          <w:color w:val="auto"/>
        </w:rPr>
      </w:pPr>
      <w:r>
        <w:rPr>
          <w:rFonts w:hint="eastAsia"/>
          <w:color w:val="auto"/>
        </w:rPr>
        <w:t>施工脚手架应搭设完成并经验收合格；</w:t>
      </w:r>
    </w:p>
    <w:p>
      <w:pPr>
        <w:pStyle w:val="26"/>
        <w:bidi w:val="0"/>
        <w:rPr>
          <w:color w:val="auto"/>
        </w:rPr>
      </w:pPr>
      <w:r>
        <w:rPr>
          <w:rFonts w:hint="eastAsia"/>
          <w:color w:val="auto"/>
        </w:rPr>
        <w:t>各种施工机具、施工环境等应满足安全文明施工要求。</w:t>
      </w:r>
    </w:p>
    <w:p>
      <w:pPr>
        <w:pStyle w:val="24"/>
        <w:bidi w:val="0"/>
        <w:rPr>
          <w:color w:val="auto"/>
        </w:rPr>
      </w:pPr>
      <w:r>
        <w:rPr>
          <w:rFonts w:hint="eastAsia"/>
          <w:color w:val="auto"/>
        </w:rPr>
        <w:t>施工设计图纸、相关文件和过程中的相关记录等应作为工程资料留存。</w:t>
      </w:r>
    </w:p>
    <w:p>
      <w:pPr>
        <w:pStyle w:val="24"/>
        <w:bidi w:val="0"/>
        <w:rPr>
          <w:color w:val="auto"/>
        </w:rPr>
      </w:pPr>
      <w:r>
        <w:rPr>
          <w:rFonts w:hint="eastAsia"/>
          <w:color w:val="auto"/>
          <w:lang w:val="en-US" w:eastAsia="zh-CN"/>
        </w:rPr>
        <w:t>GRG</w:t>
      </w:r>
      <w:r>
        <w:rPr>
          <w:rFonts w:hint="eastAsia"/>
          <w:color w:val="auto"/>
        </w:rPr>
        <w:t>成品保护应符合现行行业标准《建筑装饰装修工程成品保护技术标准》JGJ/T 427的相关规定</w:t>
      </w:r>
      <w:r>
        <w:rPr>
          <w:rFonts w:hint="eastAsia"/>
          <w:color w:val="auto"/>
          <w:lang w:eastAsia="zh-CN"/>
        </w:rPr>
        <w:t>。</w:t>
      </w:r>
    </w:p>
    <w:p>
      <w:pPr>
        <w:pStyle w:val="24"/>
        <w:bidi w:val="0"/>
        <w:rPr>
          <w:color w:val="auto"/>
        </w:rPr>
      </w:pPr>
      <w:r>
        <w:rPr>
          <w:rFonts w:hint="eastAsia"/>
          <w:color w:val="auto"/>
        </w:rPr>
        <w:t>绿色施工应符合现行国家标准《建筑工程绿色施工规范》GB/T 50905的相关规定</w:t>
      </w:r>
      <w:r>
        <w:rPr>
          <w:rFonts w:hint="eastAsia"/>
          <w:color w:val="auto"/>
          <w:lang w:eastAsia="zh-CN"/>
        </w:rPr>
        <w:t>。</w:t>
      </w:r>
    </w:p>
    <w:p>
      <w:pPr>
        <w:pStyle w:val="22"/>
        <w:bidi w:val="0"/>
      </w:pPr>
      <w:bookmarkStart w:id="27" w:name="_Toc3057"/>
      <w:r>
        <w:rPr>
          <w:rFonts w:hint="eastAsia"/>
          <w:lang w:val="en-US" w:eastAsia="zh-CN"/>
        </w:rPr>
        <w:t>钢骨架安装</w:t>
      </w:r>
      <w:bookmarkEnd w:id="27"/>
    </w:p>
    <w:p>
      <w:pPr>
        <w:pStyle w:val="24"/>
        <w:bidi w:val="0"/>
        <w:rPr>
          <w:color w:val="auto"/>
        </w:rPr>
      </w:pPr>
      <w:r>
        <w:rPr>
          <w:rFonts w:hint="eastAsia"/>
          <w:color w:val="auto"/>
          <w:lang w:val="en-US" w:eastAsia="zh-CN"/>
        </w:rPr>
        <w:t>钢骨架安装前</w:t>
      </w:r>
      <w:r>
        <w:rPr>
          <w:rFonts w:hint="eastAsia"/>
          <w:color w:val="auto"/>
        </w:rPr>
        <w:t>应根据设计文件复核</w:t>
      </w:r>
      <w:r>
        <w:rPr>
          <w:rFonts w:hint="eastAsia"/>
          <w:color w:val="auto"/>
          <w:lang w:val="en-US" w:eastAsia="zh-CN"/>
        </w:rPr>
        <w:t>建筑结构</w:t>
      </w:r>
      <w:r>
        <w:rPr>
          <w:rFonts w:hint="eastAsia"/>
          <w:color w:val="auto"/>
        </w:rPr>
        <w:t>平</w:t>
      </w:r>
      <w:r>
        <w:rPr>
          <w:rFonts w:hint="eastAsia"/>
          <w:color w:val="auto"/>
          <w:lang w:eastAsia="zh-CN"/>
        </w:rPr>
        <w:t>、</w:t>
      </w:r>
      <w:r>
        <w:rPr>
          <w:rFonts w:hint="eastAsia"/>
          <w:color w:val="auto"/>
        </w:rPr>
        <w:t>立面位置</w:t>
      </w:r>
      <w:r>
        <w:rPr>
          <w:rFonts w:hint="eastAsia"/>
          <w:color w:val="auto"/>
          <w:lang w:val="en-US" w:eastAsia="zh-CN"/>
        </w:rPr>
        <w:t>和尺寸偏差</w:t>
      </w:r>
      <w:r>
        <w:rPr>
          <w:rFonts w:hint="eastAsia"/>
          <w:color w:val="auto"/>
          <w:lang w:eastAsia="zh-CN"/>
        </w:rPr>
        <w:t>，</w:t>
      </w:r>
      <w:r>
        <w:rPr>
          <w:rFonts w:hint="eastAsia"/>
          <w:color w:val="auto"/>
        </w:rPr>
        <w:t>对</w:t>
      </w:r>
      <w:r>
        <w:rPr>
          <w:rFonts w:hint="eastAsia"/>
          <w:color w:val="auto"/>
          <w:lang w:val="en-US" w:eastAsia="zh-CN"/>
        </w:rPr>
        <w:t>建筑结构</w:t>
      </w:r>
      <w:r>
        <w:rPr>
          <w:rFonts w:hint="eastAsia"/>
          <w:color w:val="auto"/>
        </w:rPr>
        <w:t>进行质量验收</w:t>
      </w:r>
      <w:r>
        <w:rPr>
          <w:rFonts w:hint="eastAsia"/>
          <w:color w:val="auto"/>
          <w:lang w:eastAsia="zh-CN"/>
        </w:rPr>
        <w:t>。</w:t>
      </w:r>
    </w:p>
    <w:p>
      <w:pPr>
        <w:pStyle w:val="24"/>
        <w:bidi w:val="0"/>
        <w:rPr>
          <w:color w:val="auto"/>
        </w:rPr>
      </w:pPr>
      <w:r>
        <w:rPr>
          <w:rFonts w:hint="eastAsia"/>
          <w:color w:val="auto"/>
        </w:rPr>
        <w:t>预埋件</w:t>
      </w:r>
      <w:r>
        <w:rPr>
          <w:rFonts w:hint="eastAsia"/>
          <w:color w:val="auto"/>
          <w:lang w:eastAsia="zh-CN"/>
        </w:rPr>
        <w:t>（</w:t>
      </w:r>
      <w:r>
        <w:rPr>
          <w:rFonts w:hint="eastAsia"/>
          <w:color w:val="auto"/>
          <w:lang w:val="en-US" w:eastAsia="zh-CN"/>
        </w:rPr>
        <w:t>或后置埋件</w:t>
      </w:r>
      <w:r>
        <w:rPr>
          <w:rFonts w:hint="eastAsia"/>
          <w:color w:val="auto"/>
          <w:lang w:eastAsia="zh-CN"/>
        </w:rPr>
        <w:t>）、</w:t>
      </w:r>
      <w:r>
        <w:rPr>
          <w:rFonts w:hint="eastAsia"/>
          <w:color w:val="auto"/>
          <w:lang w:val="en-US" w:eastAsia="zh-CN"/>
        </w:rPr>
        <w:t>连接件的数量、规格、位置、连接方法和防腐处理应符合设计要求</w:t>
      </w:r>
      <w:r>
        <w:rPr>
          <w:rFonts w:hint="eastAsia"/>
          <w:color w:val="auto"/>
        </w:rPr>
        <w:t>。</w:t>
      </w:r>
      <w:r>
        <w:rPr>
          <w:rFonts w:hint="eastAsia"/>
          <w:color w:val="auto"/>
          <w:lang w:val="en-US" w:eastAsia="zh-CN"/>
        </w:rPr>
        <w:t>后置埋件的现场拉拔强度必须符合设计要求。</w:t>
      </w:r>
    </w:p>
    <w:p>
      <w:pPr>
        <w:pStyle w:val="24"/>
        <w:bidi w:val="0"/>
        <w:rPr>
          <w:color w:val="auto"/>
        </w:rPr>
      </w:pPr>
      <w:r>
        <w:rPr>
          <w:rFonts w:hint="eastAsia"/>
          <w:color w:val="auto"/>
          <w:lang w:val="en-US" w:eastAsia="zh-CN"/>
        </w:rPr>
        <w:t>钢骨架</w:t>
      </w:r>
      <w:r>
        <w:rPr>
          <w:rFonts w:hint="eastAsia"/>
          <w:color w:val="auto"/>
        </w:rPr>
        <w:t>安装应符合下列规定：</w:t>
      </w:r>
    </w:p>
    <w:p>
      <w:pPr>
        <w:pStyle w:val="26"/>
        <w:bidi w:val="0"/>
        <w:rPr>
          <w:color w:val="auto"/>
        </w:rPr>
      </w:pPr>
      <w:r>
        <w:rPr>
          <w:rFonts w:hint="eastAsia"/>
          <w:color w:val="auto"/>
          <w:lang w:eastAsia="zh-CN"/>
        </w:rPr>
        <w:t>钢骨架</w:t>
      </w:r>
      <w:r>
        <w:rPr>
          <w:rFonts w:hint="eastAsia"/>
          <w:color w:val="auto"/>
        </w:rPr>
        <w:t>用预埋件、连接件的位置、数量和连接方法应满足设计要求；</w:t>
      </w:r>
    </w:p>
    <w:p>
      <w:pPr>
        <w:pStyle w:val="26"/>
        <w:bidi w:val="0"/>
        <w:rPr>
          <w:color w:val="auto"/>
        </w:rPr>
      </w:pPr>
      <w:r>
        <w:rPr>
          <w:rFonts w:hint="eastAsia"/>
          <w:color w:val="auto"/>
          <w:lang w:eastAsia="zh-CN"/>
        </w:rPr>
        <w:t>钢骨架</w:t>
      </w:r>
      <w:r>
        <w:rPr>
          <w:rFonts w:hint="eastAsia"/>
          <w:color w:val="auto"/>
        </w:rPr>
        <w:t>的位置应满足设计要求，在</w:t>
      </w:r>
      <w:r>
        <w:rPr>
          <w:rFonts w:hint="eastAsia"/>
          <w:color w:val="auto"/>
          <w:lang w:val="en-US" w:eastAsia="zh-CN"/>
        </w:rPr>
        <w:t>建筑结构</w:t>
      </w:r>
      <w:r>
        <w:rPr>
          <w:rFonts w:hint="eastAsia"/>
          <w:color w:val="auto"/>
        </w:rPr>
        <w:t>上按</w:t>
      </w:r>
      <w:r>
        <w:rPr>
          <w:rFonts w:hint="eastAsia"/>
          <w:color w:val="auto"/>
          <w:lang w:eastAsia="zh-CN"/>
        </w:rPr>
        <w:t>钢骨架</w:t>
      </w:r>
      <w:r>
        <w:rPr>
          <w:rFonts w:hint="eastAsia"/>
          <w:color w:val="auto"/>
        </w:rPr>
        <w:t>分格弹线，并沿线固定；</w:t>
      </w:r>
    </w:p>
    <w:p>
      <w:pPr>
        <w:pStyle w:val="26"/>
        <w:bidi w:val="0"/>
        <w:rPr>
          <w:color w:val="auto"/>
        </w:rPr>
      </w:pPr>
      <w:r>
        <w:rPr>
          <w:rFonts w:hint="eastAsia"/>
          <w:color w:val="auto"/>
          <w:lang w:eastAsia="zh-CN"/>
        </w:rPr>
        <w:t>钢骨架</w:t>
      </w:r>
      <w:r>
        <w:rPr>
          <w:rFonts w:hint="eastAsia"/>
          <w:color w:val="auto"/>
        </w:rPr>
        <w:t>端部应固定，固定点间距不应大于1m，且应固定牢固；</w:t>
      </w:r>
    </w:p>
    <w:p>
      <w:pPr>
        <w:pStyle w:val="24"/>
        <w:bidi w:val="0"/>
        <w:rPr>
          <w:color w:val="auto"/>
        </w:rPr>
      </w:pPr>
      <w:r>
        <w:rPr>
          <w:rFonts w:hint="eastAsia"/>
          <w:color w:val="auto"/>
          <w:lang w:val="en-US" w:eastAsia="zh-CN"/>
        </w:rPr>
        <w:t>钢骨架焊缝连接宜采用匹配的焊接材料，不同牌号的结构钢材焊接时，可采用与屈服强度低的母材相匹配的焊接材料</w:t>
      </w:r>
      <w:r>
        <w:rPr>
          <w:rFonts w:hint="eastAsia"/>
          <w:color w:val="auto"/>
        </w:rPr>
        <w:t>。</w:t>
      </w:r>
    </w:p>
    <w:p>
      <w:pPr>
        <w:pStyle w:val="24"/>
        <w:bidi w:val="0"/>
        <w:rPr>
          <w:color w:val="auto"/>
        </w:rPr>
      </w:pPr>
      <w:r>
        <w:rPr>
          <w:rFonts w:hint="eastAsia"/>
          <w:color w:val="auto"/>
          <w:lang w:val="en-US" w:eastAsia="zh-CN"/>
        </w:rPr>
        <w:t>钢骨架的焊缝应进行防锈处理。</w:t>
      </w:r>
    </w:p>
    <w:p>
      <w:pPr>
        <w:pStyle w:val="24"/>
        <w:bidi w:val="0"/>
        <w:rPr>
          <w:rFonts w:hint="default"/>
          <w:color w:val="auto"/>
          <w:lang w:val="en-US"/>
        </w:rPr>
      </w:pPr>
      <w:r>
        <w:rPr>
          <w:rFonts w:hint="eastAsia"/>
          <w:color w:val="auto"/>
          <w:lang w:val="en-US" w:eastAsia="zh-CN"/>
        </w:rPr>
        <w:t>吊杆上部为网架、钢屋架或吊杆长度大于2500mm时，应设置钢结构转换层，钢结构转换层应进行结构承载力计算。</w:t>
      </w:r>
    </w:p>
    <w:p>
      <w:pPr>
        <w:pStyle w:val="24"/>
        <w:bidi w:val="0"/>
        <w:rPr>
          <w:rFonts w:hint="default"/>
          <w:color w:val="auto"/>
          <w:lang w:val="en-US"/>
        </w:rPr>
      </w:pPr>
      <w:r>
        <w:rPr>
          <w:rFonts w:hint="default"/>
          <w:color w:val="auto"/>
          <w:lang w:val="en-US"/>
        </w:rPr>
        <w:t>重型设备和有振动荷载的设备严禁安装在</w:t>
      </w:r>
      <w:r>
        <w:rPr>
          <w:rFonts w:hint="eastAsia"/>
          <w:color w:val="auto"/>
          <w:lang w:val="en-US" w:eastAsia="zh-CN"/>
        </w:rPr>
        <w:t>钢骨架上或钢结构转换层上</w:t>
      </w:r>
      <w:r>
        <w:rPr>
          <w:rFonts w:hint="default"/>
          <w:color w:val="auto"/>
          <w:lang w:val="en-US"/>
        </w:rPr>
        <w:t>。</w:t>
      </w:r>
    </w:p>
    <w:p>
      <w:pPr>
        <w:pStyle w:val="22"/>
        <w:bidi w:val="0"/>
      </w:pPr>
      <w:bookmarkStart w:id="28" w:name="_Toc67384445"/>
      <w:bookmarkStart w:id="29" w:name="_Toc3048"/>
      <w:r>
        <w:rPr>
          <w:rFonts w:hint="eastAsia"/>
        </w:rPr>
        <w:t>GRG安装施工</w:t>
      </w:r>
      <w:bookmarkEnd w:id="28"/>
      <w:bookmarkEnd w:id="29"/>
    </w:p>
    <w:p>
      <w:pPr>
        <w:pStyle w:val="24"/>
        <w:bidi w:val="0"/>
        <w:rPr>
          <w:color w:val="auto"/>
        </w:rPr>
      </w:pPr>
      <w:r>
        <w:rPr>
          <w:rFonts w:hint="eastAsia"/>
          <w:color w:val="auto"/>
          <w:lang w:val="en-US" w:eastAsia="zh-CN"/>
        </w:rPr>
        <w:t>GRG进场时应对规格、外观和尺寸进行验收。GRG包装应完好，并有出厂合格证明文件。</w:t>
      </w:r>
    </w:p>
    <w:p>
      <w:pPr>
        <w:pStyle w:val="24"/>
        <w:bidi w:val="0"/>
        <w:rPr>
          <w:color w:val="auto"/>
        </w:rPr>
      </w:pPr>
      <w:r>
        <w:rPr>
          <w:rFonts w:hint="eastAsia"/>
          <w:color w:val="auto"/>
        </w:rPr>
        <w:t>GRG</w:t>
      </w:r>
      <w:r>
        <w:rPr>
          <w:rFonts w:hint="eastAsia"/>
          <w:color w:val="auto"/>
          <w:lang w:val="en-US" w:eastAsia="zh-CN"/>
        </w:rPr>
        <w:t>安装</w:t>
      </w:r>
      <w:r>
        <w:rPr>
          <w:color w:val="auto"/>
        </w:rPr>
        <w:t>过程应符合下列规定</w:t>
      </w:r>
      <w:r>
        <w:rPr>
          <w:rFonts w:hint="eastAsia"/>
          <w:color w:val="auto"/>
        </w:rPr>
        <w:t>：</w:t>
      </w:r>
    </w:p>
    <w:p>
      <w:pPr>
        <w:pStyle w:val="26"/>
        <w:bidi w:val="0"/>
        <w:rPr>
          <w:color w:val="auto"/>
        </w:rPr>
      </w:pPr>
      <w:r>
        <w:rPr>
          <w:color w:val="auto"/>
        </w:rPr>
        <w:t>应在</w:t>
      </w:r>
      <w:r>
        <w:rPr>
          <w:rFonts w:hint="eastAsia"/>
          <w:color w:val="auto"/>
          <w:lang w:val="en-US" w:eastAsia="zh-CN"/>
        </w:rPr>
        <w:t>GRG</w:t>
      </w:r>
      <w:r>
        <w:rPr>
          <w:color w:val="auto"/>
        </w:rPr>
        <w:t>安装位置弹出水平和垂直控制线</w:t>
      </w:r>
      <w:r>
        <w:rPr>
          <w:rFonts w:hint="eastAsia"/>
          <w:color w:val="auto"/>
        </w:rPr>
        <w:t>；</w:t>
      </w:r>
    </w:p>
    <w:p>
      <w:pPr>
        <w:pStyle w:val="26"/>
        <w:bidi w:val="0"/>
        <w:rPr>
          <w:color w:val="auto"/>
        </w:rPr>
      </w:pPr>
      <w:r>
        <w:rPr>
          <w:color w:val="auto"/>
        </w:rPr>
        <w:t>应对</w:t>
      </w:r>
      <w:r>
        <w:rPr>
          <w:rFonts w:hint="eastAsia"/>
          <w:color w:val="auto"/>
          <w:lang w:eastAsia="zh-CN"/>
        </w:rPr>
        <w:t>GRG</w:t>
      </w:r>
      <w:r>
        <w:rPr>
          <w:color w:val="auto"/>
        </w:rPr>
        <w:t>进行</w:t>
      </w:r>
      <w:r>
        <w:rPr>
          <w:rFonts w:hint="eastAsia"/>
          <w:color w:val="auto"/>
          <w:lang w:val="en-US" w:eastAsia="zh-CN"/>
        </w:rPr>
        <w:t>排版</w:t>
      </w:r>
      <w:r>
        <w:rPr>
          <w:color w:val="auto"/>
        </w:rPr>
        <w:t>，并校正固定位置</w:t>
      </w:r>
      <w:r>
        <w:rPr>
          <w:rFonts w:hint="eastAsia"/>
          <w:color w:val="auto"/>
        </w:rPr>
        <w:t>；</w:t>
      </w:r>
    </w:p>
    <w:p>
      <w:pPr>
        <w:pStyle w:val="26"/>
        <w:bidi w:val="0"/>
        <w:rPr>
          <w:color w:val="auto"/>
        </w:rPr>
      </w:pPr>
      <w:r>
        <w:rPr>
          <w:rFonts w:hint="eastAsia"/>
          <w:color w:val="auto"/>
          <w:lang w:val="en-US" w:eastAsia="zh-CN"/>
        </w:rPr>
        <w:t>固定件</w:t>
      </w:r>
      <w:r>
        <w:rPr>
          <w:rFonts w:hint="eastAsia"/>
          <w:color w:val="auto"/>
        </w:rPr>
        <w:t>应做防锈处理；</w:t>
      </w:r>
    </w:p>
    <w:p>
      <w:pPr>
        <w:pStyle w:val="26"/>
        <w:bidi w:val="0"/>
        <w:rPr>
          <w:color w:val="auto"/>
        </w:rPr>
      </w:pPr>
      <w:r>
        <w:rPr>
          <w:rFonts w:hint="eastAsia"/>
          <w:color w:val="auto"/>
        </w:rPr>
        <w:t>应进行固定件隐蔽工程验收；</w:t>
      </w:r>
    </w:p>
    <w:p>
      <w:pPr>
        <w:pStyle w:val="26"/>
        <w:bidi w:val="0"/>
        <w:rPr>
          <w:color w:val="auto"/>
        </w:rPr>
      </w:pPr>
      <w:r>
        <w:rPr>
          <w:rFonts w:hint="eastAsia"/>
          <w:color w:val="auto"/>
        </w:rPr>
        <w:t>安装完成后应进行平整度</w:t>
      </w:r>
      <w:r>
        <w:rPr>
          <w:rFonts w:hint="eastAsia"/>
          <w:color w:val="auto"/>
          <w:lang w:eastAsia="zh-CN"/>
        </w:rPr>
        <w:t>、</w:t>
      </w:r>
      <w:r>
        <w:rPr>
          <w:rFonts w:hint="eastAsia"/>
          <w:color w:val="auto"/>
        </w:rPr>
        <w:t>垂直度</w:t>
      </w:r>
      <w:r>
        <w:rPr>
          <w:rFonts w:hint="eastAsia"/>
          <w:color w:val="auto"/>
          <w:lang w:val="en-US" w:eastAsia="zh-CN"/>
        </w:rPr>
        <w:t>或轮廓度的</w:t>
      </w:r>
      <w:r>
        <w:rPr>
          <w:rFonts w:hint="eastAsia"/>
          <w:color w:val="auto"/>
        </w:rPr>
        <w:t>检测；</w:t>
      </w:r>
    </w:p>
    <w:p>
      <w:pPr>
        <w:pStyle w:val="26"/>
        <w:bidi w:val="0"/>
        <w:rPr>
          <w:color w:val="auto"/>
        </w:rPr>
      </w:pPr>
      <w:r>
        <w:rPr>
          <w:rFonts w:hint="eastAsia"/>
          <w:color w:val="auto"/>
        </w:rPr>
        <w:t>表面孔洞应用粘结剂进行修补和接缝处理；</w:t>
      </w:r>
    </w:p>
    <w:p>
      <w:pPr>
        <w:pStyle w:val="26"/>
        <w:bidi w:val="0"/>
        <w:rPr>
          <w:color w:val="auto"/>
        </w:rPr>
      </w:pPr>
      <w:r>
        <w:rPr>
          <w:rFonts w:hint="eastAsia"/>
          <w:color w:val="auto"/>
        </w:rPr>
        <w:t>应进行外观检查、复验整修。</w:t>
      </w:r>
    </w:p>
    <w:p>
      <w:pPr>
        <w:pStyle w:val="24"/>
        <w:bidi w:val="0"/>
        <w:rPr>
          <w:color w:val="auto"/>
        </w:rPr>
      </w:pPr>
      <w:r>
        <w:rPr>
          <w:rFonts w:hint="eastAsia"/>
          <w:color w:val="auto"/>
        </w:rPr>
        <w:t>GRG安装应横向平整、竖向垂直、花饰拼接完整、曲线圆滑流畅，GRG表面应无污染、缺损；GRG安装的允许偏差应符合表</w:t>
      </w:r>
      <w:r>
        <w:rPr>
          <w:color w:val="auto"/>
        </w:rPr>
        <w:t>6</w:t>
      </w:r>
      <w:r>
        <w:rPr>
          <w:rFonts w:hint="eastAsia"/>
          <w:color w:val="auto"/>
        </w:rPr>
        <w:t>.3.</w:t>
      </w:r>
      <w:r>
        <w:rPr>
          <w:rFonts w:hint="eastAsia"/>
          <w:color w:val="auto"/>
          <w:lang w:val="en-US" w:eastAsia="zh-CN"/>
        </w:rPr>
        <w:t>2</w:t>
      </w:r>
      <w:r>
        <w:rPr>
          <w:rFonts w:hint="eastAsia"/>
          <w:color w:val="auto"/>
        </w:rPr>
        <w:t>的规定。</w:t>
      </w:r>
    </w:p>
    <w:p>
      <w:pPr>
        <w:spacing w:line="360" w:lineRule="auto"/>
        <w:ind w:firstLine="361"/>
        <w:jc w:val="center"/>
        <w:rPr>
          <w:b/>
          <w:bCs/>
          <w:color w:val="auto"/>
          <w:sz w:val="18"/>
          <w:szCs w:val="18"/>
        </w:rPr>
      </w:pPr>
      <w:r>
        <w:rPr>
          <w:rFonts w:hint="eastAsia"/>
          <w:b/>
          <w:bCs/>
          <w:color w:val="auto"/>
          <w:sz w:val="18"/>
          <w:szCs w:val="18"/>
        </w:rPr>
        <w:t>表</w:t>
      </w:r>
      <w:r>
        <w:rPr>
          <w:b/>
          <w:bCs/>
          <w:color w:val="auto"/>
          <w:sz w:val="18"/>
          <w:szCs w:val="18"/>
        </w:rPr>
        <w:t>6</w:t>
      </w:r>
      <w:r>
        <w:rPr>
          <w:rFonts w:hint="eastAsia"/>
          <w:b/>
          <w:bCs/>
          <w:color w:val="auto"/>
          <w:sz w:val="18"/>
          <w:szCs w:val="18"/>
        </w:rPr>
        <w:t>.3.</w:t>
      </w:r>
      <w:r>
        <w:rPr>
          <w:rFonts w:hint="eastAsia"/>
          <w:b/>
          <w:bCs/>
          <w:color w:val="auto"/>
          <w:sz w:val="18"/>
          <w:szCs w:val="18"/>
          <w:lang w:val="en-US" w:eastAsia="zh-CN"/>
        </w:rPr>
        <w:t>2</w:t>
      </w:r>
      <w:r>
        <w:rPr>
          <w:rFonts w:hint="eastAsia"/>
          <w:b/>
          <w:bCs/>
          <w:color w:val="auto"/>
          <w:sz w:val="18"/>
          <w:szCs w:val="18"/>
        </w:rPr>
        <w:t xml:space="preserve">  GRG安装允许偏差</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0"/>
        <w:gridCol w:w="1650"/>
        <w:gridCol w:w="28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0" w:type="dxa"/>
          </w:tcPr>
          <w:p>
            <w:pPr>
              <w:spacing w:line="360" w:lineRule="auto"/>
              <w:ind w:left="0" w:leftChars="0" w:firstLine="0" w:firstLineChars="0"/>
              <w:jc w:val="center"/>
              <w:rPr>
                <w:color w:val="auto"/>
              </w:rPr>
            </w:pPr>
            <w:r>
              <w:rPr>
                <w:rFonts w:hint="eastAsia"/>
                <w:color w:val="auto"/>
              </w:rPr>
              <w:t>项目</w:t>
            </w:r>
          </w:p>
        </w:tc>
        <w:tc>
          <w:tcPr>
            <w:tcW w:w="1650" w:type="dxa"/>
          </w:tcPr>
          <w:p>
            <w:pPr>
              <w:spacing w:line="360" w:lineRule="auto"/>
              <w:jc w:val="center"/>
              <w:rPr>
                <w:color w:val="auto"/>
              </w:rPr>
            </w:pPr>
            <w:r>
              <w:rPr>
                <w:rFonts w:hint="eastAsia"/>
                <w:color w:val="auto"/>
              </w:rPr>
              <w:t>允许偏差</w:t>
            </w:r>
          </w:p>
        </w:tc>
        <w:tc>
          <w:tcPr>
            <w:tcW w:w="2815" w:type="dxa"/>
          </w:tcPr>
          <w:p>
            <w:pPr>
              <w:spacing w:line="360" w:lineRule="auto"/>
              <w:ind w:left="0" w:leftChars="0" w:firstLine="0" w:firstLineChars="0"/>
              <w:jc w:val="center"/>
              <w:rPr>
                <w:color w:val="auto"/>
              </w:rPr>
            </w:pPr>
            <w:r>
              <w:rPr>
                <w:rFonts w:hint="eastAsia"/>
                <w:color w:val="auto"/>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0" w:type="dxa"/>
          </w:tcPr>
          <w:p>
            <w:pPr>
              <w:spacing w:line="360" w:lineRule="auto"/>
              <w:ind w:left="0" w:leftChars="0" w:firstLine="0" w:firstLineChars="0"/>
              <w:jc w:val="center"/>
              <w:rPr>
                <w:color w:val="auto"/>
              </w:rPr>
            </w:pPr>
            <w:r>
              <w:rPr>
                <w:rFonts w:hint="eastAsia"/>
                <w:color w:val="auto"/>
              </w:rPr>
              <w:t>表面平整度</w:t>
            </w:r>
          </w:p>
        </w:tc>
        <w:tc>
          <w:tcPr>
            <w:tcW w:w="1650" w:type="dxa"/>
          </w:tcPr>
          <w:p>
            <w:pPr>
              <w:spacing w:line="360" w:lineRule="auto"/>
              <w:jc w:val="center"/>
              <w:rPr>
                <w:color w:val="auto"/>
              </w:rPr>
            </w:pPr>
            <w:r>
              <w:rPr>
                <w:rFonts w:hint="eastAsia"/>
                <w:color w:val="auto"/>
              </w:rPr>
              <w:t>≤3mm</w:t>
            </w:r>
          </w:p>
        </w:tc>
        <w:tc>
          <w:tcPr>
            <w:tcW w:w="2815" w:type="dxa"/>
          </w:tcPr>
          <w:p>
            <w:pPr>
              <w:spacing w:line="360" w:lineRule="auto"/>
              <w:ind w:left="0" w:leftChars="0" w:firstLine="0" w:firstLineChars="0"/>
              <w:jc w:val="center"/>
              <w:rPr>
                <w:color w:val="auto"/>
              </w:rPr>
            </w:pPr>
            <w:r>
              <w:rPr>
                <w:rFonts w:hint="eastAsia"/>
                <w:color w:val="auto"/>
              </w:rPr>
              <w:t>2m靠尺、塞尺检查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0" w:type="dxa"/>
          </w:tcPr>
          <w:p>
            <w:pPr>
              <w:spacing w:line="360" w:lineRule="auto"/>
              <w:ind w:left="0" w:leftChars="0" w:firstLine="0" w:firstLineChars="0"/>
              <w:jc w:val="center"/>
              <w:rPr>
                <w:color w:val="auto"/>
              </w:rPr>
            </w:pPr>
            <w:r>
              <w:rPr>
                <w:rFonts w:hint="eastAsia"/>
                <w:color w:val="auto"/>
              </w:rPr>
              <w:t>阴阳角方正度</w:t>
            </w:r>
          </w:p>
        </w:tc>
        <w:tc>
          <w:tcPr>
            <w:tcW w:w="1650" w:type="dxa"/>
          </w:tcPr>
          <w:p>
            <w:pPr>
              <w:spacing w:line="360" w:lineRule="auto"/>
              <w:jc w:val="center"/>
              <w:rPr>
                <w:color w:val="auto"/>
              </w:rPr>
            </w:pPr>
            <w:r>
              <w:rPr>
                <w:rFonts w:hint="eastAsia"/>
                <w:color w:val="auto"/>
              </w:rPr>
              <w:t>≤3mm</w:t>
            </w:r>
          </w:p>
        </w:tc>
        <w:tc>
          <w:tcPr>
            <w:tcW w:w="2815" w:type="dxa"/>
          </w:tcPr>
          <w:p>
            <w:pPr>
              <w:spacing w:line="360" w:lineRule="auto"/>
              <w:ind w:left="0" w:leftChars="0" w:firstLine="0" w:firstLineChars="0"/>
              <w:jc w:val="center"/>
              <w:rPr>
                <w:color w:val="auto"/>
              </w:rPr>
            </w:pPr>
            <w:r>
              <w:rPr>
                <w:rFonts w:hint="eastAsia"/>
                <w:color w:val="auto"/>
              </w:rPr>
              <w:t>用直角检测尺检查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0" w:type="dxa"/>
          </w:tcPr>
          <w:p>
            <w:pPr>
              <w:spacing w:line="360" w:lineRule="auto"/>
              <w:ind w:left="0" w:leftChars="0" w:firstLine="0" w:firstLineChars="0"/>
              <w:jc w:val="center"/>
              <w:rPr>
                <w:color w:val="auto"/>
              </w:rPr>
            </w:pPr>
            <w:r>
              <w:rPr>
                <w:rFonts w:hint="eastAsia"/>
                <w:color w:val="auto"/>
              </w:rPr>
              <w:t>接缝宽度</w:t>
            </w:r>
          </w:p>
        </w:tc>
        <w:tc>
          <w:tcPr>
            <w:tcW w:w="1650" w:type="dxa"/>
          </w:tcPr>
          <w:p>
            <w:pPr>
              <w:spacing w:line="360" w:lineRule="auto"/>
              <w:jc w:val="center"/>
              <w:rPr>
                <w:color w:val="auto"/>
              </w:rPr>
            </w:pPr>
            <w:r>
              <w:rPr>
                <w:rFonts w:hint="eastAsia"/>
                <w:color w:val="auto"/>
              </w:rPr>
              <w:t>±5mm</w:t>
            </w:r>
          </w:p>
        </w:tc>
        <w:tc>
          <w:tcPr>
            <w:tcW w:w="2815" w:type="dxa"/>
          </w:tcPr>
          <w:p>
            <w:pPr>
              <w:spacing w:line="360" w:lineRule="auto"/>
              <w:ind w:left="0" w:leftChars="0" w:firstLine="0" w:firstLineChars="0"/>
              <w:jc w:val="center"/>
              <w:rPr>
                <w:color w:val="auto"/>
              </w:rPr>
            </w:pPr>
            <w:r>
              <w:rPr>
                <w:rFonts w:hint="eastAsia"/>
                <w:color w:val="auto"/>
              </w:rPr>
              <w:t>卡尺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0" w:type="dxa"/>
          </w:tcPr>
          <w:p>
            <w:pPr>
              <w:spacing w:line="360" w:lineRule="auto"/>
              <w:ind w:left="0" w:leftChars="0" w:firstLine="0" w:firstLineChars="0"/>
              <w:jc w:val="center"/>
              <w:rPr>
                <w:color w:val="auto"/>
              </w:rPr>
            </w:pPr>
            <w:r>
              <w:rPr>
                <w:rFonts w:hint="eastAsia"/>
                <w:color w:val="auto"/>
              </w:rPr>
              <w:t>接缝高低差</w:t>
            </w:r>
          </w:p>
        </w:tc>
        <w:tc>
          <w:tcPr>
            <w:tcW w:w="1650" w:type="dxa"/>
          </w:tcPr>
          <w:p>
            <w:pPr>
              <w:spacing w:line="360" w:lineRule="auto"/>
              <w:jc w:val="center"/>
              <w:rPr>
                <w:color w:val="auto"/>
              </w:rPr>
            </w:pPr>
            <w:r>
              <w:rPr>
                <w:rFonts w:hint="eastAsia"/>
                <w:color w:val="auto"/>
              </w:rPr>
              <w:t>≤2mm</w:t>
            </w:r>
          </w:p>
        </w:tc>
        <w:tc>
          <w:tcPr>
            <w:tcW w:w="2815" w:type="dxa"/>
          </w:tcPr>
          <w:p>
            <w:pPr>
              <w:spacing w:line="360" w:lineRule="auto"/>
              <w:ind w:left="0" w:leftChars="0" w:firstLine="0" w:firstLineChars="0"/>
              <w:jc w:val="center"/>
              <w:rPr>
                <w:color w:val="auto"/>
              </w:rPr>
            </w:pPr>
            <w:r>
              <w:rPr>
                <w:rFonts w:hint="eastAsia"/>
                <w:color w:val="auto"/>
              </w:rPr>
              <w:t>用钢直尺和塞尺检查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0" w:type="dxa"/>
          </w:tcPr>
          <w:p>
            <w:pPr>
              <w:spacing w:line="360" w:lineRule="auto"/>
              <w:ind w:left="0" w:leftChars="0" w:firstLine="0" w:firstLineChars="0"/>
              <w:jc w:val="center"/>
              <w:rPr>
                <w:color w:val="auto"/>
              </w:rPr>
            </w:pPr>
            <w:r>
              <w:rPr>
                <w:rFonts w:hint="eastAsia"/>
                <w:color w:val="auto"/>
              </w:rPr>
              <w:t>相邻面板高低差</w:t>
            </w:r>
          </w:p>
        </w:tc>
        <w:tc>
          <w:tcPr>
            <w:tcW w:w="1650" w:type="dxa"/>
          </w:tcPr>
          <w:p>
            <w:pPr>
              <w:spacing w:line="360" w:lineRule="auto"/>
              <w:jc w:val="center"/>
              <w:rPr>
                <w:color w:val="auto"/>
              </w:rPr>
            </w:pPr>
            <w:r>
              <w:rPr>
                <w:rFonts w:hint="eastAsia"/>
                <w:color w:val="auto"/>
              </w:rPr>
              <w:t>≤2mm</w:t>
            </w:r>
          </w:p>
        </w:tc>
        <w:tc>
          <w:tcPr>
            <w:tcW w:w="2815" w:type="dxa"/>
          </w:tcPr>
          <w:p>
            <w:pPr>
              <w:spacing w:line="360" w:lineRule="auto"/>
              <w:ind w:left="0" w:leftChars="0" w:firstLine="0" w:firstLineChars="0"/>
              <w:jc w:val="center"/>
              <w:rPr>
                <w:color w:val="auto"/>
              </w:rPr>
            </w:pPr>
            <w:r>
              <w:rPr>
                <w:rFonts w:hint="eastAsia"/>
                <w:color w:val="auto"/>
              </w:rPr>
              <w:t>用钢直尺和塞尺检查</w:t>
            </w:r>
          </w:p>
        </w:tc>
      </w:tr>
    </w:tbl>
    <w:p>
      <w:pPr>
        <w:pStyle w:val="24"/>
        <w:bidi w:val="0"/>
        <w:rPr>
          <w:color w:val="auto"/>
        </w:rPr>
      </w:pPr>
      <w:r>
        <w:rPr>
          <w:rFonts w:hint="eastAsia"/>
          <w:color w:val="auto"/>
        </w:rPr>
        <w:t>GRG</w:t>
      </w:r>
      <w:r>
        <w:rPr>
          <w:rFonts w:hint="eastAsia"/>
          <w:color w:val="auto"/>
          <w:lang w:val="en-US" w:eastAsia="zh-CN"/>
        </w:rPr>
        <w:t>用于吊顶工程时，</w:t>
      </w:r>
      <w:r>
        <w:rPr>
          <w:rFonts w:hint="eastAsia"/>
          <w:color w:val="auto"/>
        </w:rPr>
        <w:t>固定用螺栓、吊杆、龙骨和连接件的安装间距、位置、尺寸和连接方式应满足设计要求，并符合现行行业标准《公共建筑吊顶工程技术规程》JGJ 345和现行行业标准《建筑装饰装修室内吊顶支撑系统技术规程》T/CBDA 18的相关规定。</w:t>
      </w:r>
    </w:p>
    <w:p>
      <w:pPr>
        <w:pStyle w:val="24"/>
        <w:bidi w:val="0"/>
        <w:rPr>
          <w:color w:val="auto"/>
        </w:rPr>
      </w:pPr>
      <w:r>
        <w:rPr>
          <w:rFonts w:hint="eastAsia"/>
          <w:color w:val="auto"/>
        </w:rPr>
        <w:t>GRG安装面积大于100㎡ 或单向长度大于15m</w:t>
      </w:r>
      <w:r>
        <w:rPr>
          <w:rFonts w:hint="eastAsia"/>
          <w:color w:val="auto"/>
          <w:lang w:val="en-US" w:eastAsia="zh-CN"/>
        </w:rPr>
        <w:t>时，</w:t>
      </w:r>
      <w:r>
        <w:rPr>
          <w:rFonts w:hint="eastAsia"/>
          <w:color w:val="auto"/>
        </w:rPr>
        <w:t>应</w:t>
      </w:r>
      <w:r>
        <w:rPr>
          <w:rFonts w:hint="eastAsia"/>
          <w:color w:val="auto"/>
          <w:lang w:eastAsia="zh-CN"/>
        </w:rPr>
        <w:t>根据</w:t>
      </w:r>
      <w:r>
        <w:rPr>
          <w:rFonts w:hint="eastAsia"/>
          <w:color w:val="auto"/>
          <w:lang w:val="en-US" w:eastAsia="zh-CN"/>
        </w:rPr>
        <w:t>GRG</w:t>
      </w:r>
      <w:r>
        <w:rPr>
          <w:rFonts w:hint="eastAsia"/>
          <w:color w:val="auto"/>
          <w:lang w:eastAsia="zh-CN"/>
        </w:rPr>
        <w:t>造型及尺寸合理设置分缝位置。遇到建筑变形缝处时，</w:t>
      </w:r>
      <w:r>
        <w:rPr>
          <w:rFonts w:hint="eastAsia"/>
          <w:color w:val="auto"/>
          <w:lang w:val="en-US" w:eastAsia="zh-CN"/>
        </w:rPr>
        <w:t>应</w:t>
      </w:r>
      <w:r>
        <w:rPr>
          <w:rFonts w:hint="eastAsia"/>
          <w:color w:val="auto"/>
          <w:lang w:eastAsia="zh-CN"/>
        </w:rPr>
        <w:t>根据建筑变形量设计变形缝尺寸及构造。</w:t>
      </w:r>
    </w:p>
    <w:p>
      <w:pPr>
        <w:pStyle w:val="24"/>
        <w:bidi w:val="0"/>
        <w:rPr>
          <w:color w:val="auto"/>
        </w:rPr>
      </w:pPr>
      <w:r>
        <w:rPr>
          <w:rFonts w:hint="eastAsia"/>
          <w:color w:val="auto"/>
        </w:rPr>
        <w:t>GRG与其他墙体的交接处、门洞口应采取防开裂措施。</w:t>
      </w:r>
    </w:p>
    <w:p>
      <w:pPr>
        <w:pStyle w:val="24"/>
        <w:bidi w:val="0"/>
        <w:rPr>
          <w:color w:val="auto"/>
        </w:rPr>
      </w:pPr>
      <w:r>
        <w:rPr>
          <w:rFonts w:hint="eastAsia"/>
          <w:color w:val="auto"/>
        </w:rPr>
        <w:t>GRG接缝应符合下列规定:</w:t>
      </w:r>
    </w:p>
    <w:p>
      <w:pPr>
        <w:pStyle w:val="26"/>
        <w:bidi w:val="0"/>
        <w:rPr>
          <w:color w:val="auto"/>
        </w:rPr>
      </w:pPr>
      <w:r>
        <w:rPr>
          <w:rFonts w:hint="eastAsia"/>
          <w:color w:val="auto"/>
        </w:rPr>
        <w:t>接缝材料应采用专用</w:t>
      </w:r>
      <w:r>
        <w:rPr>
          <w:rFonts w:hint="eastAsia"/>
          <w:color w:val="auto"/>
          <w:lang w:val="en-US" w:eastAsia="zh-CN"/>
        </w:rPr>
        <w:t>填缝</w:t>
      </w:r>
      <w:r>
        <w:rPr>
          <w:rFonts w:hint="eastAsia"/>
          <w:color w:val="auto"/>
        </w:rPr>
        <w:t>剂，并应符合本标准第3.</w:t>
      </w:r>
      <w:r>
        <w:rPr>
          <w:rFonts w:hint="eastAsia"/>
          <w:color w:val="auto"/>
          <w:lang w:val="en-US" w:eastAsia="zh-CN"/>
        </w:rPr>
        <w:t>3.</w:t>
      </w:r>
      <w:r>
        <w:rPr>
          <w:rFonts w:hint="eastAsia"/>
          <w:color w:val="auto"/>
        </w:rPr>
        <w:t>1条的规定；</w:t>
      </w:r>
    </w:p>
    <w:p>
      <w:pPr>
        <w:pStyle w:val="26"/>
        <w:bidi w:val="0"/>
        <w:rPr>
          <w:color w:val="auto"/>
        </w:rPr>
      </w:pPr>
      <w:r>
        <w:rPr>
          <w:rFonts w:hint="eastAsia"/>
          <w:color w:val="auto"/>
        </w:rPr>
        <w:t>接缝应横平竖直、 宽窄均匀，出墙厚度应一致，边样整齐，嵌缝应饱满、密实、连续、均匀、无气泡；</w:t>
      </w:r>
    </w:p>
    <w:p>
      <w:pPr>
        <w:pStyle w:val="26"/>
        <w:bidi w:val="0"/>
        <w:rPr>
          <w:color w:val="auto"/>
        </w:rPr>
      </w:pPr>
      <w:r>
        <w:rPr>
          <w:rFonts w:hint="eastAsia"/>
          <w:color w:val="auto"/>
        </w:rPr>
        <w:t>补缝前应清除接缝位置的砂浆、灰尘等杂物，并做好</w:t>
      </w:r>
      <w:r>
        <w:rPr>
          <w:rFonts w:hint="eastAsia"/>
          <w:color w:val="auto"/>
          <w:lang w:val="en-US" w:eastAsia="zh-CN"/>
        </w:rPr>
        <w:t>打</w:t>
      </w:r>
      <w:r>
        <w:rPr>
          <w:rFonts w:hint="eastAsia"/>
          <w:color w:val="auto"/>
        </w:rPr>
        <w:t>磨处理；</w:t>
      </w:r>
    </w:p>
    <w:p>
      <w:pPr>
        <w:pStyle w:val="26"/>
        <w:bidi w:val="0"/>
        <w:rPr>
          <w:color w:val="auto"/>
        </w:rPr>
      </w:pPr>
      <w:r>
        <w:rPr>
          <w:rFonts w:hint="eastAsia"/>
          <w:color w:val="auto"/>
        </w:rPr>
        <w:t>接缝位置应贴耐碱玻纤网格布，且宽度不小于100mm，接缝处应先涂一层专用粘结剂，用抹刀将网格布压入粘结剂中，待第一层粘结剂硬化后，再涂抹第二层专用粘结剂并找平；</w:t>
      </w:r>
    </w:p>
    <w:p>
      <w:pPr>
        <w:pStyle w:val="26"/>
        <w:bidi w:val="0"/>
        <w:rPr>
          <w:color w:val="auto"/>
        </w:rPr>
      </w:pPr>
      <w:r>
        <w:rPr>
          <w:rFonts w:hint="eastAsia"/>
          <w:color w:val="auto"/>
        </w:rPr>
        <w:t>GRG与安装基面之间的接缝宜抹内弧形角，内弯半径宜为3mm</w:t>
      </w:r>
      <w:r>
        <w:rPr>
          <w:rFonts w:hint="default" w:ascii="Calibri" w:hAnsi="Calibri" w:cs="Calibri"/>
          <w:color w:val="auto"/>
        </w:rPr>
        <w:t>~</w:t>
      </w:r>
      <w:r>
        <w:rPr>
          <w:rFonts w:hint="eastAsia"/>
          <w:color w:val="auto"/>
        </w:rPr>
        <w:t>5mm。</w:t>
      </w:r>
    </w:p>
    <w:p>
      <w:pPr>
        <w:spacing w:line="360" w:lineRule="auto"/>
        <w:ind w:firstLine="420"/>
        <w:rPr>
          <w:color w:val="auto"/>
        </w:rPr>
      </w:pPr>
    </w:p>
    <w:p>
      <w:pPr>
        <w:widowControl/>
        <w:ind w:firstLine="420"/>
        <w:jc w:val="left"/>
        <w:rPr>
          <w:color w:val="auto"/>
        </w:rPr>
      </w:pPr>
      <w:bookmarkStart w:id="30" w:name="_Toc67384446"/>
      <w:bookmarkEnd w:id="30"/>
      <w:r>
        <w:rPr>
          <w:color w:val="auto"/>
        </w:rPr>
        <w:br w:type="page"/>
      </w:r>
    </w:p>
    <w:p>
      <w:pPr>
        <w:pStyle w:val="21"/>
        <w:bidi w:val="0"/>
        <w:rPr>
          <w:color w:val="auto"/>
        </w:rPr>
      </w:pPr>
      <w:bookmarkStart w:id="31" w:name="_Toc67384447"/>
      <w:bookmarkStart w:id="32" w:name="_Toc718"/>
      <w:r>
        <w:rPr>
          <w:rFonts w:hint="eastAsia"/>
          <w:color w:val="auto"/>
        </w:rPr>
        <w:t>质量验收</w:t>
      </w:r>
      <w:bookmarkEnd w:id="31"/>
      <w:bookmarkEnd w:id="32"/>
    </w:p>
    <w:p>
      <w:pPr>
        <w:pStyle w:val="22"/>
        <w:bidi w:val="0"/>
        <w:rPr>
          <w:rFonts w:hint="default"/>
          <w:lang w:val="en-US"/>
        </w:rPr>
      </w:pPr>
      <w:bookmarkStart w:id="33" w:name="_Toc67384448"/>
      <w:bookmarkEnd w:id="33"/>
      <w:bookmarkStart w:id="34" w:name="_Toc2341"/>
      <w:r>
        <w:rPr>
          <w:rFonts w:hint="eastAsia"/>
          <w:lang w:val="en-US" w:eastAsia="zh-CN"/>
        </w:rPr>
        <w:t>一般规定</w:t>
      </w:r>
      <w:bookmarkEnd w:id="34"/>
    </w:p>
    <w:p>
      <w:pPr>
        <w:pStyle w:val="24"/>
        <w:bidi w:val="0"/>
        <w:rPr>
          <w:color w:val="auto"/>
        </w:rPr>
      </w:pPr>
      <w:r>
        <w:rPr>
          <w:rFonts w:hint="eastAsia"/>
          <w:color w:val="auto"/>
        </w:rPr>
        <w:t>GRG</w:t>
      </w:r>
      <w:r>
        <w:rPr>
          <w:rFonts w:hint="eastAsia"/>
          <w:color w:val="auto"/>
          <w:lang w:val="en-US" w:eastAsia="zh-CN"/>
        </w:rPr>
        <w:t>装饰</w:t>
      </w:r>
      <w:r>
        <w:rPr>
          <w:rFonts w:hint="eastAsia"/>
          <w:color w:val="auto"/>
        </w:rPr>
        <w:t>工程验收应符合现行国家标准《建筑工程施工质量验收统一标准》GB50300和《建筑装饰装修工程质量验收标准》GB50210的规定。</w:t>
      </w:r>
    </w:p>
    <w:p>
      <w:pPr>
        <w:pStyle w:val="24"/>
        <w:bidi w:val="0"/>
        <w:rPr>
          <w:color w:val="auto"/>
        </w:rPr>
      </w:pPr>
      <w:r>
        <w:rPr>
          <w:rFonts w:hint="eastAsia"/>
          <w:color w:val="auto"/>
        </w:rPr>
        <w:t>GRG</w:t>
      </w:r>
      <w:r>
        <w:rPr>
          <w:rFonts w:hint="eastAsia"/>
          <w:color w:val="auto"/>
          <w:lang w:val="en-US" w:eastAsia="zh-CN"/>
        </w:rPr>
        <w:t>装饰</w:t>
      </w:r>
      <w:r>
        <w:rPr>
          <w:rFonts w:hint="eastAsia"/>
          <w:color w:val="auto"/>
        </w:rPr>
        <w:t>工程中</w:t>
      </w:r>
      <w:r>
        <w:rPr>
          <w:rFonts w:hint="eastAsia"/>
          <w:color w:val="auto"/>
          <w:lang w:eastAsia="zh-CN"/>
        </w:rPr>
        <w:t>，钢骨架</w:t>
      </w:r>
      <w:r>
        <w:rPr>
          <w:rFonts w:hint="eastAsia"/>
          <w:color w:val="auto"/>
          <w:lang w:val="en-US" w:eastAsia="zh-CN"/>
        </w:rPr>
        <w:t>验收应符合现行</w:t>
      </w:r>
      <w:r>
        <w:rPr>
          <w:rFonts w:hint="eastAsia"/>
          <w:color w:val="auto"/>
        </w:rPr>
        <w:t>国家标准《钢结构工程施工质量验收</w:t>
      </w:r>
      <w:r>
        <w:rPr>
          <w:rFonts w:hint="eastAsia"/>
          <w:color w:val="auto"/>
          <w:lang w:val="en-US" w:eastAsia="zh-CN"/>
        </w:rPr>
        <w:t>标准</w:t>
      </w:r>
      <w:r>
        <w:rPr>
          <w:rFonts w:hint="eastAsia"/>
          <w:color w:val="auto"/>
        </w:rPr>
        <w:t>》GB50205的规定。</w:t>
      </w:r>
    </w:p>
    <w:p>
      <w:pPr>
        <w:pStyle w:val="24"/>
        <w:bidi w:val="0"/>
        <w:rPr>
          <w:color w:val="auto"/>
        </w:rPr>
      </w:pPr>
      <w:r>
        <w:rPr>
          <w:rFonts w:hint="eastAsia"/>
          <w:color w:val="auto"/>
          <w:lang w:eastAsia="zh-CN"/>
        </w:rPr>
        <w:t>GRG装饰工程</w:t>
      </w:r>
      <w:r>
        <w:rPr>
          <w:rFonts w:hint="eastAsia"/>
          <w:color w:val="auto"/>
        </w:rPr>
        <w:t>施工前应</w:t>
      </w:r>
      <w:r>
        <w:rPr>
          <w:rFonts w:hint="eastAsia"/>
          <w:color w:val="auto"/>
          <w:lang w:val="en-US" w:eastAsia="zh-CN"/>
        </w:rPr>
        <w:t>进行</w:t>
      </w:r>
      <w:r>
        <w:rPr>
          <w:rFonts w:hint="eastAsia"/>
          <w:color w:val="auto"/>
        </w:rPr>
        <w:t>材料及</w:t>
      </w:r>
      <w:r>
        <w:rPr>
          <w:rFonts w:hint="eastAsia"/>
          <w:color w:val="auto"/>
          <w:lang w:val="en-US" w:eastAsia="zh-CN"/>
        </w:rPr>
        <w:t>配套材料</w:t>
      </w:r>
      <w:r>
        <w:rPr>
          <w:rFonts w:hint="eastAsia"/>
          <w:color w:val="auto"/>
        </w:rPr>
        <w:t>进场验收，施工过程中应及时进行质量检查、隐蔽工程验收和</w:t>
      </w:r>
      <w:r>
        <w:rPr>
          <w:rFonts w:hint="eastAsia"/>
          <w:color w:val="auto"/>
          <w:lang w:val="en-US" w:eastAsia="zh-CN"/>
        </w:rPr>
        <w:t>分项</w:t>
      </w:r>
      <w:r>
        <w:rPr>
          <w:rFonts w:hint="eastAsia"/>
          <w:color w:val="auto"/>
        </w:rPr>
        <w:t>验收。施工过程中应及时建立技术资料档案。</w:t>
      </w:r>
    </w:p>
    <w:p>
      <w:pPr>
        <w:pStyle w:val="24"/>
        <w:bidi w:val="0"/>
        <w:rPr>
          <w:color w:val="auto"/>
        </w:rPr>
      </w:pPr>
      <w:r>
        <w:rPr>
          <w:rFonts w:hint="eastAsia"/>
          <w:color w:val="auto"/>
          <w:lang w:eastAsia="zh-CN"/>
        </w:rPr>
        <w:t>GRG装饰工程</w:t>
      </w:r>
      <w:r>
        <w:rPr>
          <w:rFonts w:hint="eastAsia"/>
          <w:color w:val="auto"/>
        </w:rPr>
        <w:t>应对下列部位或内容进行隐蔽工程验收，并应有详细的文字记录和必要的图像资料：</w:t>
      </w:r>
    </w:p>
    <w:p>
      <w:pPr>
        <w:spacing w:line="360" w:lineRule="auto"/>
        <w:ind w:firstLine="420"/>
        <w:rPr>
          <w:color w:val="auto"/>
        </w:rPr>
      </w:pPr>
      <w:r>
        <w:rPr>
          <w:rFonts w:hint="eastAsia"/>
          <w:color w:val="auto"/>
        </w:rPr>
        <w:t>1   预埋件或后置埋件；</w:t>
      </w:r>
    </w:p>
    <w:p>
      <w:pPr>
        <w:spacing w:line="360" w:lineRule="auto"/>
        <w:ind w:firstLine="420"/>
        <w:rPr>
          <w:color w:val="auto"/>
        </w:rPr>
      </w:pPr>
      <w:r>
        <w:rPr>
          <w:rFonts w:hint="eastAsia"/>
          <w:color w:val="auto"/>
        </w:rPr>
        <w:t>2   连接件与主体结构的连接；</w:t>
      </w:r>
    </w:p>
    <w:p>
      <w:pPr>
        <w:spacing w:line="360" w:lineRule="auto"/>
        <w:ind w:firstLine="420"/>
        <w:rPr>
          <w:color w:val="auto"/>
        </w:rPr>
      </w:pPr>
      <w:r>
        <w:rPr>
          <w:rFonts w:hint="eastAsia"/>
          <w:color w:val="auto"/>
        </w:rPr>
        <w:t>3   支撑</w:t>
      </w:r>
      <w:r>
        <w:rPr>
          <w:rFonts w:hint="eastAsia"/>
          <w:color w:val="auto"/>
          <w:lang w:val="en-US" w:eastAsia="zh-CN"/>
        </w:rPr>
        <w:t>钢骨架</w:t>
      </w:r>
      <w:r>
        <w:rPr>
          <w:rFonts w:hint="eastAsia"/>
          <w:color w:val="auto"/>
        </w:rPr>
        <w:t>等被隐蔽部位；</w:t>
      </w:r>
    </w:p>
    <w:p>
      <w:pPr>
        <w:spacing w:line="360" w:lineRule="auto"/>
        <w:ind w:firstLine="420"/>
        <w:rPr>
          <w:rFonts w:hint="eastAsia" w:eastAsiaTheme="minorEastAsia"/>
          <w:color w:val="auto"/>
          <w:lang w:eastAsia="zh-CN"/>
        </w:rPr>
      </w:pPr>
      <w:r>
        <w:rPr>
          <w:rFonts w:hint="eastAsia"/>
          <w:color w:val="auto"/>
        </w:rPr>
        <w:t>4   GRG四周封堵及GRG与主体结构间的封堵</w:t>
      </w:r>
      <w:r>
        <w:rPr>
          <w:rFonts w:hint="eastAsia"/>
          <w:color w:val="auto"/>
          <w:lang w:eastAsia="zh-CN"/>
        </w:rPr>
        <w:t>。</w:t>
      </w:r>
    </w:p>
    <w:p>
      <w:pPr>
        <w:pStyle w:val="24"/>
        <w:bidi w:val="0"/>
        <w:rPr>
          <w:color w:val="auto"/>
        </w:rPr>
      </w:pPr>
      <w:r>
        <w:rPr>
          <w:rFonts w:hint="eastAsia"/>
          <w:color w:val="auto"/>
          <w:lang w:eastAsia="zh-CN"/>
        </w:rPr>
        <w:t>GRG装饰工程</w:t>
      </w:r>
      <w:r>
        <w:rPr>
          <w:rFonts w:hint="eastAsia"/>
          <w:color w:val="auto"/>
        </w:rPr>
        <w:t>的检验批划分应符合下列规定：</w:t>
      </w:r>
    </w:p>
    <w:p>
      <w:pPr>
        <w:pStyle w:val="24"/>
        <w:numPr>
          <w:ilvl w:val="3"/>
          <w:numId w:val="0"/>
        </w:numPr>
        <w:ind w:left="420"/>
        <w:rPr>
          <w:color w:val="auto"/>
        </w:rPr>
      </w:pPr>
      <w:r>
        <w:rPr>
          <w:rFonts w:hint="eastAsia"/>
          <w:color w:val="auto"/>
        </w:rPr>
        <w:t>1  同一工艺生产和施工的、同一类型、规格和强度的GRG每个装饰区域应划分为一个检验批；</w:t>
      </w:r>
    </w:p>
    <w:p>
      <w:pPr>
        <w:pStyle w:val="24"/>
        <w:numPr>
          <w:ilvl w:val="3"/>
          <w:numId w:val="0"/>
        </w:numPr>
        <w:ind w:left="420"/>
        <w:rPr>
          <w:color w:val="auto"/>
        </w:rPr>
      </w:pPr>
      <w:r>
        <w:rPr>
          <w:rFonts w:hint="eastAsia"/>
          <w:color w:val="auto"/>
        </w:rPr>
        <w:t>2   检验批的划分也可根据结构、工艺特点及工程规模按方便施工和验收的原则由建设单位组织监理、设计、施工等参建单位共同商定。</w:t>
      </w:r>
    </w:p>
    <w:p>
      <w:pPr>
        <w:pStyle w:val="24"/>
        <w:bidi w:val="0"/>
        <w:rPr>
          <w:color w:val="auto"/>
        </w:rPr>
      </w:pPr>
      <w:r>
        <w:rPr>
          <w:rFonts w:hint="eastAsia"/>
          <w:color w:val="auto"/>
        </w:rPr>
        <w:t xml:space="preserve"> </w:t>
      </w:r>
      <w:r>
        <w:rPr>
          <w:rFonts w:hint="eastAsia"/>
          <w:color w:val="auto"/>
          <w:lang w:eastAsia="zh-CN"/>
        </w:rPr>
        <w:t>GRG装饰工程</w:t>
      </w:r>
      <w:r>
        <w:rPr>
          <w:rFonts w:hint="eastAsia"/>
          <w:color w:val="auto"/>
        </w:rPr>
        <w:t>的检验批质量验收合格，应符合下列规定：</w:t>
      </w:r>
    </w:p>
    <w:p>
      <w:pPr>
        <w:pStyle w:val="24"/>
        <w:numPr>
          <w:ilvl w:val="3"/>
          <w:numId w:val="0"/>
        </w:numPr>
        <w:ind w:left="420"/>
        <w:rPr>
          <w:color w:val="auto"/>
        </w:rPr>
      </w:pPr>
      <w:r>
        <w:rPr>
          <w:rFonts w:hint="eastAsia"/>
          <w:color w:val="auto"/>
        </w:rPr>
        <w:t>1 检验批应按主控项目和一般项目验收；</w:t>
      </w:r>
    </w:p>
    <w:p>
      <w:pPr>
        <w:pStyle w:val="24"/>
        <w:numPr>
          <w:ilvl w:val="3"/>
          <w:numId w:val="0"/>
        </w:numPr>
        <w:ind w:left="420"/>
        <w:rPr>
          <w:color w:val="auto"/>
        </w:rPr>
      </w:pPr>
      <w:r>
        <w:rPr>
          <w:rFonts w:hint="eastAsia"/>
          <w:color w:val="auto"/>
        </w:rPr>
        <w:t>2 主控项目应全部合格；</w:t>
      </w:r>
    </w:p>
    <w:p>
      <w:pPr>
        <w:pStyle w:val="24"/>
        <w:numPr>
          <w:ilvl w:val="3"/>
          <w:numId w:val="0"/>
        </w:numPr>
        <w:ind w:left="420"/>
        <w:rPr>
          <w:color w:val="auto"/>
        </w:rPr>
      </w:pPr>
      <w:r>
        <w:rPr>
          <w:rFonts w:hint="eastAsia"/>
          <w:color w:val="auto"/>
        </w:rPr>
        <w:t>3 一般项目应合格；当采用计数检验时，至少应有90%以上的检查点合格，且其余检查点不得有严重缺陷；</w:t>
      </w:r>
    </w:p>
    <w:p>
      <w:pPr>
        <w:pStyle w:val="24"/>
        <w:numPr>
          <w:ilvl w:val="3"/>
          <w:numId w:val="0"/>
        </w:numPr>
        <w:ind w:left="420"/>
        <w:rPr>
          <w:color w:val="auto"/>
        </w:rPr>
      </w:pPr>
      <w:r>
        <w:rPr>
          <w:rFonts w:hint="eastAsia"/>
          <w:color w:val="auto"/>
        </w:rPr>
        <w:t>4  应具有完整的施工操作依据和质量验收记录。</w:t>
      </w:r>
    </w:p>
    <w:p>
      <w:pPr>
        <w:pStyle w:val="22"/>
        <w:bidi w:val="0"/>
        <w:rPr>
          <w:rFonts w:hint="default"/>
          <w:lang w:val="en-US"/>
        </w:rPr>
      </w:pPr>
      <w:bookmarkStart w:id="35" w:name="_Toc1719"/>
      <w:r>
        <w:rPr>
          <w:rFonts w:hint="eastAsia"/>
          <w:lang w:val="en-US" w:eastAsia="zh-CN"/>
        </w:rPr>
        <w:t>钢骨架制作安装</w:t>
      </w:r>
      <w:bookmarkEnd w:id="35"/>
    </w:p>
    <w:p>
      <w:pPr>
        <w:pStyle w:val="22"/>
        <w:numPr>
          <w:ilvl w:val="1"/>
          <w:numId w:val="0"/>
        </w:numPr>
        <w:bidi w:val="0"/>
        <w:ind w:firstLine="2730" w:firstLineChars="1300"/>
        <w:jc w:val="both"/>
        <w:rPr>
          <w:b w:val="0"/>
          <w:bCs/>
          <w:color w:val="auto"/>
        </w:rPr>
      </w:pPr>
      <w:bookmarkStart w:id="36" w:name="_Toc10032"/>
      <w:r>
        <w:rPr>
          <w:rFonts w:hint="eastAsia" w:ascii="宋体" w:hAnsi="宋体" w:eastAsia="宋体" w:cs="宋体"/>
          <w:b w:val="0"/>
          <w:bCs/>
          <w:color w:val="auto"/>
        </w:rPr>
        <w:t>Ⅰ</w:t>
      </w:r>
      <w:r>
        <w:rPr>
          <w:rFonts w:hint="eastAsia"/>
          <w:b w:val="0"/>
          <w:bCs/>
          <w:color w:val="auto"/>
        </w:rPr>
        <w:t>主控项目</w:t>
      </w:r>
      <w:bookmarkEnd w:id="36"/>
    </w:p>
    <w:p>
      <w:pPr>
        <w:pStyle w:val="24"/>
        <w:numPr>
          <w:ilvl w:val="3"/>
          <w:numId w:val="0"/>
        </w:numPr>
        <w:bidi w:val="0"/>
        <w:ind w:leftChars="0"/>
        <w:rPr>
          <w:rFonts w:hint="eastAsia" w:ascii="宋体" w:hAnsi="宋体" w:eastAsia="宋体" w:cs="宋体"/>
          <w:color w:val="auto"/>
        </w:rPr>
      </w:pPr>
      <w:r>
        <w:rPr>
          <w:rFonts w:hint="eastAsia" w:ascii="Times New Roman" w:hAnsi="Times New Roman" w:eastAsia="宋体" w:cs="Times New Roman"/>
          <w:color w:val="auto"/>
          <w:kern w:val="2"/>
          <w:sz w:val="20"/>
          <w:szCs w:val="20"/>
          <w:lang w:val="en-US" w:eastAsia="zh-CN" w:bidi="ar-SA"/>
        </w:rPr>
        <w:t>7.</w:t>
      </w:r>
      <w:r>
        <w:rPr>
          <w:rFonts w:hint="eastAsia" w:ascii="Times New Roman" w:hAnsi="Times New Roman" w:cs="Times New Roman"/>
          <w:color w:val="auto"/>
          <w:kern w:val="2"/>
          <w:sz w:val="20"/>
          <w:szCs w:val="20"/>
          <w:lang w:val="en-US" w:eastAsia="zh-CN" w:bidi="ar-SA"/>
        </w:rPr>
        <w:t>2.1</w:t>
      </w:r>
      <w:r>
        <w:rPr>
          <w:rFonts w:hint="eastAsia" w:ascii="Times New Roman" w:hAnsi="Times New Roman" w:eastAsia="宋体" w:cs="Times New Roman"/>
          <w:color w:val="auto"/>
          <w:kern w:val="2"/>
          <w:sz w:val="20"/>
          <w:szCs w:val="20"/>
          <w:lang w:val="en-US" w:eastAsia="zh-CN" w:bidi="ar-SA"/>
        </w:rPr>
        <w:t xml:space="preserve">    </w:t>
      </w:r>
      <w:r>
        <w:rPr>
          <w:rFonts w:hint="eastAsia" w:ascii="宋体" w:hAnsi="宋体" w:eastAsia="宋体" w:cs="宋体"/>
          <w:color w:val="auto"/>
          <w:lang w:val="en-US" w:eastAsia="zh-CN"/>
        </w:rPr>
        <w:t>钢骨架制作安装</w:t>
      </w:r>
      <w:r>
        <w:rPr>
          <w:rFonts w:hint="eastAsia" w:ascii="宋体" w:hAnsi="宋体" w:eastAsia="宋体" w:cs="宋体"/>
          <w:color w:val="auto"/>
        </w:rPr>
        <w:t>所用</w:t>
      </w:r>
      <w:r>
        <w:rPr>
          <w:rFonts w:hint="eastAsia" w:ascii="宋体" w:hAnsi="宋体" w:cs="宋体"/>
          <w:color w:val="auto"/>
          <w:lang w:val="en-US" w:eastAsia="zh-CN"/>
        </w:rPr>
        <w:t>型钢、</w:t>
      </w:r>
      <w:r>
        <w:rPr>
          <w:rFonts w:hint="eastAsia" w:ascii="宋体" w:hAnsi="宋体" w:eastAsia="宋体" w:cs="宋体"/>
          <w:color w:val="auto"/>
          <w:lang w:val="en-US" w:eastAsia="zh-CN"/>
        </w:rPr>
        <w:t>连接件、焊接材料、防腐涂料等</w:t>
      </w:r>
      <w:r>
        <w:rPr>
          <w:rFonts w:hint="eastAsia" w:ascii="宋体" w:hAnsi="宋体" w:eastAsia="宋体" w:cs="宋体"/>
          <w:color w:val="auto"/>
        </w:rPr>
        <w:t>品种、规格和性能应满足设计</w:t>
      </w:r>
      <w:r>
        <w:rPr>
          <w:rFonts w:hint="eastAsia" w:ascii="宋体" w:hAnsi="宋体" w:eastAsia="宋体" w:cs="宋体"/>
          <w:color w:val="auto"/>
          <w:lang w:val="en-US" w:eastAsia="zh-CN"/>
        </w:rPr>
        <w:t>和规范</w:t>
      </w:r>
      <w:r>
        <w:rPr>
          <w:rFonts w:hint="eastAsia" w:ascii="宋体" w:hAnsi="宋体" w:eastAsia="宋体" w:cs="宋体"/>
          <w:color w:val="auto"/>
        </w:rPr>
        <w:t>要求</w:t>
      </w:r>
      <w:r>
        <w:rPr>
          <w:rFonts w:hint="eastAsia" w:ascii="宋体" w:hAnsi="宋体" w:eastAsia="宋体" w:cs="宋体"/>
          <w:color w:val="auto"/>
          <w:lang w:eastAsia="zh-CN"/>
        </w:rPr>
        <w:t>，</w:t>
      </w:r>
      <w:r>
        <w:rPr>
          <w:rFonts w:hint="eastAsia" w:ascii="宋体" w:hAnsi="宋体" w:cs="宋体"/>
          <w:color w:val="auto"/>
          <w:lang w:val="en-US" w:eastAsia="zh-CN"/>
        </w:rPr>
        <w:t>型钢</w:t>
      </w:r>
      <w:r>
        <w:rPr>
          <w:rFonts w:hint="eastAsia" w:ascii="宋体" w:hAnsi="宋体" w:eastAsia="宋体" w:cs="宋体"/>
          <w:color w:val="auto"/>
          <w:lang w:val="en-US" w:eastAsia="zh-CN"/>
        </w:rPr>
        <w:t>进场时，应按国家现行标准的规定抽取试件且应进行屈服强度、抗拉强度、伸长率和厚度偏差检验，检验结果应符合国家现行标准的规定；焊接材料进场时，应按国家现行标准的规定抽取试件且应进行化学成分和力学性能检验，检验结果应符合国家现行标准的规定。</w:t>
      </w:r>
      <w:r>
        <w:rPr>
          <w:rFonts w:hint="eastAsia" w:ascii="宋体" w:hAnsi="宋体" w:eastAsia="宋体" w:cs="宋体"/>
          <w:color w:val="auto"/>
        </w:rPr>
        <w:t>并应符合本标准第3章和第5章的规定。</w:t>
      </w:r>
    </w:p>
    <w:p>
      <w:pPr>
        <w:pStyle w:val="24"/>
        <w:keepNext w:val="0"/>
        <w:keepLines w:val="0"/>
        <w:pageBreakBefore w:val="0"/>
        <w:widowControl w:val="0"/>
        <w:numPr>
          <w:ilvl w:val="3"/>
          <w:numId w:val="0"/>
        </w:numPr>
        <w:kinsoku/>
        <w:wordWrap/>
        <w:overflowPunct/>
        <w:topLinePunct w:val="0"/>
        <w:autoSpaceDE/>
        <w:autoSpaceDN/>
        <w:bidi w:val="0"/>
        <w:adjustRightInd/>
        <w:snapToGrid/>
        <w:spacing w:line="360" w:lineRule="auto"/>
        <w:ind w:left="630" w:leftChars="300" w:firstLine="0" w:firstLineChars="0"/>
        <w:textAlignment w:val="auto"/>
        <w:rPr>
          <w:rFonts w:hint="eastAsia" w:ascii="宋体" w:hAnsi="宋体" w:eastAsia="宋体" w:cs="宋体"/>
          <w:color w:val="auto"/>
        </w:rPr>
      </w:pPr>
      <w:r>
        <w:rPr>
          <w:rFonts w:hint="eastAsia" w:ascii="宋体" w:hAnsi="宋体" w:eastAsia="宋体" w:cs="宋体"/>
          <w:color w:val="auto"/>
        </w:rPr>
        <w:t>检查数量：按进场批次，每批随机抽取3个试样进行检查；质量证明文件应按照其出厂检验批进行核查。</w:t>
      </w:r>
    </w:p>
    <w:p>
      <w:pPr>
        <w:pStyle w:val="24"/>
        <w:numPr>
          <w:ilvl w:val="3"/>
          <w:numId w:val="0"/>
        </w:numPr>
        <w:ind w:left="630" w:leftChars="300" w:firstLine="0" w:firstLineChars="0"/>
        <w:rPr>
          <w:rFonts w:hint="eastAsia" w:ascii="宋体" w:hAnsi="宋体" w:eastAsia="宋体" w:cs="宋体"/>
          <w:color w:val="auto"/>
        </w:rPr>
      </w:pPr>
      <w:r>
        <w:rPr>
          <w:rFonts w:hint="eastAsia" w:ascii="宋体" w:hAnsi="宋体" w:eastAsia="宋体" w:cs="宋体"/>
          <w:color w:val="auto"/>
        </w:rPr>
        <w:t>检验方法：观察、尺量检查；核查产品合格证、出厂检验报告、</w:t>
      </w:r>
      <w:r>
        <w:rPr>
          <w:rFonts w:hint="eastAsia" w:ascii="宋体" w:hAnsi="宋体" w:eastAsia="宋体" w:cs="宋体"/>
          <w:color w:val="auto"/>
          <w:lang w:val="en-US" w:eastAsia="zh-CN"/>
        </w:rPr>
        <w:t>抽样检验报告</w:t>
      </w:r>
      <w:r>
        <w:rPr>
          <w:rFonts w:hint="eastAsia" w:ascii="宋体" w:hAnsi="宋体" w:eastAsia="宋体" w:cs="宋体"/>
          <w:color w:val="auto"/>
        </w:rPr>
        <w:t>等质量证明文件。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color w:val="auto"/>
          <w:kern w:val="2"/>
          <w:sz w:val="20"/>
          <w:szCs w:val="20"/>
          <w:lang w:val="en-US" w:eastAsia="zh-CN" w:bidi="ar-SA"/>
        </w:rPr>
        <w:t xml:space="preserve">7.2.2   </w:t>
      </w:r>
      <w:r>
        <w:rPr>
          <w:rFonts w:hint="eastAsia" w:ascii="宋体" w:hAnsi="宋体" w:eastAsia="宋体" w:cs="宋体"/>
          <w:color w:val="auto"/>
          <w:kern w:val="2"/>
          <w:sz w:val="21"/>
          <w:szCs w:val="21"/>
          <w:lang w:val="en-US" w:eastAsia="zh-CN" w:bidi="ar-SA"/>
        </w:rPr>
        <w:t>钢骨架中钢材、钢部件拼接或对接时所采用的焊缝质量等级应满足设计要求，当设计无要求时，应采用质量等级不低于二级的熔透焊缝，对直接承受拉力的焊缝，应采用一级熔透焊缝。</w:t>
      </w:r>
    </w:p>
    <w:p>
      <w:pPr>
        <w:keepNext w:val="0"/>
        <w:keepLines w:val="0"/>
        <w:pageBreakBefore w:val="0"/>
        <w:widowControl w:val="0"/>
        <w:kinsoku/>
        <w:wordWrap/>
        <w:overflowPunct/>
        <w:topLinePunct w:val="0"/>
        <w:autoSpaceDE/>
        <w:autoSpaceDN/>
        <w:bidi w:val="0"/>
        <w:adjustRightInd/>
        <w:snapToGrid/>
        <w:spacing w:line="360" w:lineRule="auto"/>
        <w:ind w:left="0" w:leftChars="0" w:firstLine="630" w:firstLineChars="300"/>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检查数量：全数检查。</w:t>
      </w:r>
    </w:p>
    <w:p>
      <w:pPr>
        <w:keepNext w:val="0"/>
        <w:keepLines w:val="0"/>
        <w:pageBreakBefore w:val="0"/>
        <w:widowControl w:val="0"/>
        <w:kinsoku/>
        <w:wordWrap/>
        <w:overflowPunct/>
        <w:topLinePunct w:val="0"/>
        <w:autoSpaceDE/>
        <w:autoSpaceDN/>
        <w:bidi w:val="0"/>
        <w:adjustRightInd/>
        <w:snapToGrid/>
        <w:spacing w:line="360" w:lineRule="auto"/>
        <w:ind w:left="0" w:leftChars="0" w:firstLine="630" w:firstLineChars="300"/>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检验方法：检查超声波探伤报告。</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1"/>
          <w:szCs w:val="21"/>
          <w:lang w:val="en-US" w:eastAsia="zh-CN" w:bidi="ar-SA"/>
        </w:rPr>
      </w:pPr>
      <w:r>
        <w:rPr>
          <w:rFonts w:hint="default" w:ascii="Times New Roman" w:hAnsi="Times New Roman" w:eastAsia="宋体" w:cs="Times New Roman"/>
          <w:color w:val="auto"/>
          <w:kern w:val="2"/>
          <w:sz w:val="20"/>
          <w:szCs w:val="20"/>
          <w:lang w:val="en-US" w:eastAsia="zh-CN" w:bidi="ar-SA"/>
        </w:rPr>
        <w:t>7.</w:t>
      </w:r>
      <w:r>
        <w:rPr>
          <w:rFonts w:hint="eastAsia" w:ascii="Times New Roman" w:hAnsi="Times New Roman" w:eastAsia="宋体" w:cs="Times New Roman"/>
          <w:color w:val="auto"/>
          <w:kern w:val="2"/>
          <w:sz w:val="20"/>
          <w:szCs w:val="20"/>
          <w:lang w:val="en-US" w:eastAsia="zh-CN" w:bidi="ar-SA"/>
        </w:rPr>
        <w:t xml:space="preserve">2.3  </w:t>
      </w:r>
      <w:r>
        <w:rPr>
          <w:rFonts w:hint="eastAsia" w:ascii="宋体" w:hAnsi="宋体" w:eastAsia="宋体" w:cs="宋体"/>
          <w:color w:val="auto"/>
          <w:kern w:val="2"/>
          <w:sz w:val="21"/>
          <w:szCs w:val="21"/>
          <w:lang w:val="en-US" w:eastAsia="zh-CN" w:bidi="ar-SA"/>
        </w:rPr>
        <w:t xml:space="preserve"> 钢骨架防腐涂料涂装前钢材表面除锈等级应满足设计要求并符合国家现行标准的规定。处理后的钢材表面不应有焊渣、焊疤、灰尘、油污、水和毛刺等。。</w:t>
      </w:r>
    </w:p>
    <w:p>
      <w:pPr>
        <w:keepNext w:val="0"/>
        <w:keepLines w:val="0"/>
        <w:pageBreakBefore w:val="0"/>
        <w:widowControl w:val="0"/>
        <w:kinsoku/>
        <w:wordWrap/>
        <w:overflowPunct/>
        <w:topLinePunct w:val="0"/>
        <w:autoSpaceDE/>
        <w:autoSpaceDN/>
        <w:bidi w:val="0"/>
        <w:adjustRightInd/>
        <w:snapToGrid/>
        <w:spacing w:line="360" w:lineRule="auto"/>
        <w:ind w:left="-199" w:leftChars="-95" w:firstLine="199" w:firstLineChars="95"/>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 xml:space="preserve">      检查数量：按构件数抽查10%,且同类构件不应少于3件。</w:t>
      </w:r>
    </w:p>
    <w:p>
      <w:pPr>
        <w:pStyle w:val="24"/>
        <w:numPr>
          <w:ilvl w:val="3"/>
          <w:numId w:val="0"/>
        </w:numPr>
        <w:bidi w:val="0"/>
        <w:ind w:firstLine="400" w:firstLineChars="200"/>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color w:val="auto"/>
          <w:kern w:val="2"/>
          <w:sz w:val="20"/>
          <w:szCs w:val="20"/>
          <w:lang w:val="en-US" w:eastAsia="zh-CN" w:bidi="ar-SA"/>
        </w:rPr>
        <w:t xml:space="preserve">  </w:t>
      </w:r>
      <w:r>
        <w:rPr>
          <w:rFonts w:hint="eastAsia" w:ascii="宋体" w:hAnsi="宋体" w:eastAsia="宋体" w:cs="宋体"/>
          <w:color w:val="auto"/>
          <w:kern w:val="2"/>
          <w:sz w:val="21"/>
          <w:szCs w:val="21"/>
          <w:lang w:val="en-US" w:eastAsia="zh-CN" w:bidi="ar-SA"/>
        </w:rPr>
        <w:t xml:space="preserve"> 检验方法：用铲刀检查和用现行国家标准《涂覆材料前钢材表面处理  表面清洁度的目视规定 第1部分：未涂覆过的钢材表面和全面清除原有涂层后的钢材表面的锈蚀等级和处理等级》GB/T8923.1规定的图片对照观察检查。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1"/>
          <w:szCs w:val="21"/>
          <w:lang w:val="en-US" w:eastAsia="zh-CN" w:bidi="ar-SA"/>
        </w:rPr>
      </w:pPr>
      <w:r>
        <w:rPr>
          <w:rFonts w:hint="default" w:ascii="Times New Roman" w:hAnsi="Times New Roman" w:eastAsia="宋体" w:cs="Times New Roman"/>
          <w:color w:val="auto"/>
          <w:kern w:val="2"/>
          <w:sz w:val="20"/>
          <w:szCs w:val="20"/>
          <w:lang w:val="en-US" w:eastAsia="zh-CN" w:bidi="ar-SA"/>
        </w:rPr>
        <w:t>7.</w:t>
      </w:r>
      <w:r>
        <w:rPr>
          <w:rFonts w:hint="eastAsia" w:ascii="Times New Roman" w:hAnsi="Times New Roman" w:eastAsia="宋体" w:cs="Times New Roman"/>
          <w:color w:val="auto"/>
          <w:kern w:val="2"/>
          <w:sz w:val="20"/>
          <w:szCs w:val="20"/>
          <w:lang w:val="en-US" w:eastAsia="zh-CN" w:bidi="ar-SA"/>
        </w:rPr>
        <w:t xml:space="preserve">2.4  </w:t>
      </w:r>
      <w:r>
        <w:rPr>
          <w:rFonts w:hint="eastAsia" w:ascii="宋体" w:hAnsi="宋体" w:eastAsia="宋体" w:cs="宋体"/>
          <w:color w:val="auto"/>
          <w:kern w:val="2"/>
          <w:sz w:val="21"/>
          <w:szCs w:val="21"/>
          <w:lang w:val="en-US" w:eastAsia="zh-CN" w:bidi="ar-SA"/>
        </w:rPr>
        <w:t xml:space="preserve"> 钢骨架钢材表面应进行防腐处理，防腐涂料、涂装遍数、涂装间隔、涂层厚度均应满足设计文件、涂料产品标准的要求。当设计对涂层厚度无要求时，室内涂层干漆膜总厚度不应小于125μm。</w:t>
      </w:r>
    </w:p>
    <w:p>
      <w:pPr>
        <w:keepNext w:val="0"/>
        <w:keepLines w:val="0"/>
        <w:pageBreakBefore w:val="0"/>
        <w:widowControl w:val="0"/>
        <w:kinsoku/>
        <w:wordWrap/>
        <w:overflowPunct/>
        <w:topLinePunct w:val="0"/>
        <w:autoSpaceDE/>
        <w:autoSpaceDN/>
        <w:bidi w:val="0"/>
        <w:adjustRightInd/>
        <w:snapToGrid/>
        <w:spacing w:line="360" w:lineRule="auto"/>
        <w:ind w:left="0" w:leftChars="0" w:firstLine="840" w:firstLineChars="400"/>
        <w:textAlignment w:val="auto"/>
        <w:rPr>
          <w:rFonts w:hint="default"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检查数量：按照构件数抽查10%，且同类构件不应少于3件。</w:t>
      </w:r>
    </w:p>
    <w:p>
      <w:pPr>
        <w:keepNext w:val="0"/>
        <w:keepLines w:val="0"/>
        <w:pageBreakBefore w:val="0"/>
        <w:widowControl w:val="0"/>
        <w:kinsoku/>
        <w:wordWrap/>
        <w:overflowPunct/>
        <w:topLinePunct w:val="0"/>
        <w:autoSpaceDE/>
        <w:autoSpaceDN/>
        <w:bidi w:val="0"/>
        <w:adjustRightInd/>
        <w:snapToGrid/>
        <w:spacing w:line="360" w:lineRule="auto"/>
        <w:ind w:firstLine="840" w:firstLineChars="400"/>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检验方法：用干漆膜测厚仪检查。每个构件检测5处，每处的数值为3个相距50mm测点涂层干漆膜厚度的平均值。漆膜厚度的允许偏差应为—25μm。</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1"/>
          <w:szCs w:val="21"/>
          <w:lang w:val="en-US" w:eastAsia="zh-CN" w:bidi="ar-SA"/>
        </w:rPr>
      </w:pPr>
      <w:r>
        <w:rPr>
          <w:rFonts w:hint="default" w:ascii="Times New Roman" w:hAnsi="Times New Roman" w:eastAsia="宋体" w:cs="Times New Roman"/>
          <w:color w:val="auto"/>
          <w:kern w:val="2"/>
          <w:sz w:val="20"/>
          <w:szCs w:val="20"/>
          <w:lang w:val="en-US" w:eastAsia="zh-CN" w:bidi="ar-SA"/>
        </w:rPr>
        <w:t>7.</w:t>
      </w:r>
      <w:r>
        <w:rPr>
          <w:rFonts w:hint="eastAsia" w:ascii="Times New Roman" w:hAnsi="Times New Roman" w:eastAsia="宋体" w:cs="Times New Roman"/>
          <w:color w:val="auto"/>
          <w:kern w:val="2"/>
          <w:sz w:val="20"/>
          <w:szCs w:val="20"/>
          <w:lang w:val="en-US" w:eastAsia="zh-CN" w:bidi="ar-SA"/>
        </w:rPr>
        <w:t xml:space="preserve">2.5  </w:t>
      </w:r>
      <w:r>
        <w:rPr>
          <w:rFonts w:hint="eastAsia" w:ascii="宋体" w:hAnsi="宋体" w:eastAsia="宋体" w:cs="宋体"/>
          <w:color w:val="auto"/>
          <w:kern w:val="2"/>
          <w:sz w:val="21"/>
          <w:szCs w:val="21"/>
          <w:lang w:val="en-US" w:eastAsia="zh-CN" w:bidi="ar-SA"/>
        </w:rPr>
        <w:t xml:space="preserve"> 钢骨架钢材防腐采用热浸镀锌处理时，其膜厚应大于45μm；当采用静电喷涂其膜厚应大于40μm。</w:t>
      </w:r>
    </w:p>
    <w:p>
      <w:pPr>
        <w:keepNext w:val="0"/>
        <w:keepLines w:val="0"/>
        <w:pageBreakBefore w:val="0"/>
        <w:widowControl w:val="0"/>
        <w:kinsoku/>
        <w:wordWrap/>
        <w:overflowPunct/>
        <w:topLinePunct w:val="0"/>
        <w:autoSpaceDE/>
        <w:autoSpaceDN/>
        <w:bidi w:val="0"/>
        <w:adjustRightInd/>
        <w:snapToGrid/>
        <w:spacing w:line="360" w:lineRule="auto"/>
        <w:ind w:left="0" w:leftChars="0" w:firstLine="840" w:firstLineChars="400"/>
        <w:textAlignment w:val="auto"/>
        <w:rPr>
          <w:rFonts w:hint="default"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检查数量：按照构件数抽查10%，且同类构件不应少于3件。</w:t>
      </w:r>
    </w:p>
    <w:p>
      <w:pPr>
        <w:pStyle w:val="24"/>
        <w:numPr>
          <w:ilvl w:val="3"/>
          <w:numId w:val="0"/>
        </w:numPr>
        <w:bidi w:val="0"/>
        <w:ind w:leftChars="0" w:firstLine="840" w:firstLineChars="400"/>
        <w:rPr>
          <w:rFonts w:hint="eastAsia" w:asciiTheme="minorEastAsia" w:hAnsiTheme="minorEastAsia" w:eastAsiaTheme="minorEastAsia" w:cstheme="minorEastAsia"/>
          <w:color w:val="auto"/>
          <w:lang w:val="en-US" w:eastAsia="zh-CN"/>
        </w:rPr>
      </w:pPr>
      <w:r>
        <w:rPr>
          <w:rFonts w:hint="eastAsia" w:ascii="宋体" w:hAnsi="宋体" w:eastAsia="宋体" w:cs="宋体"/>
          <w:color w:val="auto"/>
          <w:kern w:val="2"/>
          <w:sz w:val="21"/>
          <w:szCs w:val="21"/>
          <w:lang w:val="en-US" w:eastAsia="zh-CN" w:bidi="ar-SA"/>
        </w:rPr>
        <w:t>检验方法：采用分辨率为0.5μm的膜厚检测仪检测。每个杆件在不同部位的测点不应少于5个</w:t>
      </w:r>
      <w:r>
        <w:rPr>
          <w:rFonts w:hint="eastAsia" w:ascii="宋体" w:hAnsi="宋体" w:cs="宋体"/>
          <w:color w:val="auto"/>
          <w:kern w:val="2"/>
          <w:sz w:val="21"/>
          <w:szCs w:val="21"/>
          <w:lang w:val="en-US" w:eastAsia="zh-CN" w:bidi="ar-SA"/>
        </w:rPr>
        <w:t>，</w:t>
      </w:r>
      <w:r>
        <w:rPr>
          <w:rFonts w:hint="eastAsia" w:asciiTheme="minorEastAsia" w:hAnsiTheme="minorEastAsia" w:eastAsiaTheme="minorEastAsia" w:cstheme="minorEastAsia"/>
          <w:color w:val="auto"/>
          <w:lang w:val="en-US" w:eastAsia="zh-CN"/>
        </w:rPr>
        <w:t>同一测点应测量5次，取平均值，修约至整数。</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1"/>
          <w:szCs w:val="21"/>
          <w:lang w:val="en-US" w:eastAsia="zh-CN" w:bidi="ar-SA"/>
        </w:rPr>
      </w:pPr>
      <w:r>
        <w:rPr>
          <w:rFonts w:hint="default" w:ascii="Times New Roman" w:hAnsi="Times New Roman" w:eastAsia="宋体" w:cs="Times New Roman"/>
          <w:color w:val="auto"/>
          <w:kern w:val="2"/>
          <w:sz w:val="20"/>
          <w:szCs w:val="20"/>
          <w:lang w:val="en-US" w:eastAsia="zh-CN" w:bidi="ar-SA"/>
        </w:rPr>
        <w:t>7.</w:t>
      </w:r>
      <w:r>
        <w:rPr>
          <w:rFonts w:hint="eastAsia" w:ascii="Times New Roman" w:hAnsi="Times New Roman" w:eastAsia="宋体" w:cs="Times New Roman"/>
          <w:color w:val="auto"/>
          <w:kern w:val="2"/>
          <w:sz w:val="20"/>
          <w:szCs w:val="20"/>
          <w:lang w:val="en-US" w:eastAsia="zh-CN" w:bidi="ar-SA"/>
        </w:rPr>
        <w:t xml:space="preserve">2.6    </w:t>
      </w:r>
      <w:r>
        <w:rPr>
          <w:rFonts w:hint="eastAsia" w:ascii="宋体" w:hAnsi="宋体" w:eastAsia="宋体" w:cs="宋体"/>
          <w:color w:val="auto"/>
          <w:kern w:val="2"/>
          <w:sz w:val="21"/>
          <w:szCs w:val="21"/>
          <w:lang w:val="en-US" w:eastAsia="zh-CN" w:bidi="ar-SA"/>
        </w:rPr>
        <w:t>钢骨架安装前应按照设计和施工方案的要求对基层进行处理，处理后的基层应符合施工方案的要求。</w:t>
      </w:r>
    </w:p>
    <w:p>
      <w:pPr>
        <w:pStyle w:val="24"/>
        <w:numPr>
          <w:ilvl w:val="3"/>
          <w:numId w:val="0"/>
        </w:numPr>
        <w:ind w:left="420"/>
        <w:rPr>
          <w:color w:val="auto"/>
        </w:rPr>
      </w:pPr>
      <w:r>
        <w:rPr>
          <w:rFonts w:hint="eastAsia" w:ascii="宋体" w:hAnsi="宋体" w:eastAsia="宋体" w:cs="宋体"/>
          <w:color w:val="auto"/>
          <w:kern w:val="2"/>
          <w:sz w:val="21"/>
          <w:szCs w:val="21"/>
          <w:lang w:val="en-US" w:eastAsia="zh-CN" w:bidi="ar-SA"/>
        </w:rPr>
        <w:t xml:space="preserve">    </w:t>
      </w:r>
      <w:r>
        <w:rPr>
          <w:rFonts w:hint="eastAsia"/>
          <w:color w:val="auto"/>
        </w:rPr>
        <w:t>检查数量：每个装饰区域检验不少于一次。</w:t>
      </w:r>
    </w:p>
    <w:p>
      <w:pPr>
        <w:pStyle w:val="24"/>
        <w:numPr>
          <w:ilvl w:val="3"/>
          <w:numId w:val="0"/>
        </w:numPr>
        <w:ind w:left="420"/>
        <w:rPr>
          <w:color w:val="auto"/>
        </w:rPr>
      </w:pPr>
      <w:r>
        <w:rPr>
          <w:rFonts w:hint="eastAsia" w:ascii="宋体" w:hAnsi="宋体" w:eastAsia="宋体" w:cs="宋体"/>
          <w:color w:val="auto"/>
          <w:kern w:val="2"/>
          <w:sz w:val="21"/>
          <w:szCs w:val="21"/>
          <w:lang w:val="en-US" w:eastAsia="zh-CN" w:bidi="ar-SA"/>
        </w:rPr>
        <w:t xml:space="preserve"> </w:t>
      </w:r>
      <w:r>
        <w:rPr>
          <w:rFonts w:hint="eastAsia" w:ascii="宋体" w:hAnsi="宋体" w:cs="宋体"/>
          <w:color w:val="auto"/>
          <w:kern w:val="2"/>
          <w:sz w:val="21"/>
          <w:szCs w:val="21"/>
          <w:lang w:val="en-US" w:eastAsia="zh-CN" w:bidi="ar-SA"/>
        </w:rPr>
        <w:t xml:space="preserve">  </w:t>
      </w:r>
      <w:r>
        <w:rPr>
          <w:rFonts w:hint="eastAsia" w:ascii="宋体" w:hAnsi="宋体" w:eastAsia="宋体" w:cs="宋体"/>
          <w:color w:val="auto"/>
          <w:kern w:val="2"/>
          <w:sz w:val="21"/>
          <w:szCs w:val="21"/>
          <w:lang w:val="en-US" w:eastAsia="zh-CN" w:bidi="ar-SA"/>
        </w:rPr>
        <w:t xml:space="preserve"> </w:t>
      </w:r>
      <w:r>
        <w:rPr>
          <w:rFonts w:hint="eastAsia"/>
          <w:color w:val="auto"/>
        </w:rPr>
        <w:t>检验方法：观察检查；</w:t>
      </w:r>
      <w:r>
        <w:rPr>
          <w:rFonts w:hint="eastAsia"/>
          <w:color w:val="auto"/>
          <w:lang w:val="en-US" w:eastAsia="zh-CN"/>
        </w:rPr>
        <w:t>检查</w:t>
      </w:r>
      <w:r>
        <w:rPr>
          <w:rFonts w:hint="eastAsia"/>
          <w:color w:val="auto"/>
        </w:rPr>
        <w:t>隐蔽工程验收记录。</w:t>
      </w:r>
    </w:p>
    <w:p>
      <w:pPr>
        <w:pStyle w:val="24"/>
        <w:numPr>
          <w:ilvl w:val="3"/>
          <w:numId w:val="0"/>
        </w:numPr>
        <w:bidi w:val="0"/>
        <w:ind w:leftChars="0"/>
        <w:rPr>
          <w:rFonts w:hint="eastAsia" w:ascii="宋体" w:hAnsi="宋体" w:eastAsia="宋体" w:cs="宋体"/>
          <w:color w:val="auto"/>
          <w:kern w:val="2"/>
          <w:sz w:val="21"/>
          <w:szCs w:val="21"/>
          <w:lang w:val="en-US" w:eastAsia="zh-CN" w:bidi="ar-SA"/>
        </w:rPr>
      </w:pPr>
      <w:r>
        <w:rPr>
          <w:rFonts w:hint="default" w:ascii="Times New Roman" w:hAnsi="Times New Roman" w:eastAsia="宋体" w:cs="Times New Roman"/>
          <w:color w:val="auto"/>
          <w:kern w:val="2"/>
          <w:sz w:val="20"/>
          <w:szCs w:val="20"/>
          <w:lang w:val="en-US" w:eastAsia="zh-CN" w:bidi="ar-SA"/>
        </w:rPr>
        <w:t>7.</w:t>
      </w:r>
      <w:r>
        <w:rPr>
          <w:rFonts w:hint="eastAsia" w:ascii="Times New Roman" w:hAnsi="Times New Roman" w:eastAsia="宋体" w:cs="Times New Roman"/>
          <w:color w:val="auto"/>
          <w:kern w:val="2"/>
          <w:sz w:val="20"/>
          <w:szCs w:val="20"/>
          <w:lang w:val="en-US" w:eastAsia="zh-CN" w:bidi="ar-SA"/>
        </w:rPr>
        <w:t>2.</w:t>
      </w:r>
      <w:r>
        <w:rPr>
          <w:rFonts w:hint="eastAsia" w:ascii="Times New Roman" w:hAnsi="Times New Roman" w:cs="Times New Roman"/>
          <w:color w:val="auto"/>
          <w:kern w:val="2"/>
          <w:sz w:val="20"/>
          <w:szCs w:val="20"/>
          <w:lang w:val="en-US" w:eastAsia="zh-CN" w:bidi="ar-SA"/>
        </w:rPr>
        <w:t xml:space="preserve">7 </w:t>
      </w:r>
      <w:r>
        <w:rPr>
          <w:rFonts w:hint="eastAsia" w:ascii="Times New Roman" w:hAnsi="Times New Roman" w:eastAsia="宋体" w:cs="Times New Roman"/>
          <w:color w:val="auto"/>
          <w:kern w:val="2"/>
          <w:sz w:val="20"/>
          <w:szCs w:val="20"/>
          <w:lang w:val="en-US" w:eastAsia="zh-CN" w:bidi="ar-SA"/>
        </w:rPr>
        <w:t xml:space="preserve"> </w:t>
      </w:r>
      <w:r>
        <w:rPr>
          <w:rFonts w:hint="eastAsia" w:ascii="Times New Roman" w:hAnsi="Times New Roman" w:cs="Times New Roman"/>
          <w:color w:val="auto"/>
          <w:kern w:val="2"/>
          <w:sz w:val="20"/>
          <w:szCs w:val="20"/>
          <w:lang w:val="en-US" w:eastAsia="zh-CN" w:bidi="ar-SA"/>
        </w:rPr>
        <w:t xml:space="preserve">  </w:t>
      </w:r>
      <w:r>
        <w:rPr>
          <w:rFonts w:hint="eastAsia" w:ascii="宋体" w:hAnsi="宋体" w:eastAsia="宋体" w:cs="宋体"/>
          <w:color w:val="auto"/>
          <w:kern w:val="2"/>
          <w:sz w:val="21"/>
          <w:szCs w:val="21"/>
          <w:lang w:val="en-US" w:eastAsia="zh-CN" w:bidi="ar-SA"/>
        </w:rPr>
        <w:t>钢骨架安装用主体结构上的预埋件、后置埋件的数量、位置及后置埋件的拉拔力必须符合设计要求。</w:t>
      </w:r>
    </w:p>
    <w:p>
      <w:pPr>
        <w:rPr>
          <w:rFonts w:hint="default"/>
          <w:color w:val="auto"/>
          <w:lang w:val="en-US" w:eastAsia="zh-CN"/>
        </w:rPr>
      </w:pPr>
      <w:r>
        <w:rPr>
          <w:rFonts w:hint="eastAsia" w:ascii="宋体" w:hAnsi="宋体" w:eastAsia="宋体" w:cs="宋体"/>
          <w:color w:val="auto"/>
          <w:kern w:val="2"/>
          <w:sz w:val="21"/>
          <w:szCs w:val="21"/>
          <w:lang w:val="en-US" w:eastAsia="zh-CN" w:bidi="ar-SA"/>
        </w:rPr>
        <w:t xml:space="preserve">        检查数量：全数检查。</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default"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 xml:space="preserve">  检查方法：检查拉拔力检测报告和隐蔽工程验收记录。</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1"/>
          <w:szCs w:val="21"/>
          <w:lang w:val="en-US" w:eastAsia="zh-CN" w:bidi="ar-SA"/>
        </w:rPr>
      </w:pPr>
      <w:r>
        <w:rPr>
          <w:rFonts w:hint="default" w:ascii="Times New Roman" w:hAnsi="Times New Roman" w:eastAsia="宋体" w:cs="Times New Roman"/>
          <w:color w:val="auto"/>
          <w:kern w:val="2"/>
          <w:sz w:val="20"/>
          <w:szCs w:val="20"/>
          <w:lang w:val="en-US" w:eastAsia="zh-CN" w:bidi="ar-SA"/>
        </w:rPr>
        <w:t>7.</w:t>
      </w:r>
      <w:r>
        <w:rPr>
          <w:rFonts w:hint="eastAsia" w:ascii="Times New Roman" w:hAnsi="Times New Roman" w:eastAsia="宋体" w:cs="Times New Roman"/>
          <w:color w:val="auto"/>
          <w:kern w:val="2"/>
          <w:sz w:val="20"/>
          <w:szCs w:val="20"/>
          <w:lang w:val="en-US" w:eastAsia="zh-CN" w:bidi="ar-SA"/>
        </w:rPr>
        <w:t>2.</w:t>
      </w:r>
      <w:r>
        <w:rPr>
          <w:rFonts w:hint="eastAsia" w:ascii="Times New Roman" w:hAnsi="Times New Roman" w:cs="Times New Roman"/>
          <w:color w:val="auto"/>
          <w:kern w:val="2"/>
          <w:sz w:val="20"/>
          <w:szCs w:val="20"/>
          <w:lang w:val="en-US" w:eastAsia="zh-CN" w:bidi="ar-SA"/>
        </w:rPr>
        <w:t>8</w:t>
      </w:r>
      <w:r>
        <w:rPr>
          <w:rFonts w:hint="eastAsia" w:ascii="Times New Roman" w:hAnsi="Times New Roman" w:eastAsia="宋体" w:cs="Times New Roman"/>
          <w:color w:val="auto"/>
          <w:kern w:val="2"/>
          <w:sz w:val="20"/>
          <w:szCs w:val="20"/>
          <w:lang w:val="en-US" w:eastAsia="zh-CN" w:bidi="ar-SA"/>
        </w:rPr>
        <w:t xml:space="preserve">  </w:t>
      </w:r>
      <w:r>
        <w:rPr>
          <w:rFonts w:hint="eastAsia" w:ascii="Times New Roman" w:hAnsi="Times New Roman" w:cs="Times New Roman"/>
          <w:color w:val="auto"/>
          <w:kern w:val="2"/>
          <w:sz w:val="20"/>
          <w:szCs w:val="20"/>
          <w:lang w:val="en-US" w:eastAsia="zh-CN" w:bidi="ar-SA"/>
        </w:rPr>
        <w:t xml:space="preserve">  </w:t>
      </w:r>
      <w:r>
        <w:rPr>
          <w:rFonts w:hint="eastAsia" w:ascii="宋体" w:hAnsi="宋体" w:eastAsia="宋体" w:cs="宋体"/>
          <w:color w:val="auto"/>
          <w:kern w:val="2"/>
          <w:sz w:val="21"/>
          <w:szCs w:val="21"/>
          <w:lang w:val="en-US" w:eastAsia="zh-CN" w:bidi="ar-SA"/>
        </w:rPr>
        <w:t>钢骨架与主体结构预埋件的连接、与GRG之间的连接必须符合设计要求，安装必须牢固。</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 xml:space="preserve">        </w:t>
      </w:r>
      <w:r>
        <w:rPr>
          <w:rFonts w:hint="eastAsia"/>
          <w:color w:val="auto"/>
        </w:rPr>
        <w:t>检查数量：每个装饰区域检验不少于一次</w:t>
      </w:r>
    </w:p>
    <w:p>
      <w:pPr>
        <w:pStyle w:val="24"/>
        <w:numPr>
          <w:ilvl w:val="3"/>
          <w:numId w:val="0"/>
        </w:numPr>
        <w:ind w:left="420" w:firstLine="420" w:firstLineChars="200"/>
        <w:rPr>
          <w:rFonts w:hint="eastAsia"/>
          <w:color w:val="auto"/>
        </w:rPr>
      </w:pPr>
      <w:r>
        <w:rPr>
          <w:rFonts w:hint="eastAsia"/>
          <w:color w:val="auto"/>
        </w:rPr>
        <w:t>检验方法：</w:t>
      </w:r>
      <w:r>
        <w:rPr>
          <w:rFonts w:hint="eastAsia"/>
          <w:color w:val="auto"/>
          <w:lang w:val="en-US" w:eastAsia="zh-CN"/>
        </w:rPr>
        <w:t>手扳</w:t>
      </w:r>
      <w:r>
        <w:rPr>
          <w:rFonts w:hint="eastAsia"/>
          <w:color w:val="auto"/>
        </w:rPr>
        <w:t>检查；核查隐蔽工程验收记录。</w:t>
      </w:r>
    </w:p>
    <w:p>
      <w:pPr>
        <w:pStyle w:val="24"/>
        <w:numPr>
          <w:ilvl w:val="3"/>
          <w:numId w:val="0"/>
        </w:numPr>
        <w:ind w:left="420" w:firstLine="400" w:firstLineChars="200"/>
        <w:rPr>
          <w:color w:val="auto"/>
        </w:rPr>
      </w:pPr>
      <w:r>
        <w:rPr>
          <w:rFonts w:hint="eastAsia" w:ascii="Times New Roman" w:hAnsi="Times New Roman" w:eastAsia="宋体" w:cs="Times New Roman"/>
          <w:color w:val="auto"/>
          <w:kern w:val="2"/>
          <w:sz w:val="20"/>
          <w:szCs w:val="20"/>
          <w:lang w:val="en-US" w:eastAsia="zh-CN" w:bidi="ar-SA"/>
        </w:rPr>
        <w:t xml:space="preserve">  </w:t>
      </w:r>
      <w:r>
        <w:rPr>
          <w:rFonts w:hint="eastAsia" w:ascii="Times New Roman" w:hAnsi="Times New Roman" w:cs="Times New Roman"/>
          <w:color w:val="auto"/>
          <w:kern w:val="2"/>
          <w:sz w:val="20"/>
          <w:szCs w:val="20"/>
          <w:lang w:val="en-US" w:eastAsia="zh-CN" w:bidi="ar-SA"/>
        </w:rPr>
        <w:t xml:space="preserve"> </w:t>
      </w:r>
    </w:p>
    <w:p>
      <w:pPr>
        <w:pStyle w:val="24"/>
        <w:numPr>
          <w:ilvl w:val="3"/>
          <w:numId w:val="0"/>
        </w:numPr>
        <w:ind w:left="420"/>
        <w:rPr>
          <w:rFonts w:hint="eastAsia"/>
          <w:b w:val="0"/>
          <w:bCs/>
          <w:color w:val="auto"/>
          <w:lang w:val="en-US" w:eastAsia="zh-CN"/>
        </w:rPr>
      </w:pPr>
      <w:r>
        <w:rPr>
          <w:rFonts w:hint="eastAsia"/>
          <w:color w:val="auto"/>
        </w:rPr>
        <w:t xml:space="preserve"> </w:t>
      </w:r>
      <w:r>
        <w:rPr>
          <w:rFonts w:hint="eastAsia"/>
          <w:color w:val="auto"/>
          <w:lang w:val="en-US" w:eastAsia="zh-CN"/>
        </w:rPr>
        <w:t xml:space="preserve">                     </w:t>
      </w:r>
      <w:r>
        <w:rPr>
          <w:rFonts w:hint="eastAsia" w:ascii="宋体" w:hAnsi="宋体" w:eastAsia="宋体" w:cs="宋体"/>
          <w:b w:val="0"/>
          <w:bCs/>
          <w:color w:val="auto"/>
        </w:rPr>
        <w:t>Ⅱ</w:t>
      </w:r>
      <w:r>
        <w:rPr>
          <w:rFonts w:hint="eastAsia"/>
          <w:b w:val="0"/>
          <w:bCs/>
          <w:color w:val="auto"/>
          <w:lang w:val="en-US" w:eastAsia="zh-CN"/>
        </w:rPr>
        <w:t>一般项目</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asciiTheme="minorHAnsi" w:hAnsiTheme="minorHAnsi" w:cstheme="minorBidi"/>
          <w:color w:val="auto"/>
          <w:kern w:val="2"/>
          <w:sz w:val="21"/>
          <w:szCs w:val="21"/>
          <w:lang w:val="en-US" w:eastAsia="zh-CN" w:bidi="ar-SA"/>
        </w:rPr>
      </w:pPr>
      <w:r>
        <w:rPr>
          <w:rFonts w:hint="default" w:ascii="Times New Roman" w:hAnsi="Times New Roman" w:eastAsia="宋体" w:cs="Times New Roman"/>
          <w:color w:val="auto"/>
          <w:kern w:val="2"/>
          <w:sz w:val="20"/>
          <w:szCs w:val="20"/>
          <w:lang w:val="en-US" w:eastAsia="zh-CN" w:bidi="ar-SA"/>
        </w:rPr>
        <w:t>7.</w:t>
      </w:r>
      <w:r>
        <w:rPr>
          <w:rFonts w:hint="eastAsia" w:ascii="Times New Roman" w:hAnsi="Times New Roman" w:eastAsia="宋体" w:cs="Times New Roman"/>
          <w:color w:val="auto"/>
          <w:kern w:val="2"/>
          <w:sz w:val="20"/>
          <w:szCs w:val="20"/>
          <w:lang w:val="en-US" w:eastAsia="zh-CN" w:bidi="ar-SA"/>
        </w:rPr>
        <w:t>2.</w:t>
      </w:r>
      <w:r>
        <w:rPr>
          <w:rFonts w:hint="eastAsia" w:ascii="Times New Roman" w:hAnsi="Times New Roman" w:cs="Times New Roman"/>
          <w:color w:val="auto"/>
          <w:kern w:val="2"/>
          <w:sz w:val="20"/>
          <w:szCs w:val="20"/>
          <w:lang w:val="en-US" w:eastAsia="zh-CN" w:bidi="ar-SA"/>
        </w:rPr>
        <w:t xml:space="preserve">9    </w:t>
      </w:r>
      <w:r>
        <w:rPr>
          <w:rFonts w:hint="eastAsia" w:eastAsia="宋体" w:asciiTheme="minorHAnsi" w:hAnsiTheme="minorHAnsi" w:cstheme="minorBidi"/>
          <w:color w:val="auto"/>
          <w:kern w:val="2"/>
          <w:sz w:val="21"/>
          <w:szCs w:val="21"/>
          <w:lang w:val="en-US" w:eastAsia="zh-CN" w:bidi="ar-SA"/>
        </w:rPr>
        <w:t>钢骨架型钢截面尺寸、厚度及允许偏差、外形尺寸允许偏差应满足其产品标准的要求。</w:t>
      </w:r>
    </w:p>
    <w:p>
      <w:pPr>
        <w:keepNext w:val="0"/>
        <w:keepLines w:val="0"/>
        <w:pageBreakBefore w:val="0"/>
        <w:widowControl w:val="0"/>
        <w:kinsoku/>
        <w:wordWrap/>
        <w:overflowPunct/>
        <w:topLinePunct w:val="0"/>
        <w:autoSpaceDE/>
        <w:autoSpaceDN/>
        <w:bidi w:val="0"/>
        <w:adjustRightInd/>
        <w:snapToGrid/>
        <w:spacing w:line="360" w:lineRule="auto"/>
        <w:ind w:left="1890" w:hanging="1890" w:hangingChars="900"/>
        <w:textAlignment w:val="auto"/>
        <w:rPr>
          <w:rFonts w:hint="eastAsia"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 xml:space="preserve">        检查数量：每批同一品种、规格的型钢抽检10%，且不少于3根截面尺寸及厚度偏差每根检测3处。</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 xml:space="preserve">        检验方法：用钢尺、游标卡尺量测。</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stheme="minorBidi"/>
          <w:color w:val="auto"/>
          <w:kern w:val="2"/>
          <w:sz w:val="21"/>
          <w:szCs w:val="21"/>
          <w:lang w:val="en-US" w:eastAsia="zh-CN" w:bidi="ar-SA"/>
        </w:rPr>
      </w:pPr>
      <w:r>
        <w:rPr>
          <w:rFonts w:hint="eastAsia" w:ascii="Times New Roman" w:hAnsi="Times New Roman" w:eastAsia="宋体" w:cs="Times New Roman"/>
          <w:color w:val="auto"/>
          <w:kern w:val="2"/>
          <w:sz w:val="20"/>
          <w:szCs w:val="20"/>
          <w:lang w:val="en-US" w:eastAsia="zh-CN" w:bidi="ar-SA"/>
        </w:rPr>
        <w:t xml:space="preserve">7.2.10   </w:t>
      </w:r>
      <w:r>
        <w:rPr>
          <w:rFonts w:hint="eastAsia" w:eastAsia="宋体" w:cstheme="minorBidi"/>
          <w:color w:val="auto"/>
          <w:kern w:val="2"/>
          <w:sz w:val="21"/>
          <w:szCs w:val="21"/>
          <w:lang w:val="en-US" w:eastAsia="zh-CN" w:bidi="ar-SA"/>
        </w:rPr>
        <w:t>焊缝外观质量和外观尺寸要求满足《钢结构工程质量验收标准》GB50205-2020中5.2.7、5.2.8的规定。</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 xml:space="preserve">        检查数量：每批同类构件抽查不少于10%，总抽查数不少于10处。</w:t>
      </w:r>
    </w:p>
    <w:p>
      <w:pPr>
        <w:keepNext w:val="0"/>
        <w:keepLines w:val="0"/>
        <w:pageBreakBefore w:val="0"/>
        <w:widowControl w:val="0"/>
        <w:kinsoku/>
        <w:wordWrap/>
        <w:overflowPunct/>
        <w:topLinePunct w:val="0"/>
        <w:autoSpaceDE/>
        <w:autoSpaceDN/>
        <w:bidi w:val="0"/>
        <w:adjustRightInd/>
        <w:snapToGrid/>
        <w:spacing w:line="360" w:lineRule="auto"/>
        <w:ind w:firstLine="840" w:firstLineChars="400"/>
        <w:textAlignment w:val="auto"/>
        <w:rPr>
          <w:rFonts w:hint="eastAsia"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检验方法：观察检查或使用放大镜、焊缝量规和钢尺检查。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stheme="minorBidi"/>
          <w:color w:val="auto"/>
          <w:kern w:val="2"/>
          <w:sz w:val="21"/>
          <w:szCs w:val="21"/>
          <w:lang w:val="en-US" w:eastAsia="zh-CN" w:bidi="ar-SA"/>
        </w:rPr>
      </w:pPr>
      <w:r>
        <w:rPr>
          <w:rFonts w:hint="eastAsia" w:ascii="Times New Roman" w:hAnsi="Times New Roman" w:eastAsia="宋体" w:cs="Times New Roman"/>
          <w:color w:val="auto"/>
          <w:kern w:val="2"/>
          <w:sz w:val="20"/>
          <w:szCs w:val="20"/>
          <w:lang w:val="en-US" w:eastAsia="zh-CN" w:bidi="ar-SA"/>
        </w:rPr>
        <w:t xml:space="preserve">7.2.11  </w:t>
      </w:r>
      <w:r>
        <w:rPr>
          <w:rFonts w:hint="eastAsia" w:eastAsia="宋体" w:cstheme="minorBidi"/>
          <w:color w:val="auto"/>
          <w:kern w:val="2"/>
          <w:sz w:val="21"/>
          <w:szCs w:val="21"/>
          <w:lang w:val="en-US" w:eastAsia="zh-CN" w:bidi="ar-SA"/>
        </w:rPr>
        <w:t xml:space="preserve"> 钢骨架防腐涂层应均匀，无明显皱皮、流坠、针眼和气泡等。金属热喷涂涂层的外观应均匀一致，涂层不得有气孔、裸露母材的斑点、附着不牢的金属熔融颗粒、裂纹或影响使用寿命的其他缺陷。</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 xml:space="preserve">         检查数量：全数检查。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 xml:space="preserve">         检验方法：观察检查。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7.2.12    钢骨架安装允许的允许偏差和检验方法应符合表7.2.12的规定。</w:t>
      </w:r>
    </w:p>
    <w:p>
      <w:pPr>
        <w:spacing w:line="360" w:lineRule="auto"/>
        <w:jc w:val="center"/>
        <w:rPr>
          <w:rFonts w:hint="eastAsia" w:ascii="Times New Roman" w:hAnsi="Times New Roman" w:cs="Times New Roman"/>
          <w:color w:val="auto"/>
          <w:kern w:val="2"/>
          <w:sz w:val="20"/>
          <w:szCs w:val="20"/>
          <w:lang w:val="en-US" w:eastAsia="zh-CN" w:bidi="ar-SA"/>
        </w:rPr>
      </w:pPr>
      <w:r>
        <w:rPr>
          <w:rFonts w:hint="eastAsia" w:ascii="Times New Roman" w:hAnsi="Times New Roman" w:cs="Times New Roman"/>
          <w:color w:val="auto"/>
          <w:kern w:val="2"/>
          <w:sz w:val="20"/>
          <w:szCs w:val="20"/>
          <w:lang w:val="en-US" w:eastAsia="zh-CN" w:bidi="ar-SA"/>
        </w:rPr>
        <w:t xml:space="preserve">  </w:t>
      </w:r>
    </w:p>
    <w:p>
      <w:pPr>
        <w:spacing w:line="360" w:lineRule="auto"/>
        <w:jc w:val="center"/>
        <w:rPr>
          <w:rFonts w:hint="eastAsia" w:ascii="Times New Roman" w:hAnsi="Times New Roman" w:cs="Times New Roman"/>
          <w:color w:val="auto"/>
          <w:kern w:val="2"/>
          <w:sz w:val="20"/>
          <w:szCs w:val="20"/>
          <w:lang w:val="en-US" w:eastAsia="zh-CN" w:bidi="ar-SA"/>
        </w:rPr>
      </w:pPr>
    </w:p>
    <w:p>
      <w:pPr>
        <w:spacing w:line="360" w:lineRule="auto"/>
        <w:jc w:val="center"/>
        <w:rPr>
          <w:rFonts w:hint="eastAsia" w:ascii="Times New Roman" w:hAnsi="Times New Roman" w:cs="Times New Roman"/>
          <w:color w:val="auto"/>
          <w:kern w:val="2"/>
          <w:sz w:val="20"/>
          <w:szCs w:val="20"/>
          <w:lang w:val="en-US" w:eastAsia="zh-CN" w:bidi="ar-SA"/>
        </w:rPr>
      </w:pPr>
    </w:p>
    <w:p>
      <w:pPr>
        <w:spacing w:line="360" w:lineRule="auto"/>
        <w:jc w:val="both"/>
        <w:rPr>
          <w:rFonts w:hint="eastAsia" w:ascii="Times New Roman" w:hAnsi="Times New Roman" w:cs="Times New Roman"/>
          <w:color w:val="auto"/>
          <w:kern w:val="2"/>
          <w:sz w:val="20"/>
          <w:szCs w:val="20"/>
          <w:lang w:val="en-US" w:eastAsia="zh-CN" w:bidi="ar-SA"/>
        </w:rPr>
      </w:pPr>
    </w:p>
    <w:p>
      <w:pPr>
        <w:spacing w:line="360" w:lineRule="auto"/>
        <w:ind w:firstLine="1600" w:firstLineChars="800"/>
        <w:jc w:val="both"/>
        <w:rPr>
          <w:b/>
          <w:bCs/>
          <w:color w:val="auto"/>
          <w:sz w:val="18"/>
          <w:szCs w:val="18"/>
        </w:rPr>
      </w:pPr>
      <w:r>
        <w:rPr>
          <w:rFonts w:hint="eastAsia" w:ascii="Times New Roman" w:hAnsi="Times New Roman" w:cs="Times New Roman"/>
          <w:color w:val="auto"/>
          <w:kern w:val="2"/>
          <w:sz w:val="20"/>
          <w:szCs w:val="20"/>
          <w:lang w:val="en-US" w:eastAsia="zh-CN" w:bidi="ar-SA"/>
        </w:rPr>
        <w:t xml:space="preserve"> </w:t>
      </w:r>
      <w:r>
        <w:rPr>
          <w:rFonts w:hint="eastAsia"/>
          <w:b/>
          <w:bCs/>
          <w:color w:val="auto"/>
          <w:sz w:val="18"/>
          <w:szCs w:val="18"/>
        </w:rPr>
        <w:t>表</w:t>
      </w:r>
      <w:r>
        <w:rPr>
          <w:rFonts w:hint="eastAsia"/>
          <w:b/>
          <w:bCs/>
          <w:color w:val="auto"/>
          <w:sz w:val="18"/>
          <w:szCs w:val="18"/>
          <w:lang w:val="en-US" w:eastAsia="zh-CN"/>
        </w:rPr>
        <w:t>7.2.12</w:t>
      </w:r>
      <w:r>
        <w:rPr>
          <w:rFonts w:hint="eastAsia"/>
          <w:b/>
          <w:bCs/>
          <w:color w:val="auto"/>
          <w:sz w:val="18"/>
          <w:szCs w:val="18"/>
        </w:rPr>
        <w:t xml:space="preserve">   </w:t>
      </w:r>
      <w:r>
        <w:rPr>
          <w:rFonts w:hint="eastAsia"/>
          <w:b/>
          <w:bCs/>
          <w:color w:val="auto"/>
          <w:sz w:val="18"/>
          <w:szCs w:val="18"/>
          <w:lang w:val="en-US" w:eastAsia="zh-CN"/>
        </w:rPr>
        <w:t>钢构件安装</w:t>
      </w:r>
      <w:r>
        <w:rPr>
          <w:rFonts w:hint="eastAsia"/>
          <w:b/>
          <w:bCs/>
          <w:color w:val="auto"/>
          <w:sz w:val="18"/>
          <w:szCs w:val="18"/>
        </w:rPr>
        <w:t>允许偏差</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2"/>
        <w:gridCol w:w="793"/>
        <w:gridCol w:w="1812"/>
        <w:gridCol w:w="1576"/>
        <w:gridCol w:w="2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tcPr>
          <w:p>
            <w:pPr>
              <w:spacing w:line="360" w:lineRule="auto"/>
              <w:jc w:val="center"/>
              <w:rPr>
                <w:rFonts w:hint="default" w:eastAsia="宋体"/>
                <w:color w:val="auto"/>
                <w:lang w:val="en-US" w:eastAsia="zh-CN"/>
              </w:rPr>
            </w:pPr>
            <w:r>
              <w:rPr>
                <w:rFonts w:hint="eastAsia" w:eastAsia="宋体"/>
                <w:color w:val="auto"/>
                <w:lang w:val="en-US" w:eastAsia="zh-CN"/>
              </w:rPr>
              <w:t>项次</w:t>
            </w:r>
          </w:p>
        </w:tc>
        <w:tc>
          <w:tcPr>
            <w:tcW w:w="2605" w:type="dxa"/>
            <w:gridSpan w:val="2"/>
          </w:tcPr>
          <w:p>
            <w:pPr>
              <w:spacing w:line="360" w:lineRule="auto"/>
              <w:jc w:val="center"/>
              <w:rPr>
                <w:rFonts w:hint="eastAsia" w:eastAsia="宋体"/>
                <w:color w:val="auto"/>
                <w:lang w:val="en-US" w:eastAsia="zh-CN"/>
              </w:rPr>
            </w:pPr>
            <w:r>
              <w:rPr>
                <w:rFonts w:hint="eastAsia" w:eastAsia="宋体"/>
                <w:color w:val="auto"/>
                <w:lang w:val="en-US" w:eastAsia="zh-CN"/>
              </w:rPr>
              <w:t>项目</w:t>
            </w:r>
          </w:p>
        </w:tc>
        <w:tc>
          <w:tcPr>
            <w:tcW w:w="1576" w:type="dxa"/>
          </w:tcPr>
          <w:p>
            <w:pPr>
              <w:spacing w:line="360" w:lineRule="auto"/>
              <w:jc w:val="center"/>
              <w:rPr>
                <w:rFonts w:hint="default" w:eastAsia="宋体"/>
                <w:color w:val="auto"/>
                <w:lang w:val="en-US" w:eastAsia="zh-CN"/>
              </w:rPr>
            </w:pPr>
            <w:r>
              <w:rPr>
                <w:rFonts w:hint="eastAsia" w:eastAsia="宋体"/>
                <w:color w:val="auto"/>
                <w:lang w:val="en-US" w:eastAsia="zh-CN"/>
              </w:rPr>
              <w:t>允许偏差（mm）</w:t>
            </w:r>
          </w:p>
        </w:tc>
        <w:tc>
          <w:tcPr>
            <w:tcW w:w="2080" w:type="dxa"/>
          </w:tcPr>
          <w:p>
            <w:pPr>
              <w:spacing w:line="360" w:lineRule="auto"/>
              <w:jc w:val="center"/>
              <w:rPr>
                <w:rFonts w:hint="default" w:eastAsia="宋体"/>
                <w:color w:val="auto"/>
                <w:lang w:val="en-US" w:eastAsia="zh-CN"/>
              </w:rPr>
            </w:pPr>
            <w:r>
              <w:rPr>
                <w:rFonts w:hint="eastAsia" w:eastAsia="宋体"/>
                <w:color w:val="auto"/>
                <w:lang w:val="en-US" w:eastAsia="zh-CN"/>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restart"/>
            <w:vAlign w:val="center"/>
          </w:tcPr>
          <w:p>
            <w:pPr>
              <w:pStyle w:val="24"/>
              <w:numPr>
                <w:ilvl w:val="3"/>
                <w:numId w:val="0"/>
              </w:numPr>
              <w:bidi w:val="0"/>
              <w:jc w:val="center"/>
              <w:rPr>
                <w:rFonts w:hint="eastAsia"/>
                <w:color w:val="auto"/>
                <w:vertAlign w:val="baseline"/>
                <w:lang w:val="en-US" w:eastAsia="zh-CN"/>
              </w:rPr>
            </w:pPr>
            <w:r>
              <w:rPr>
                <w:rFonts w:hint="eastAsia"/>
                <w:color w:val="auto"/>
                <w:vertAlign w:val="baseline"/>
                <w:lang w:val="en-US" w:eastAsia="zh-CN"/>
              </w:rPr>
              <w:t>1</w:t>
            </w:r>
          </w:p>
          <w:p>
            <w:pPr>
              <w:pStyle w:val="24"/>
              <w:numPr>
                <w:ilvl w:val="3"/>
                <w:numId w:val="0"/>
              </w:numPr>
              <w:bidi w:val="0"/>
              <w:jc w:val="center"/>
              <w:rPr>
                <w:rFonts w:hint="default"/>
                <w:color w:val="auto"/>
                <w:vertAlign w:val="baseline"/>
                <w:lang w:val="en-US" w:eastAsia="zh-CN"/>
              </w:rPr>
            </w:pPr>
          </w:p>
        </w:tc>
        <w:tc>
          <w:tcPr>
            <w:tcW w:w="793" w:type="dxa"/>
            <w:vMerge w:val="restart"/>
            <w:vAlign w:val="center"/>
          </w:tcPr>
          <w:p>
            <w:pPr>
              <w:pStyle w:val="24"/>
              <w:numPr>
                <w:ilvl w:val="3"/>
                <w:numId w:val="0"/>
              </w:numPr>
              <w:bidi w:val="0"/>
              <w:jc w:val="center"/>
              <w:rPr>
                <w:rFonts w:hint="eastAsia"/>
                <w:color w:val="auto"/>
                <w:vertAlign w:val="baseline"/>
                <w:lang w:val="en-US" w:eastAsia="zh-CN"/>
              </w:rPr>
            </w:pPr>
          </w:p>
          <w:p>
            <w:pPr>
              <w:pStyle w:val="24"/>
              <w:numPr>
                <w:ilvl w:val="3"/>
                <w:numId w:val="0"/>
              </w:numPr>
              <w:bidi w:val="0"/>
              <w:jc w:val="center"/>
              <w:rPr>
                <w:rFonts w:hint="eastAsia"/>
                <w:color w:val="auto"/>
                <w:vertAlign w:val="baseline"/>
                <w:lang w:val="en-US" w:eastAsia="zh-CN"/>
              </w:rPr>
            </w:pPr>
            <w:r>
              <w:rPr>
                <w:rFonts w:hint="eastAsia"/>
                <w:color w:val="auto"/>
                <w:vertAlign w:val="baseline"/>
                <w:lang w:val="en-US" w:eastAsia="zh-CN"/>
              </w:rPr>
              <w:t>立柱</w:t>
            </w:r>
          </w:p>
          <w:p>
            <w:pPr>
              <w:pStyle w:val="24"/>
              <w:numPr>
                <w:ilvl w:val="3"/>
                <w:numId w:val="0"/>
              </w:numPr>
              <w:bidi w:val="0"/>
              <w:jc w:val="center"/>
              <w:rPr>
                <w:rFonts w:hint="eastAsia" w:eastAsia="宋体"/>
                <w:color w:val="auto"/>
                <w:vertAlign w:val="baseline"/>
                <w:lang w:val="en-US" w:eastAsia="zh-CN"/>
              </w:rPr>
            </w:pPr>
          </w:p>
        </w:tc>
        <w:tc>
          <w:tcPr>
            <w:tcW w:w="1812" w:type="dxa"/>
            <w:vAlign w:val="center"/>
          </w:tcPr>
          <w:p>
            <w:pPr>
              <w:pStyle w:val="24"/>
              <w:numPr>
                <w:ilvl w:val="3"/>
                <w:numId w:val="0"/>
              </w:numPr>
              <w:bidi w:val="0"/>
              <w:jc w:val="center"/>
              <w:rPr>
                <w:rFonts w:hint="eastAsia"/>
                <w:color w:val="auto"/>
                <w:vertAlign w:val="baseline"/>
                <w:lang w:val="en-US" w:eastAsia="zh-CN"/>
              </w:rPr>
            </w:pPr>
            <w:r>
              <w:rPr>
                <w:rFonts w:hint="eastAsia"/>
                <w:color w:val="auto"/>
                <w:vertAlign w:val="baseline"/>
                <w:lang w:val="en-US" w:eastAsia="zh-CN"/>
              </w:rPr>
              <w:t>标高</w:t>
            </w:r>
          </w:p>
        </w:tc>
        <w:tc>
          <w:tcPr>
            <w:tcW w:w="1576"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3</w:t>
            </w:r>
          </w:p>
        </w:tc>
        <w:tc>
          <w:tcPr>
            <w:tcW w:w="2080"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continue"/>
            <w:vAlign w:val="center"/>
          </w:tcPr>
          <w:p>
            <w:pPr>
              <w:pStyle w:val="24"/>
              <w:numPr>
                <w:ilvl w:val="3"/>
                <w:numId w:val="0"/>
              </w:numPr>
              <w:bidi w:val="0"/>
              <w:jc w:val="center"/>
              <w:rPr>
                <w:rFonts w:hint="eastAsia" w:eastAsia="宋体"/>
                <w:color w:val="auto"/>
                <w:vertAlign w:val="baseline"/>
                <w:lang w:val="en-US" w:eastAsia="zh-CN"/>
              </w:rPr>
            </w:pPr>
          </w:p>
        </w:tc>
        <w:tc>
          <w:tcPr>
            <w:tcW w:w="793" w:type="dxa"/>
            <w:vMerge w:val="continue"/>
            <w:vAlign w:val="center"/>
          </w:tcPr>
          <w:p>
            <w:pPr>
              <w:pStyle w:val="24"/>
              <w:numPr>
                <w:ilvl w:val="3"/>
                <w:numId w:val="0"/>
              </w:numPr>
              <w:bidi w:val="0"/>
              <w:jc w:val="center"/>
              <w:rPr>
                <w:rFonts w:hint="eastAsia" w:eastAsia="宋体"/>
                <w:color w:val="auto"/>
                <w:vertAlign w:val="baseline"/>
                <w:lang w:val="en-US" w:eastAsia="zh-CN"/>
              </w:rPr>
            </w:pPr>
          </w:p>
        </w:tc>
        <w:tc>
          <w:tcPr>
            <w:tcW w:w="1812"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轴线位置</w:t>
            </w:r>
          </w:p>
        </w:tc>
        <w:tc>
          <w:tcPr>
            <w:tcW w:w="1576" w:type="dxa"/>
            <w:vAlign w:val="center"/>
          </w:tcPr>
          <w:p>
            <w:pPr>
              <w:pStyle w:val="24"/>
              <w:numPr>
                <w:ilvl w:val="3"/>
                <w:numId w:val="0"/>
              </w:numPr>
              <w:bidi w:val="0"/>
              <w:jc w:val="center"/>
              <w:rPr>
                <w:rFonts w:hint="default"/>
                <w:color w:val="auto"/>
                <w:vertAlign w:val="baseline"/>
                <w:lang w:val="en-US"/>
              </w:rPr>
            </w:pPr>
            <w:r>
              <w:rPr>
                <w:rFonts w:hint="eastAsia"/>
                <w:color w:val="auto"/>
                <w:vertAlign w:val="baseline"/>
                <w:lang w:val="en-US" w:eastAsia="zh-CN"/>
              </w:rPr>
              <w:t>±2</w:t>
            </w:r>
          </w:p>
        </w:tc>
        <w:tc>
          <w:tcPr>
            <w:tcW w:w="2080" w:type="dxa"/>
            <w:vAlign w:val="center"/>
          </w:tcPr>
          <w:p>
            <w:pPr>
              <w:pStyle w:val="24"/>
              <w:numPr>
                <w:ilvl w:val="3"/>
                <w:numId w:val="0"/>
              </w:numPr>
              <w:bidi w:val="0"/>
              <w:jc w:val="center"/>
              <w:rPr>
                <w:color w:val="auto"/>
                <w:vertAlign w:val="baseline"/>
              </w:rPr>
            </w:pPr>
            <w:r>
              <w:rPr>
                <w:rFonts w:hint="eastAsia"/>
                <w:color w:val="auto"/>
                <w:vertAlign w:val="baseline"/>
                <w:lang w:val="en-US" w:eastAsia="zh-CN"/>
              </w:rPr>
              <w:t>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continue"/>
            <w:vAlign w:val="center"/>
          </w:tcPr>
          <w:p>
            <w:pPr>
              <w:pStyle w:val="24"/>
              <w:numPr>
                <w:ilvl w:val="3"/>
                <w:numId w:val="0"/>
              </w:numPr>
              <w:bidi w:val="0"/>
              <w:jc w:val="center"/>
              <w:rPr>
                <w:rFonts w:hint="default"/>
                <w:color w:val="auto"/>
                <w:vertAlign w:val="baseline"/>
                <w:lang w:val="en-US" w:eastAsia="zh-CN"/>
              </w:rPr>
            </w:pPr>
          </w:p>
        </w:tc>
        <w:tc>
          <w:tcPr>
            <w:tcW w:w="793" w:type="dxa"/>
            <w:vMerge w:val="continue"/>
            <w:vAlign w:val="center"/>
          </w:tcPr>
          <w:p>
            <w:pPr>
              <w:pStyle w:val="24"/>
              <w:numPr>
                <w:ilvl w:val="3"/>
                <w:numId w:val="0"/>
              </w:numPr>
              <w:bidi w:val="0"/>
              <w:jc w:val="center"/>
              <w:rPr>
                <w:rFonts w:hint="eastAsia" w:eastAsia="宋体"/>
                <w:color w:val="auto"/>
                <w:vertAlign w:val="baseline"/>
                <w:lang w:val="en-US" w:eastAsia="zh-CN"/>
              </w:rPr>
            </w:pPr>
          </w:p>
        </w:tc>
        <w:tc>
          <w:tcPr>
            <w:tcW w:w="1812"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同层立柱标高</w:t>
            </w:r>
          </w:p>
        </w:tc>
        <w:tc>
          <w:tcPr>
            <w:tcW w:w="1576"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5</w:t>
            </w:r>
          </w:p>
        </w:tc>
        <w:tc>
          <w:tcPr>
            <w:tcW w:w="2080" w:type="dxa"/>
            <w:vAlign w:val="center"/>
          </w:tcPr>
          <w:p>
            <w:pPr>
              <w:pStyle w:val="24"/>
              <w:numPr>
                <w:ilvl w:val="3"/>
                <w:numId w:val="0"/>
              </w:numPr>
              <w:bidi w:val="0"/>
              <w:jc w:val="center"/>
              <w:rPr>
                <w:rFonts w:hint="eastAsia"/>
                <w:color w:val="auto"/>
                <w:vertAlign w:val="baseline"/>
                <w:lang w:val="en-US" w:eastAsia="zh-CN"/>
              </w:rPr>
            </w:pPr>
            <w:r>
              <w:rPr>
                <w:rFonts w:hint="eastAsia"/>
                <w:color w:val="auto"/>
                <w:vertAlign w:val="baseline"/>
                <w:lang w:val="en-US" w:eastAsia="zh-CN"/>
              </w:rPr>
              <w:t>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continue"/>
            <w:vAlign w:val="center"/>
          </w:tcPr>
          <w:p>
            <w:pPr>
              <w:pStyle w:val="24"/>
              <w:numPr>
                <w:ilvl w:val="3"/>
                <w:numId w:val="0"/>
              </w:numPr>
              <w:bidi w:val="0"/>
              <w:jc w:val="center"/>
              <w:rPr>
                <w:rFonts w:hint="eastAsia"/>
                <w:color w:val="auto"/>
                <w:vertAlign w:val="baseline"/>
                <w:lang w:val="en-US" w:eastAsia="zh-CN"/>
              </w:rPr>
            </w:pPr>
          </w:p>
        </w:tc>
        <w:tc>
          <w:tcPr>
            <w:tcW w:w="793" w:type="dxa"/>
            <w:vMerge w:val="continue"/>
            <w:vAlign w:val="center"/>
          </w:tcPr>
          <w:p>
            <w:pPr>
              <w:pStyle w:val="24"/>
              <w:numPr>
                <w:ilvl w:val="3"/>
                <w:numId w:val="0"/>
              </w:numPr>
              <w:bidi w:val="0"/>
              <w:jc w:val="center"/>
              <w:rPr>
                <w:rFonts w:hint="eastAsia" w:eastAsia="宋体"/>
                <w:color w:val="auto"/>
                <w:vertAlign w:val="baseline"/>
                <w:lang w:val="en-US" w:eastAsia="zh-CN"/>
              </w:rPr>
            </w:pPr>
          </w:p>
        </w:tc>
        <w:tc>
          <w:tcPr>
            <w:tcW w:w="1812"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相邻立柱距离</w:t>
            </w:r>
          </w:p>
        </w:tc>
        <w:tc>
          <w:tcPr>
            <w:tcW w:w="1576"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2</w:t>
            </w:r>
          </w:p>
        </w:tc>
        <w:tc>
          <w:tcPr>
            <w:tcW w:w="2080" w:type="dxa"/>
            <w:vAlign w:val="center"/>
          </w:tcPr>
          <w:p>
            <w:pPr>
              <w:pStyle w:val="24"/>
              <w:numPr>
                <w:ilvl w:val="3"/>
                <w:numId w:val="0"/>
              </w:numPr>
              <w:bidi w:val="0"/>
              <w:jc w:val="center"/>
              <w:rPr>
                <w:rFonts w:hint="eastAsia"/>
                <w:color w:val="auto"/>
                <w:vertAlign w:val="baseline"/>
                <w:lang w:val="en-US" w:eastAsia="zh-CN"/>
              </w:rPr>
            </w:pPr>
            <w:r>
              <w:rPr>
                <w:rFonts w:hint="eastAsia"/>
                <w:color w:val="auto"/>
                <w:vertAlign w:val="baseline"/>
                <w:lang w:val="en-US" w:eastAsia="zh-CN"/>
              </w:rPr>
              <w:t>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restart"/>
            <w:vAlign w:val="center"/>
          </w:tcPr>
          <w:p>
            <w:pPr>
              <w:pStyle w:val="24"/>
              <w:numPr>
                <w:ilvl w:val="3"/>
                <w:numId w:val="0"/>
              </w:numPr>
              <w:bidi w:val="0"/>
              <w:jc w:val="center"/>
              <w:rPr>
                <w:rFonts w:hint="eastAsia" w:eastAsia="宋体"/>
                <w:color w:val="auto"/>
                <w:vertAlign w:val="baseline"/>
                <w:lang w:val="en-US" w:eastAsia="zh-CN"/>
              </w:rPr>
            </w:pPr>
            <w:r>
              <w:rPr>
                <w:rFonts w:hint="eastAsia"/>
                <w:color w:val="auto"/>
                <w:vertAlign w:val="baseline"/>
                <w:lang w:val="en-US" w:eastAsia="zh-CN"/>
              </w:rPr>
              <w:t>2</w:t>
            </w:r>
          </w:p>
        </w:tc>
        <w:tc>
          <w:tcPr>
            <w:tcW w:w="793" w:type="dxa"/>
            <w:vMerge w:val="restart"/>
            <w:vAlign w:val="center"/>
          </w:tcPr>
          <w:p>
            <w:pPr>
              <w:pStyle w:val="24"/>
              <w:numPr>
                <w:ilvl w:val="3"/>
                <w:numId w:val="0"/>
              </w:numPr>
              <w:bidi w:val="0"/>
              <w:jc w:val="center"/>
              <w:rPr>
                <w:rFonts w:hint="eastAsia"/>
                <w:color w:val="auto"/>
                <w:vertAlign w:val="baseline"/>
                <w:lang w:val="en-US" w:eastAsia="zh-CN"/>
              </w:rPr>
            </w:pPr>
          </w:p>
          <w:p>
            <w:pPr>
              <w:pStyle w:val="24"/>
              <w:numPr>
                <w:ilvl w:val="3"/>
                <w:numId w:val="0"/>
              </w:numPr>
              <w:bidi w:val="0"/>
              <w:jc w:val="center"/>
              <w:rPr>
                <w:rFonts w:hint="eastAsia"/>
                <w:color w:val="auto"/>
                <w:vertAlign w:val="baseline"/>
                <w:lang w:val="en-US" w:eastAsia="zh-CN"/>
              </w:rPr>
            </w:pPr>
            <w:r>
              <w:rPr>
                <w:rFonts w:hint="eastAsia"/>
                <w:color w:val="auto"/>
                <w:vertAlign w:val="baseline"/>
                <w:lang w:val="en-US" w:eastAsia="zh-CN"/>
              </w:rPr>
              <w:t>横梁</w:t>
            </w:r>
          </w:p>
          <w:p>
            <w:pPr>
              <w:pStyle w:val="24"/>
              <w:numPr>
                <w:ilvl w:val="3"/>
                <w:numId w:val="0"/>
              </w:numPr>
              <w:bidi w:val="0"/>
              <w:jc w:val="center"/>
              <w:rPr>
                <w:rFonts w:hint="default" w:eastAsia="宋体"/>
                <w:color w:val="auto"/>
                <w:vertAlign w:val="baseline"/>
                <w:lang w:val="en-US" w:eastAsia="zh-CN"/>
              </w:rPr>
            </w:pPr>
          </w:p>
        </w:tc>
        <w:tc>
          <w:tcPr>
            <w:tcW w:w="1812"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标高</w:t>
            </w:r>
          </w:p>
        </w:tc>
        <w:tc>
          <w:tcPr>
            <w:tcW w:w="1576" w:type="dxa"/>
            <w:vAlign w:val="center"/>
          </w:tcPr>
          <w:p>
            <w:pPr>
              <w:pStyle w:val="24"/>
              <w:numPr>
                <w:ilvl w:val="3"/>
                <w:numId w:val="0"/>
              </w:numPr>
              <w:bidi w:val="0"/>
              <w:jc w:val="center"/>
              <w:rPr>
                <w:rFonts w:hint="default" w:eastAsia="宋体"/>
                <w:color w:val="auto"/>
                <w:vertAlign w:val="baseline"/>
                <w:lang w:val="en-US" w:eastAsia="zh-CN"/>
              </w:rPr>
            </w:pPr>
            <w:r>
              <w:rPr>
                <w:rFonts w:hint="eastAsia"/>
                <w:color w:val="auto"/>
                <w:vertAlign w:val="baseline"/>
                <w:lang w:val="en-US" w:eastAsia="zh-CN"/>
              </w:rPr>
              <w:t>1</w:t>
            </w:r>
          </w:p>
        </w:tc>
        <w:tc>
          <w:tcPr>
            <w:tcW w:w="2080" w:type="dxa"/>
            <w:vAlign w:val="center"/>
          </w:tcPr>
          <w:p>
            <w:pPr>
              <w:pStyle w:val="24"/>
              <w:numPr>
                <w:ilvl w:val="3"/>
                <w:numId w:val="0"/>
              </w:numPr>
              <w:bidi w:val="0"/>
              <w:jc w:val="center"/>
              <w:rPr>
                <w:color w:val="auto"/>
                <w:vertAlign w:val="baseline"/>
              </w:rPr>
            </w:pPr>
            <w:r>
              <w:rPr>
                <w:rFonts w:hint="eastAsia"/>
                <w:color w:val="auto"/>
                <w:vertAlign w:val="baseline"/>
                <w:lang w:val="en-US" w:eastAsia="zh-CN"/>
              </w:rPr>
              <w:t>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continue"/>
            <w:vAlign w:val="center"/>
          </w:tcPr>
          <w:p>
            <w:pPr>
              <w:pStyle w:val="24"/>
              <w:numPr>
                <w:ilvl w:val="3"/>
                <w:numId w:val="0"/>
              </w:numPr>
              <w:bidi w:val="0"/>
              <w:jc w:val="center"/>
              <w:rPr>
                <w:rFonts w:hint="eastAsia"/>
                <w:color w:val="auto"/>
                <w:vertAlign w:val="baseline"/>
                <w:lang w:val="en-US" w:eastAsia="zh-CN"/>
              </w:rPr>
            </w:pPr>
          </w:p>
        </w:tc>
        <w:tc>
          <w:tcPr>
            <w:tcW w:w="793" w:type="dxa"/>
            <w:vMerge w:val="continue"/>
            <w:vAlign w:val="center"/>
          </w:tcPr>
          <w:p>
            <w:pPr>
              <w:pStyle w:val="24"/>
              <w:numPr>
                <w:ilvl w:val="3"/>
                <w:numId w:val="0"/>
              </w:numPr>
              <w:bidi w:val="0"/>
              <w:jc w:val="center"/>
              <w:rPr>
                <w:rFonts w:hint="default" w:eastAsia="宋体"/>
                <w:color w:val="auto"/>
                <w:vertAlign w:val="baseline"/>
                <w:lang w:val="en-US" w:eastAsia="zh-CN"/>
              </w:rPr>
            </w:pPr>
          </w:p>
        </w:tc>
        <w:tc>
          <w:tcPr>
            <w:tcW w:w="1812" w:type="dxa"/>
            <w:vAlign w:val="center"/>
          </w:tcPr>
          <w:p>
            <w:pPr>
              <w:pStyle w:val="24"/>
              <w:numPr>
                <w:ilvl w:val="3"/>
                <w:numId w:val="0"/>
              </w:numPr>
              <w:bidi w:val="0"/>
              <w:ind w:left="0" w:leftChars="0" w:firstLine="0" w:firstLineChars="0"/>
              <w:jc w:val="center"/>
              <w:rPr>
                <w:rFonts w:hint="eastAsia" w:eastAsia="宋体" w:asciiTheme="minorHAnsi" w:hAnsiTheme="minorHAnsi" w:cstheme="minorBidi"/>
                <w:color w:val="auto"/>
                <w:kern w:val="2"/>
                <w:sz w:val="21"/>
                <w:szCs w:val="21"/>
                <w:vertAlign w:val="baseline"/>
                <w:lang w:val="en-US" w:eastAsia="zh-CN" w:bidi="ar-SA"/>
              </w:rPr>
            </w:pPr>
            <w:r>
              <w:rPr>
                <w:rFonts w:hint="eastAsia"/>
                <w:color w:val="auto"/>
                <w:vertAlign w:val="baseline"/>
                <w:lang w:val="en-US" w:eastAsia="zh-CN"/>
              </w:rPr>
              <w:t>轴线位置</w:t>
            </w:r>
          </w:p>
        </w:tc>
        <w:tc>
          <w:tcPr>
            <w:tcW w:w="1576" w:type="dxa"/>
            <w:vAlign w:val="center"/>
          </w:tcPr>
          <w:p>
            <w:pPr>
              <w:pStyle w:val="24"/>
              <w:numPr>
                <w:ilvl w:val="3"/>
                <w:numId w:val="0"/>
              </w:numPr>
              <w:bidi w:val="0"/>
              <w:ind w:left="0" w:leftChars="0" w:firstLine="0" w:firstLineChars="0"/>
              <w:jc w:val="center"/>
              <w:rPr>
                <w:rFonts w:hint="eastAsia" w:eastAsia="宋体" w:asciiTheme="minorHAnsi" w:hAnsiTheme="minorHAnsi" w:cstheme="minorBidi"/>
                <w:color w:val="auto"/>
                <w:kern w:val="2"/>
                <w:sz w:val="21"/>
                <w:szCs w:val="21"/>
                <w:vertAlign w:val="baseline"/>
                <w:lang w:val="en-US" w:eastAsia="zh-CN" w:bidi="ar-SA"/>
              </w:rPr>
            </w:pPr>
            <w:r>
              <w:rPr>
                <w:rFonts w:hint="eastAsia"/>
                <w:color w:val="auto"/>
                <w:vertAlign w:val="baseline"/>
                <w:lang w:val="en-US" w:eastAsia="zh-CN"/>
              </w:rPr>
              <w:t>±2</w:t>
            </w:r>
          </w:p>
        </w:tc>
        <w:tc>
          <w:tcPr>
            <w:tcW w:w="2080" w:type="dxa"/>
            <w:vAlign w:val="center"/>
          </w:tcPr>
          <w:p>
            <w:pPr>
              <w:pStyle w:val="24"/>
              <w:numPr>
                <w:ilvl w:val="3"/>
                <w:numId w:val="0"/>
              </w:numPr>
              <w:bidi w:val="0"/>
              <w:ind w:left="0" w:leftChars="0" w:firstLine="0" w:firstLineChars="0"/>
              <w:jc w:val="center"/>
              <w:rPr>
                <w:rFonts w:hint="eastAsia" w:eastAsia="宋体" w:asciiTheme="minorHAnsi" w:hAnsiTheme="minorHAnsi" w:cstheme="minorBidi"/>
                <w:color w:val="auto"/>
                <w:kern w:val="2"/>
                <w:sz w:val="21"/>
                <w:szCs w:val="21"/>
                <w:vertAlign w:val="baseline"/>
                <w:lang w:val="en-US" w:eastAsia="zh-CN" w:bidi="ar-SA"/>
              </w:rPr>
            </w:pPr>
            <w:r>
              <w:rPr>
                <w:rFonts w:hint="eastAsia"/>
                <w:color w:val="auto"/>
                <w:vertAlign w:val="baseline"/>
                <w:lang w:val="en-US" w:eastAsia="zh-CN"/>
              </w:rPr>
              <w:t>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continue"/>
            <w:vAlign w:val="center"/>
          </w:tcPr>
          <w:p>
            <w:pPr>
              <w:pStyle w:val="24"/>
              <w:numPr>
                <w:ilvl w:val="3"/>
                <w:numId w:val="0"/>
              </w:numPr>
              <w:bidi w:val="0"/>
              <w:jc w:val="center"/>
              <w:rPr>
                <w:rFonts w:hint="eastAsia" w:eastAsia="宋体"/>
                <w:color w:val="auto"/>
                <w:vertAlign w:val="baseline"/>
                <w:lang w:val="en-US" w:eastAsia="zh-CN"/>
              </w:rPr>
            </w:pPr>
          </w:p>
        </w:tc>
        <w:tc>
          <w:tcPr>
            <w:tcW w:w="793" w:type="dxa"/>
            <w:vMerge w:val="continue"/>
            <w:vAlign w:val="center"/>
          </w:tcPr>
          <w:p>
            <w:pPr>
              <w:pStyle w:val="24"/>
              <w:numPr>
                <w:ilvl w:val="3"/>
                <w:numId w:val="0"/>
              </w:numPr>
              <w:bidi w:val="0"/>
              <w:jc w:val="center"/>
              <w:rPr>
                <w:rFonts w:hint="default" w:eastAsia="宋体"/>
                <w:color w:val="auto"/>
                <w:vertAlign w:val="baseline"/>
                <w:lang w:val="en-US" w:eastAsia="zh-CN"/>
              </w:rPr>
            </w:pPr>
          </w:p>
        </w:tc>
        <w:tc>
          <w:tcPr>
            <w:tcW w:w="1812" w:type="dxa"/>
            <w:vAlign w:val="center"/>
          </w:tcPr>
          <w:p>
            <w:pPr>
              <w:pStyle w:val="24"/>
              <w:numPr>
                <w:ilvl w:val="3"/>
                <w:numId w:val="0"/>
              </w:numPr>
              <w:bidi w:val="0"/>
              <w:ind w:left="0" w:leftChars="0" w:firstLine="0" w:firstLineChars="0"/>
              <w:jc w:val="center"/>
              <w:rPr>
                <w:rFonts w:hint="default" w:eastAsia="宋体" w:asciiTheme="minorHAnsi" w:hAnsiTheme="minorHAnsi" w:cstheme="minorBidi"/>
                <w:color w:val="auto"/>
                <w:kern w:val="2"/>
                <w:sz w:val="21"/>
                <w:szCs w:val="21"/>
                <w:vertAlign w:val="baseline"/>
                <w:lang w:val="en-US" w:eastAsia="zh-CN" w:bidi="ar-SA"/>
              </w:rPr>
            </w:pPr>
            <w:r>
              <w:rPr>
                <w:rFonts w:hint="eastAsia"/>
                <w:color w:val="auto"/>
                <w:vertAlign w:val="baseline"/>
                <w:lang w:val="en-US" w:eastAsia="zh-CN"/>
              </w:rPr>
              <w:t>相邻横梁标高</w:t>
            </w:r>
          </w:p>
        </w:tc>
        <w:tc>
          <w:tcPr>
            <w:tcW w:w="1576" w:type="dxa"/>
            <w:vAlign w:val="center"/>
          </w:tcPr>
          <w:p>
            <w:pPr>
              <w:pStyle w:val="24"/>
              <w:numPr>
                <w:ilvl w:val="3"/>
                <w:numId w:val="0"/>
              </w:numPr>
              <w:bidi w:val="0"/>
              <w:ind w:left="0" w:leftChars="0" w:firstLine="0" w:firstLineChars="0"/>
              <w:jc w:val="center"/>
              <w:rPr>
                <w:rFonts w:hint="eastAsia" w:eastAsia="宋体" w:asciiTheme="minorHAnsi" w:hAnsiTheme="minorHAnsi" w:cstheme="minorBidi"/>
                <w:color w:val="auto"/>
                <w:kern w:val="2"/>
                <w:sz w:val="21"/>
                <w:szCs w:val="21"/>
                <w:vertAlign w:val="baseline"/>
                <w:lang w:val="en-US" w:eastAsia="zh-CN" w:bidi="ar-SA"/>
              </w:rPr>
            </w:pPr>
            <w:r>
              <w:rPr>
                <w:rFonts w:hint="eastAsia"/>
                <w:color w:val="auto"/>
                <w:vertAlign w:val="baseline"/>
                <w:lang w:val="en-US" w:eastAsia="zh-CN"/>
              </w:rPr>
              <w:t>1</w:t>
            </w:r>
          </w:p>
        </w:tc>
        <w:tc>
          <w:tcPr>
            <w:tcW w:w="2080" w:type="dxa"/>
            <w:vAlign w:val="center"/>
          </w:tcPr>
          <w:p>
            <w:pPr>
              <w:pStyle w:val="24"/>
              <w:numPr>
                <w:ilvl w:val="3"/>
                <w:numId w:val="0"/>
              </w:numPr>
              <w:bidi w:val="0"/>
              <w:ind w:left="0" w:leftChars="0" w:firstLine="0" w:firstLineChars="0"/>
              <w:jc w:val="center"/>
              <w:rPr>
                <w:rFonts w:hint="default" w:eastAsia="宋体" w:asciiTheme="minorHAnsi" w:hAnsiTheme="minorHAnsi" w:cstheme="minorBidi"/>
                <w:color w:val="auto"/>
                <w:kern w:val="2"/>
                <w:sz w:val="21"/>
                <w:szCs w:val="21"/>
                <w:vertAlign w:val="baseline"/>
                <w:lang w:val="en-US" w:eastAsia="zh-CN" w:bidi="ar-SA"/>
              </w:rPr>
            </w:pPr>
            <w:r>
              <w:rPr>
                <w:rFonts w:hint="eastAsia"/>
                <w:color w:val="auto"/>
                <w:vertAlign w:val="baseline"/>
                <w:lang w:val="en-US" w:eastAsia="zh-CN"/>
              </w:rPr>
              <w:t>尺量检查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2" w:type="dxa"/>
            <w:vMerge w:val="continue"/>
            <w:vAlign w:val="center"/>
          </w:tcPr>
          <w:p>
            <w:pPr>
              <w:pStyle w:val="24"/>
              <w:numPr>
                <w:ilvl w:val="3"/>
                <w:numId w:val="0"/>
              </w:numPr>
              <w:bidi w:val="0"/>
              <w:jc w:val="center"/>
              <w:rPr>
                <w:rFonts w:hint="eastAsia"/>
                <w:color w:val="auto"/>
                <w:vertAlign w:val="baseline"/>
                <w:lang w:val="en-US" w:eastAsia="zh-CN"/>
              </w:rPr>
            </w:pPr>
          </w:p>
        </w:tc>
        <w:tc>
          <w:tcPr>
            <w:tcW w:w="793" w:type="dxa"/>
            <w:vMerge w:val="continue"/>
            <w:vAlign w:val="center"/>
          </w:tcPr>
          <w:p>
            <w:pPr>
              <w:pStyle w:val="24"/>
              <w:numPr>
                <w:ilvl w:val="3"/>
                <w:numId w:val="0"/>
              </w:numPr>
              <w:bidi w:val="0"/>
              <w:jc w:val="center"/>
              <w:rPr>
                <w:rFonts w:hint="default" w:eastAsia="宋体"/>
                <w:color w:val="auto"/>
                <w:vertAlign w:val="baseline"/>
                <w:lang w:val="en-US" w:eastAsia="zh-CN"/>
              </w:rPr>
            </w:pPr>
          </w:p>
        </w:tc>
        <w:tc>
          <w:tcPr>
            <w:tcW w:w="1812"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同层横梁标高</w:t>
            </w:r>
          </w:p>
        </w:tc>
        <w:tc>
          <w:tcPr>
            <w:tcW w:w="1576"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4</w:t>
            </w:r>
          </w:p>
        </w:tc>
        <w:tc>
          <w:tcPr>
            <w:tcW w:w="2080" w:type="dxa"/>
            <w:vAlign w:val="center"/>
          </w:tcPr>
          <w:p>
            <w:pPr>
              <w:pStyle w:val="24"/>
              <w:numPr>
                <w:ilvl w:val="3"/>
                <w:numId w:val="0"/>
              </w:numPr>
              <w:bidi w:val="0"/>
              <w:jc w:val="center"/>
              <w:rPr>
                <w:rFonts w:hint="default"/>
                <w:color w:val="auto"/>
                <w:vertAlign w:val="baseline"/>
                <w:lang w:val="en-US" w:eastAsia="zh-CN"/>
              </w:rPr>
            </w:pPr>
            <w:r>
              <w:rPr>
                <w:rFonts w:hint="eastAsia"/>
                <w:color w:val="auto"/>
                <w:vertAlign w:val="baseline"/>
                <w:lang w:val="en-US" w:eastAsia="zh-CN"/>
              </w:rPr>
              <w:t>尺量检查</w:t>
            </w:r>
          </w:p>
        </w:tc>
      </w:tr>
    </w:tbl>
    <w:p>
      <w:pPr>
        <w:rPr>
          <w:rFonts w:hint="eastAsia" w:ascii="Times New Roman" w:hAnsi="Times New Roman" w:cs="Times New Roman"/>
          <w:color w:val="auto"/>
          <w:kern w:val="2"/>
          <w:sz w:val="20"/>
          <w:szCs w:val="20"/>
          <w:lang w:val="en-US" w:eastAsia="zh-CN" w:bidi="ar-SA"/>
        </w:rPr>
      </w:pPr>
      <w:r>
        <w:rPr>
          <w:rFonts w:hint="eastAsia" w:ascii="Times New Roman" w:hAnsi="Times New Roman" w:cs="Times New Roman"/>
          <w:color w:val="auto"/>
          <w:kern w:val="2"/>
          <w:sz w:val="20"/>
          <w:szCs w:val="20"/>
          <w:lang w:val="en-US" w:eastAsia="zh-CN" w:bidi="ar-SA"/>
        </w:rPr>
        <w:t xml:space="preserve">   </w:t>
      </w:r>
    </w:p>
    <w:p>
      <w:pPr>
        <w:pStyle w:val="22"/>
        <w:bidi w:val="0"/>
        <w:rPr>
          <w:rFonts w:hint="default"/>
          <w:lang w:val="en-US"/>
        </w:rPr>
      </w:pPr>
      <w:r>
        <w:rPr>
          <w:rFonts w:hint="eastAsia"/>
          <w:lang w:val="en-US" w:eastAsia="zh-CN"/>
        </w:rPr>
        <w:t xml:space="preserve"> </w:t>
      </w:r>
      <w:bookmarkStart w:id="37" w:name="_Toc22889"/>
      <w:r>
        <w:rPr>
          <w:rFonts w:hint="eastAsia"/>
          <w:lang w:val="en-US" w:eastAsia="zh-CN"/>
        </w:rPr>
        <w:t>制作安装</w:t>
      </w:r>
      <w:bookmarkEnd w:id="37"/>
    </w:p>
    <w:p>
      <w:pPr>
        <w:pStyle w:val="22"/>
        <w:numPr>
          <w:ilvl w:val="1"/>
          <w:numId w:val="0"/>
        </w:numPr>
        <w:bidi w:val="0"/>
        <w:ind w:firstLine="2610" w:firstLineChars="1300"/>
        <w:jc w:val="both"/>
        <w:rPr>
          <w:b w:val="0"/>
          <w:bCs/>
          <w:color w:val="auto"/>
        </w:rPr>
      </w:pPr>
      <w:r>
        <w:rPr>
          <w:rFonts w:hint="eastAsia" w:ascii="Times New Roman" w:hAnsi="Times New Roman" w:cs="Times New Roman"/>
          <w:color w:val="auto"/>
          <w:kern w:val="2"/>
          <w:sz w:val="20"/>
          <w:szCs w:val="20"/>
          <w:lang w:val="en-US" w:eastAsia="zh-CN" w:bidi="ar-SA"/>
        </w:rPr>
        <w:t xml:space="preserve"> </w:t>
      </w:r>
      <w:bookmarkStart w:id="38" w:name="_Toc10813"/>
      <w:r>
        <w:rPr>
          <w:rFonts w:hint="eastAsia" w:ascii="宋体" w:hAnsi="宋体" w:eastAsia="宋体" w:cs="宋体"/>
          <w:b w:val="0"/>
          <w:bCs/>
          <w:color w:val="auto"/>
        </w:rPr>
        <w:t>Ⅰ</w:t>
      </w:r>
      <w:r>
        <w:rPr>
          <w:rFonts w:hint="eastAsia"/>
          <w:b w:val="0"/>
          <w:bCs/>
          <w:color w:val="auto"/>
        </w:rPr>
        <w:t>主控项目</w:t>
      </w:r>
      <w:bookmarkEnd w:id="38"/>
    </w:p>
    <w:p>
      <w:pPr>
        <w:pStyle w:val="24"/>
        <w:numPr>
          <w:ilvl w:val="3"/>
          <w:numId w:val="0"/>
        </w:numPr>
        <w:bidi w:val="0"/>
        <w:ind w:leftChars="0"/>
        <w:rPr>
          <w:color w:val="auto"/>
        </w:rPr>
      </w:pPr>
      <w:r>
        <w:rPr>
          <w:rFonts w:hint="eastAsia" w:eastAsia="宋体" w:cstheme="minorBidi"/>
          <w:color w:val="auto"/>
          <w:kern w:val="2"/>
          <w:sz w:val="21"/>
          <w:szCs w:val="21"/>
          <w:lang w:val="en-US" w:eastAsia="zh-CN" w:bidi="ar-SA"/>
        </w:rPr>
        <w:t>7.</w:t>
      </w:r>
      <w:r>
        <w:rPr>
          <w:rFonts w:hint="eastAsia" w:cstheme="minorBidi"/>
          <w:color w:val="auto"/>
          <w:kern w:val="2"/>
          <w:sz w:val="21"/>
          <w:szCs w:val="21"/>
          <w:lang w:val="en-US" w:eastAsia="zh-CN" w:bidi="ar-SA"/>
        </w:rPr>
        <w:t>3</w:t>
      </w:r>
      <w:r>
        <w:rPr>
          <w:rFonts w:hint="eastAsia" w:eastAsia="宋体" w:cstheme="minorBidi"/>
          <w:color w:val="auto"/>
          <w:kern w:val="2"/>
          <w:sz w:val="21"/>
          <w:szCs w:val="21"/>
          <w:lang w:val="en-US" w:eastAsia="zh-CN" w:bidi="ar-SA"/>
        </w:rPr>
        <w:t>.</w:t>
      </w:r>
      <w:r>
        <w:rPr>
          <w:rFonts w:hint="eastAsia" w:cstheme="minorBidi"/>
          <w:color w:val="auto"/>
          <w:kern w:val="2"/>
          <w:sz w:val="21"/>
          <w:szCs w:val="21"/>
          <w:lang w:val="en-US" w:eastAsia="zh-CN" w:bidi="ar-SA"/>
        </w:rPr>
        <w:t xml:space="preserve">1   </w:t>
      </w:r>
      <w:r>
        <w:rPr>
          <w:rFonts w:hint="eastAsia"/>
          <w:color w:val="auto"/>
        </w:rPr>
        <w:t>用于</w:t>
      </w:r>
      <w:r>
        <w:rPr>
          <w:rFonts w:hint="eastAsia"/>
          <w:color w:val="auto"/>
          <w:lang w:eastAsia="zh-CN"/>
        </w:rPr>
        <w:t>GRG装饰工程</w:t>
      </w:r>
      <w:r>
        <w:rPr>
          <w:rFonts w:hint="eastAsia"/>
          <w:color w:val="auto"/>
        </w:rPr>
        <w:t>所用</w:t>
      </w:r>
      <w:r>
        <w:rPr>
          <w:rFonts w:hint="eastAsia"/>
          <w:color w:val="auto"/>
          <w:lang w:eastAsia="zh-CN"/>
        </w:rPr>
        <w:t>材料及配套材料</w:t>
      </w:r>
      <w:r>
        <w:rPr>
          <w:rFonts w:hint="eastAsia"/>
          <w:color w:val="auto"/>
        </w:rPr>
        <w:t>，其品种、规格和性能应满足设计要求,并应符合本标准第3章和第5章的规定。</w:t>
      </w:r>
    </w:p>
    <w:p>
      <w:pPr>
        <w:pStyle w:val="24"/>
        <w:numPr>
          <w:ilvl w:val="3"/>
          <w:numId w:val="0"/>
        </w:numPr>
        <w:ind w:left="420"/>
        <w:rPr>
          <w:color w:val="auto"/>
        </w:rPr>
      </w:pPr>
      <w:r>
        <w:rPr>
          <w:rFonts w:hint="eastAsia"/>
          <w:color w:val="auto"/>
        </w:rPr>
        <w:t>检查数量：按进场批次，每批随机抽取3个试样进行检查；质量证明文件应按照其出厂检验批进行核查。</w:t>
      </w:r>
    </w:p>
    <w:p>
      <w:pPr>
        <w:pStyle w:val="24"/>
        <w:numPr>
          <w:ilvl w:val="3"/>
          <w:numId w:val="0"/>
        </w:numPr>
        <w:ind w:left="420"/>
        <w:rPr>
          <w:color w:val="auto"/>
        </w:rPr>
      </w:pPr>
      <w:r>
        <w:rPr>
          <w:rFonts w:hint="eastAsia"/>
          <w:color w:val="auto"/>
        </w:rPr>
        <w:t>检验方法：观察、尺量检查；核查产品合格证、出厂检验报告、性能检测报告等质量证明文件。</w:t>
      </w:r>
    </w:p>
    <w:p>
      <w:pPr>
        <w:pStyle w:val="24"/>
        <w:numPr>
          <w:ilvl w:val="3"/>
          <w:numId w:val="0"/>
        </w:numPr>
        <w:bidi w:val="0"/>
        <w:ind w:leftChars="0"/>
        <w:rPr>
          <w:color w:val="auto"/>
        </w:rPr>
      </w:pPr>
      <w:r>
        <w:rPr>
          <w:rFonts w:hint="eastAsia" w:eastAsia="宋体" w:cstheme="minorBidi"/>
          <w:color w:val="auto"/>
          <w:kern w:val="2"/>
          <w:sz w:val="21"/>
          <w:szCs w:val="21"/>
          <w:lang w:val="en-US" w:eastAsia="zh-CN" w:bidi="ar-SA"/>
        </w:rPr>
        <w:t>7.</w:t>
      </w:r>
      <w:r>
        <w:rPr>
          <w:rFonts w:hint="eastAsia" w:cstheme="minorBidi"/>
          <w:color w:val="auto"/>
          <w:kern w:val="2"/>
          <w:sz w:val="21"/>
          <w:szCs w:val="21"/>
          <w:lang w:val="en-US" w:eastAsia="zh-CN" w:bidi="ar-SA"/>
        </w:rPr>
        <w:t>3</w:t>
      </w:r>
      <w:r>
        <w:rPr>
          <w:rFonts w:hint="eastAsia" w:eastAsia="宋体" w:cstheme="minorBidi"/>
          <w:color w:val="auto"/>
          <w:kern w:val="2"/>
          <w:sz w:val="21"/>
          <w:szCs w:val="21"/>
          <w:lang w:val="en-US" w:eastAsia="zh-CN" w:bidi="ar-SA"/>
        </w:rPr>
        <w:t>.</w:t>
      </w:r>
      <w:r>
        <w:rPr>
          <w:rFonts w:hint="eastAsia" w:cstheme="minorBidi"/>
          <w:color w:val="auto"/>
          <w:kern w:val="2"/>
          <w:sz w:val="21"/>
          <w:szCs w:val="21"/>
          <w:lang w:val="en-US" w:eastAsia="zh-CN" w:bidi="ar-SA"/>
        </w:rPr>
        <w:t xml:space="preserve">2   </w:t>
      </w:r>
      <w:r>
        <w:rPr>
          <w:rFonts w:hint="eastAsia"/>
          <w:color w:val="auto"/>
        </w:rPr>
        <w:t>应对进场</w:t>
      </w:r>
      <w:r>
        <w:rPr>
          <w:rFonts w:hint="eastAsia"/>
          <w:color w:val="auto"/>
          <w:lang w:val="en-US" w:eastAsia="zh-CN"/>
        </w:rPr>
        <w:t>GRG</w:t>
      </w:r>
      <w:r>
        <w:rPr>
          <w:rFonts w:hint="eastAsia"/>
          <w:color w:val="auto"/>
        </w:rPr>
        <w:t>的外观质量、尺寸允许偏差、物理性能指标进行复查，相应指标应符合本标准</w:t>
      </w:r>
      <w:r>
        <w:rPr>
          <w:rFonts w:hint="eastAsia"/>
          <w:color w:val="auto"/>
          <w:lang w:val="en-US" w:eastAsia="zh-CN"/>
        </w:rPr>
        <w:t>第5.2.2，5.2.3，5.3.2条</w:t>
      </w:r>
      <w:r>
        <w:rPr>
          <w:rFonts w:hint="eastAsia"/>
          <w:color w:val="auto"/>
        </w:rPr>
        <w:t>的要求以及设计要求。</w:t>
      </w:r>
    </w:p>
    <w:p>
      <w:pPr>
        <w:pStyle w:val="24"/>
        <w:numPr>
          <w:ilvl w:val="3"/>
          <w:numId w:val="0"/>
        </w:numPr>
        <w:ind w:left="420"/>
        <w:rPr>
          <w:color w:val="auto"/>
        </w:rPr>
      </w:pPr>
      <w:r>
        <w:rPr>
          <w:rFonts w:hint="eastAsia"/>
          <w:color w:val="auto"/>
        </w:rPr>
        <w:t>检查数量：每单位工程的同一厂家、同一工艺生产的、同一类型的</w:t>
      </w:r>
      <w:r>
        <w:rPr>
          <w:rFonts w:hint="eastAsia"/>
          <w:color w:val="auto"/>
          <w:lang w:val="en-US" w:eastAsia="zh-CN"/>
        </w:rPr>
        <w:t>GRG</w:t>
      </w:r>
      <w:r>
        <w:rPr>
          <w:rFonts w:hint="eastAsia"/>
          <w:color w:val="auto"/>
        </w:rPr>
        <w:t>，</w:t>
      </w:r>
      <w:r>
        <w:rPr>
          <w:rFonts w:hint="eastAsia"/>
          <w:color w:val="auto"/>
          <w:lang w:val="en-US" w:eastAsia="zh-CN"/>
        </w:rPr>
        <w:t>外观尺寸</w:t>
      </w:r>
      <w:r>
        <w:rPr>
          <w:rFonts w:hint="eastAsia"/>
          <w:color w:val="auto"/>
        </w:rPr>
        <w:t>各抽查不少于3次</w:t>
      </w:r>
      <w:r>
        <w:rPr>
          <w:rFonts w:hint="eastAsia"/>
          <w:color w:val="auto"/>
          <w:lang w:eastAsia="zh-CN"/>
        </w:rPr>
        <w:t>，</w:t>
      </w:r>
      <w:r>
        <w:rPr>
          <w:rFonts w:hint="eastAsia"/>
          <w:color w:val="auto"/>
          <w:lang w:val="en-US" w:eastAsia="zh-CN"/>
        </w:rPr>
        <w:t>物理性能指标各抽查不少于1次，每次不得少于3块</w:t>
      </w:r>
      <w:r>
        <w:rPr>
          <w:rFonts w:hint="eastAsia"/>
          <w:color w:val="auto"/>
        </w:rPr>
        <w:t>。</w:t>
      </w:r>
    </w:p>
    <w:p>
      <w:pPr>
        <w:pStyle w:val="24"/>
        <w:numPr>
          <w:ilvl w:val="3"/>
          <w:numId w:val="0"/>
        </w:numPr>
        <w:ind w:left="420"/>
        <w:rPr>
          <w:color w:val="auto"/>
        </w:rPr>
      </w:pPr>
      <w:r>
        <w:rPr>
          <w:rFonts w:hint="eastAsia"/>
          <w:color w:val="auto"/>
        </w:rPr>
        <w:t>检验方法：核查产品合格证、出厂检验报告、性能检测报告、型式检验报告等质量证明文件；随机抽样送检，按本标准</w:t>
      </w:r>
      <w:r>
        <w:rPr>
          <w:rFonts w:hint="eastAsia"/>
          <w:color w:val="auto"/>
          <w:lang w:val="en-US" w:eastAsia="zh-CN"/>
        </w:rPr>
        <w:t>第5.3.2条</w:t>
      </w:r>
      <w:r>
        <w:rPr>
          <w:rFonts w:hint="eastAsia"/>
          <w:color w:val="auto"/>
        </w:rPr>
        <w:t>及相关规范的规定进行检测，核查复验报告。</w:t>
      </w:r>
    </w:p>
    <w:p>
      <w:pPr>
        <w:pStyle w:val="24"/>
        <w:numPr>
          <w:ilvl w:val="3"/>
          <w:numId w:val="0"/>
        </w:numPr>
        <w:rPr>
          <w:rFonts w:hint="eastAsia"/>
          <w:color w:val="auto"/>
        </w:rPr>
      </w:pPr>
      <w:r>
        <w:rPr>
          <w:rFonts w:hint="eastAsia" w:eastAsia="宋体" w:cstheme="minorBidi"/>
          <w:color w:val="auto"/>
          <w:kern w:val="2"/>
          <w:sz w:val="21"/>
          <w:szCs w:val="21"/>
          <w:lang w:val="en-US" w:eastAsia="zh-CN" w:bidi="ar-SA"/>
        </w:rPr>
        <w:t>7.</w:t>
      </w:r>
      <w:r>
        <w:rPr>
          <w:rFonts w:hint="eastAsia" w:cstheme="minorBidi"/>
          <w:color w:val="auto"/>
          <w:kern w:val="2"/>
          <w:sz w:val="21"/>
          <w:szCs w:val="21"/>
          <w:lang w:val="en-US" w:eastAsia="zh-CN" w:bidi="ar-SA"/>
        </w:rPr>
        <w:t>3</w:t>
      </w:r>
      <w:r>
        <w:rPr>
          <w:rFonts w:hint="eastAsia" w:eastAsia="宋体" w:cstheme="minorBidi"/>
          <w:color w:val="auto"/>
          <w:kern w:val="2"/>
          <w:sz w:val="21"/>
          <w:szCs w:val="21"/>
          <w:lang w:val="en-US" w:eastAsia="zh-CN" w:bidi="ar-SA"/>
        </w:rPr>
        <w:t>.</w:t>
      </w:r>
      <w:r>
        <w:rPr>
          <w:rFonts w:hint="eastAsia" w:cstheme="minorBidi"/>
          <w:color w:val="auto"/>
          <w:kern w:val="2"/>
          <w:sz w:val="21"/>
          <w:szCs w:val="21"/>
          <w:lang w:val="en-US" w:eastAsia="zh-CN" w:bidi="ar-SA"/>
        </w:rPr>
        <w:t xml:space="preserve">3   </w:t>
      </w:r>
      <w:r>
        <w:rPr>
          <w:rFonts w:hint="eastAsia"/>
          <w:color w:val="auto"/>
        </w:rPr>
        <w:t>GRG与</w:t>
      </w:r>
      <w:r>
        <w:rPr>
          <w:rFonts w:hint="eastAsia"/>
          <w:color w:val="auto"/>
          <w:lang w:val="en-US" w:eastAsia="zh-CN"/>
        </w:rPr>
        <w:t>钢骨架</w:t>
      </w:r>
      <w:r>
        <w:rPr>
          <w:rFonts w:hint="eastAsia"/>
          <w:color w:val="auto"/>
        </w:rPr>
        <w:t>应可靠连接，保证螺栓拧紧，锚固牢固，防锈措施可靠，专用粘结剂粘结面积90%以上。</w:t>
      </w:r>
    </w:p>
    <w:p>
      <w:pPr>
        <w:pStyle w:val="24"/>
        <w:numPr>
          <w:ilvl w:val="3"/>
          <w:numId w:val="0"/>
        </w:numPr>
        <w:ind w:left="420"/>
        <w:rPr>
          <w:rFonts w:hint="eastAsia"/>
          <w:color w:val="auto"/>
        </w:rPr>
      </w:pPr>
      <w:r>
        <w:rPr>
          <w:rFonts w:hint="eastAsia"/>
          <w:color w:val="auto"/>
        </w:rPr>
        <w:t>检查数量：每50㎡检测不少于1处，不足50㎡检测1处；</w:t>
      </w:r>
    </w:p>
    <w:p>
      <w:pPr>
        <w:pStyle w:val="24"/>
        <w:numPr>
          <w:ilvl w:val="3"/>
          <w:numId w:val="0"/>
        </w:numPr>
        <w:ind w:left="420"/>
        <w:rPr>
          <w:rFonts w:hint="default"/>
          <w:color w:val="auto"/>
          <w:lang w:val="en-US" w:eastAsia="zh-CN"/>
        </w:rPr>
      </w:pPr>
      <w:r>
        <w:rPr>
          <w:rFonts w:hint="eastAsia"/>
          <w:color w:val="auto"/>
        </w:rPr>
        <w:t>检验方法：对照设计和施工方案观察检查；核查隐蔽工程验收记录；随机抽样，按本标准的有关规定进行检测，核查检测报告。</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stheme="minorBidi"/>
          <w:color w:val="auto"/>
          <w:kern w:val="2"/>
          <w:sz w:val="21"/>
          <w:szCs w:val="21"/>
          <w:lang w:val="en-US" w:eastAsia="zh-CN" w:bidi="ar-SA"/>
        </w:rPr>
      </w:pPr>
      <w:r>
        <w:rPr>
          <w:rFonts w:hint="eastAsia" w:eastAsia="宋体" w:cstheme="minorBidi"/>
          <w:color w:val="auto"/>
          <w:kern w:val="2"/>
          <w:sz w:val="21"/>
          <w:szCs w:val="21"/>
          <w:lang w:val="en-US" w:eastAsia="zh-CN" w:bidi="ar-SA"/>
        </w:rPr>
        <w:t>7.</w:t>
      </w:r>
      <w:r>
        <w:rPr>
          <w:rFonts w:hint="eastAsia" w:cstheme="minorBidi"/>
          <w:color w:val="auto"/>
          <w:kern w:val="2"/>
          <w:sz w:val="21"/>
          <w:szCs w:val="21"/>
          <w:lang w:val="en-US" w:eastAsia="zh-CN" w:bidi="ar-SA"/>
        </w:rPr>
        <w:t>3</w:t>
      </w:r>
      <w:r>
        <w:rPr>
          <w:rFonts w:hint="eastAsia" w:eastAsia="宋体" w:cstheme="minorBidi"/>
          <w:color w:val="auto"/>
          <w:kern w:val="2"/>
          <w:sz w:val="21"/>
          <w:szCs w:val="21"/>
          <w:lang w:val="en-US" w:eastAsia="zh-CN" w:bidi="ar-SA"/>
        </w:rPr>
        <w:t>.</w:t>
      </w:r>
      <w:r>
        <w:rPr>
          <w:rFonts w:hint="eastAsia" w:cstheme="minorBidi"/>
          <w:color w:val="auto"/>
          <w:kern w:val="2"/>
          <w:sz w:val="21"/>
          <w:szCs w:val="21"/>
          <w:lang w:val="en-US" w:eastAsia="zh-CN" w:bidi="ar-SA"/>
        </w:rPr>
        <w:t xml:space="preserve">4   </w:t>
      </w:r>
      <w:r>
        <w:rPr>
          <w:rFonts w:hint="eastAsia" w:eastAsia="宋体" w:asciiTheme="minorHAnsi" w:hAnsiTheme="minorHAnsi" w:cstheme="minorBidi"/>
          <w:color w:val="auto"/>
          <w:kern w:val="2"/>
          <w:sz w:val="21"/>
          <w:szCs w:val="21"/>
          <w:lang w:val="en-US" w:eastAsia="zh-CN" w:bidi="ar-SA"/>
        </w:rPr>
        <w:t>GRG用于吊顶工程时，固定用螺栓、吊杆、龙骨和连接件的安装间距、位置、尺寸和连接方式应满足设计要求</w:t>
      </w:r>
      <w:r>
        <w:rPr>
          <w:rFonts w:hint="eastAsia" w:eastAsia="宋体" w:cstheme="minorBidi"/>
          <w:color w:val="auto"/>
          <w:kern w:val="2"/>
          <w:sz w:val="21"/>
          <w:szCs w:val="21"/>
          <w:lang w:val="en-US" w:eastAsia="zh-CN" w:bidi="ar-SA"/>
        </w:rPr>
        <w:t>，安装必须牢固。</w:t>
      </w:r>
    </w:p>
    <w:p>
      <w:pPr>
        <w:pStyle w:val="24"/>
        <w:numPr>
          <w:ilvl w:val="3"/>
          <w:numId w:val="0"/>
        </w:numPr>
        <w:ind w:firstLine="420" w:firstLineChars="200"/>
        <w:rPr>
          <w:rFonts w:hint="eastAsia"/>
          <w:color w:val="auto"/>
        </w:rPr>
      </w:pPr>
      <w:r>
        <w:rPr>
          <w:rFonts w:hint="eastAsia"/>
          <w:color w:val="auto"/>
        </w:rPr>
        <w:t>检查数量：每50㎡检测不少于1处，不足50㎡检测1处；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rPr>
      </w:pPr>
      <w:r>
        <w:rPr>
          <w:rFonts w:hint="eastAsia" w:eastAsia="宋体" w:cstheme="minorBidi"/>
          <w:color w:val="auto"/>
          <w:kern w:val="2"/>
          <w:sz w:val="21"/>
          <w:szCs w:val="21"/>
          <w:lang w:val="en-US" w:eastAsia="zh-CN" w:bidi="ar-SA"/>
        </w:rPr>
        <w:t>检验方法：</w:t>
      </w:r>
      <w:r>
        <w:rPr>
          <w:rFonts w:hint="eastAsia"/>
          <w:color w:val="auto"/>
        </w:rPr>
        <w:t>对照设计和施工方案观察</w:t>
      </w:r>
      <w:r>
        <w:rPr>
          <w:rFonts w:hint="eastAsia"/>
          <w:color w:val="auto"/>
          <w:lang w:eastAsia="zh-CN"/>
        </w:rPr>
        <w:t>，</w:t>
      </w:r>
      <w:r>
        <w:rPr>
          <w:rFonts w:hint="eastAsia"/>
          <w:color w:val="auto"/>
          <w:lang w:val="en-US" w:eastAsia="zh-CN"/>
        </w:rPr>
        <w:t>手扳</w:t>
      </w:r>
      <w:r>
        <w:rPr>
          <w:rFonts w:hint="eastAsia"/>
          <w:color w:val="auto"/>
        </w:rPr>
        <w:t>检查</w:t>
      </w:r>
      <w:r>
        <w:rPr>
          <w:rFonts w:hint="eastAsia"/>
          <w:color w:val="auto"/>
          <w:lang w:eastAsia="zh-CN"/>
        </w:rPr>
        <w:t>；</w:t>
      </w:r>
      <w:r>
        <w:rPr>
          <w:rFonts w:hint="eastAsia"/>
          <w:color w:val="auto"/>
        </w:rPr>
        <w:t>核查隐蔽工程验收</w:t>
      </w:r>
    </w:p>
    <w:p>
      <w:pPr>
        <w:keepNext w:val="0"/>
        <w:keepLines w:val="0"/>
        <w:pageBreakBefore w:val="0"/>
        <w:widowControl w:val="0"/>
        <w:kinsoku/>
        <w:wordWrap/>
        <w:overflowPunct/>
        <w:topLinePunct w:val="0"/>
        <w:autoSpaceDE/>
        <w:autoSpaceDN/>
        <w:bidi w:val="0"/>
        <w:adjustRightInd/>
        <w:snapToGrid/>
        <w:spacing w:line="360" w:lineRule="auto"/>
        <w:ind w:firstLine="1470" w:firstLineChars="700"/>
        <w:textAlignment w:val="auto"/>
        <w:rPr>
          <w:rFonts w:hint="eastAsia"/>
          <w:color w:val="auto"/>
          <w:lang w:eastAsia="zh-CN"/>
        </w:rPr>
      </w:pPr>
      <w:r>
        <w:rPr>
          <w:rFonts w:hint="eastAsia"/>
          <w:color w:val="auto"/>
        </w:rPr>
        <w:t>记录</w:t>
      </w:r>
      <w:r>
        <w:rPr>
          <w:rFonts w:hint="eastAsia"/>
          <w:color w:val="auto"/>
          <w:lang w:eastAsia="zh-CN"/>
        </w:rPr>
        <w:t>。</w:t>
      </w:r>
    </w:p>
    <w:p>
      <w:pPr>
        <w:pStyle w:val="24"/>
        <w:numPr>
          <w:ilvl w:val="3"/>
          <w:numId w:val="0"/>
        </w:numPr>
        <w:bidi w:val="0"/>
        <w:ind w:leftChars="0"/>
        <w:rPr>
          <w:color w:val="auto"/>
        </w:rPr>
      </w:pPr>
      <w:r>
        <w:rPr>
          <w:rFonts w:hint="eastAsia"/>
          <w:color w:val="auto"/>
          <w:lang w:val="en-US" w:eastAsia="zh-CN"/>
        </w:rPr>
        <w:t xml:space="preserve">7.3.5   </w:t>
      </w:r>
      <w:r>
        <w:rPr>
          <w:rFonts w:hint="eastAsia"/>
          <w:color w:val="auto"/>
        </w:rPr>
        <w:t>GRG施工完成后，应进行防开裂措施的背面</w:t>
      </w:r>
      <w:r>
        <w:rPr>
          <w:rFonts w:hint="default"/>
          <w:b w:val="0"/>
          <w:bCs w:val="0"/>
          <w:color w:val="auto"/>
          <w:lang w:val="en-US" w:eastAsia="zh-CN"/>
        </w:rPr>
        <w:t>坞绑</w:t>
      </w:r>
      <w:r>
        <w:rPr>
          <w:rFonts w:hint="eastAsia"/>
          <w:color w:val="auto"/>
        </w:rPr>
        <w:t>检测，防开裂处理点每1m应不少于3处，每个防开裂处理点长度应不小于100mm，满邬邦为最佳。</w:t>
      </w:r>
    </w:p>
    <w:p>
      <w:pPr>
        <w:pStyle w:val="24"/>
        <w:numPr>
          <w:ilvl w:val="3"/>
          <w:numId w:val="0"/>
        </w:numPr>
        <w:ind w:left="420"/>
        <w:rPr>
          <w:color w:val="auto"/>
        </w:rPr>
      </w:pPr>
      <w:r>
        <w:rPr>
          <w:rFonts w:hint="eastAsia"/>
          <w:color w:val="auto"/>
        </w:rPr>
        <w:t xml:space="preserve">检查数量：每50㎡检测不少于1处，不足50㎡检测1处； </w:t>
      </w:r>
    </w:p>
    <w:p>
      <w:pPr>
        <w:pStyle w:val="24"/>
        <w:numPr>
          <w:ilvl w:val="3"/>
          <w:numId w:val="0"/>
        </w:numPr>
        <w:ind w:left="420"/>
        <w:rPr>
          <w:color w:val="auto"/>
        </w:rPr>
      </w:pPr>
      <w:r>
        <w:rPr>
          <w:rFonts w:hint="eastAsia"/>
          <w:color w:val="auto"/>
        </w:rPr>
        <w:t>检验方法：对照设计和产品规格，依据产品拼接缝位置进行观察检查。</w:t>
      </w:r>
    </w:p>
    <w:p>
      <w:pPr>
        <w:pStyle w:val="24"/>
        <w:numPr>
          <w:ilvl w:val="3"/>
          <w:numId w:val="0"/>
        </w:numPr>
        <w:ind w:left="420"/>
        <w:rPr>
          <w:rFonts w:hint="eastAsia"/>
          <w:b w:val="0"/>
          <w:bCs/>
          <w:color w:val="auto"/>
          <w:lang w:val="en-US" w:eastAsia="zh-CN"/>
        </w:rPr>
      </w:pPr>
      <w:r>
        <w:rPr>
          <w:rFonts w:hint="eastAsia"/>
          <w:color w:val="auto"/>
          <w:lang w:val="en-US" w:eastAsia="zh-CN"/>
        </w:rPr>
        <w:t xml:space="preserve">                    </w:t>
      </w:r>
      <w:r>
        <w:rPr>
          <w:rFonts w:hint="eastAsia" w:ascii="宋体" w:hAnsi="宋体" w:eastAsia="宋体" w:cs="宋体"/>
          <w:b w:val="0"/>
          <w:bCs/>
          <w:color w:val="auto"/>
        </w:rPr>
        <w:t>Ⅱ</w:t>
      </w:r>
      <w:r>
        <w:rPr>
          <w:rFonts w:hint="eastAsia"/>
          <w:b w:val="0"/>
          <w:bCs/>
          <w:color w:val="auto"/>
          <w:lang w:val="en-US" w:eastAsia="zh-CN"/>
        </w:rPr>
        <w:t>一般项目</w:t>
      </w:r>
    </w:p>
    <w:p>
      <w:pPr>
        <w:pStyle w:val="24"/>
        <w:numPr>
          <w:ilvl w:val="3"/>
          <w:numId w:val="0"/>
        </w:numPr>
        <w:bidi w:val="0"/>
        <w:ind w:leftChars="0"/>
        <w:rPr>
          <w:rFonts w:hint="eastAsia"/>
          <w:color w:val="auto"/>
          <w:highlight w:val="none"/>
        </w:rPr>
      </w:pPr>
      <w:r>
        <w:rPr>
          <w:rFonts w:hint="eastAsia"/>
          <w:color w:val="auto"/>
          <w:lang w:val="en-US" w:eastAsia="zh-CN"/>
        </w:rPr>
        <w:t xml:space="preserve">7.3.6   </w:t>
      </w:r>
      <w:r>
        <w:rPr>
          <w:rFonts w:hint="eastAsia"/>
          <w:color w:val="auto"/>
          <w:highlight w:val="none"/>
        </w:rPr>
        <w:t>GRG</w:t>
      </w:r>
      <w:r>
        <w:rPr>
          <w:rFonts w:hint="eastAsia"/>
          <w:color w:val="auto"/>
          <w:highlight w:val="none"/>
          <w:lang w:val="en-US" w:eastAsia="zh-CN"/>
        </w:rPr>
        <w:t>安装完成后，外观质量应</w:t>
      </w:r>
      <w:r>
        <w:rPr>
          <w:rFonts w:hint="eastAsia"/>
          <w:color w:val="auto"/>
        </w:rPr>
        <w:t>横向平整、竖向垂直、花饰拼接完整、曲线圆滑流畅</w:t>
      </w:r>
      <w:r>
        <w:rPr>
          <w:rFonts w:hint="eastAsia"/>
          <w:color w:val="auto"/>
          <w:lang w:eastAsia="zh-CN"/>
        </w:rPr>
        <w:t>、</w:t>
      </w:r>
      <w:r>
        <w:rPr>
          <w:rFonts w:hint="eastAsia"/>
          <w:color w:val="auto"/>
          <w:lang w:val="en-US" w:eastAsia="zh-CN"/>
        </w:rPr>
        <w:t>色泽一致</w:t>
      </w:r>
      <w:r>
        <w:rPr>
          <w:rFonts w:hint="eastAsia"/>
          <w:color w:val="auto"/>
        </w:rPr>
        <w:t>，GRG表面应无污染、缺损</w:t>
      </w:r>
      <w:r>
        <w:rPr>
          <w:rFonts w:hint="eastAsia"/>
          <w:color w:val="auto"/>
          <w:highlight w:val="none"/>
        </w:rPr>
        <w:t>。</w:t>
      </w:r>
    </w:p>
    <w:p>
      <w:pPr>
        <w:ind w:firstLine="420" w:firstLineChars="200"/>
        <w:rPr>
          <w:rFonts w:hint="eastAsia"/>
          <w:color w:val="auto"/>
          <w:highlight w:val="none"/>
          <w:lang w:eastAsia="zh-CN"/>
        </w:rPr>
      </w:pPr>
      <w:r>
        <w:rPr>
          <w:rFonts w:hint="eastAsia"/>
          <w:color w:val="auto"/>
          <w:highlight w:val="none"/>
        </w:rPr>
        <w:t>检查数量:</w:t>
      </w:r>
      <w:r>
        <w:rPr>
          <w:rFonts w:hint="eastAsia"/>
          <w:color w:val="auto"/>
          <w:highlight w:val="none"/>
          <w:lang w:val="en-US" w:eastAsia="zh-CN"/>
        </w:rPr>
        <w:t xml:space="preserve"> </w:t>
      </w:r>
      <w:r>
        <w:rPr>
          <w:rFonts w:hint="eastAsia"/>
          <w:color w:val="auto"/>
          <w:highlight w:val="none"/>
        </w:rPr>
        <w:t>全数检查</w:t>
      </w:r>
      <w:r>
        <w:rPr>
          <w:rFonts w:hint="eastAsia"/>
          <w:color w:val="auto"/>
          <w:highlight w:val="none"/>
          <w:lang w:eastAsia="zh-CN"/>
        </w:rPr>
        <w:t>。</w:t>
      </w:r>
    </w:p>
    <w:p>
      <w:pPr>
        <w:pStyle w:val="24"/>
        <w:numPr>
          <w:ilvl w:val="3"/>
          <w:numId w:val="0"/>
        </w:numPr>
        <w:bidi w:val="0"/>
        <w:ind w:firstLine="420" w:firstLineChars="200"/>
        <w:rPr>
          <w:rFonts w:hint="eastAsia"/>
          <w:color w:val="auto"/>
          <w:highlight w:val="none"/>
        </w:rPr>
      </w:pPr>
      <w:r>
        <w:rPr>
          <w:rFonts w:hint="eastAsia"/>
          <w:color w:val="auto"/>
          <w:highlight w:val="none"/>
        </w:rPr>
        <w:t>检验方法:</w:t>
      </w:r>
      <w:r>
        <w:rPr>
          <w:rFonts w:hint="eastAsia"/>
          <w:color w:val="auto"/>
          <w:highlight w:val="none"/>
          <w:lang w:val="en-US" w:eastAsia="zh-CN"/>
        </w:rPr>
        <w:t xml:space="preserve"> </w:t>
      </w:r>
      <w:r>
        <w:rPr>
          <w:rFonts w:hint="eastAsia"/>
          <w:color w:val="auto"/>
          <w:highlight w:val="none"/>
        </w:rPr>
        <w:t xml:space="preserve">观察、尺量检查。 </w:t>
      </w:r>
    </w:p>
    <w:p>
      <w:pPr>
        <w:pStyle w:val="24"/>
        <w:numPr>
          <w:ilvl w:val="3"/>
          <w:numId w:val="0"/>
        </w:numPr>
        <w:bidi w:val="0"/>
        <w:ind w:leftChars="0"/>
        <w:rPr>
          <w:rFonts w:hint="eastAsia"/>
          <w:color w:val="auto"/>
          <w:highlight w:val="none"/>
        </w:rPr>
      </w:pPr>
      <w:r>
        <w:rPr>
          <w:rFonts w:hint="eastAsia"/>
          <w:color w:val="auto"/>
          <w:lang w:val="en-US" w:eastAsia="zh-CN"/>
        </w:rPr>
        <w:t xml:space="preserve">7.3.7   </w:t>
      </w:r>
      <w:r>
        <w:rPr>
          <w:rFonts w:hint="eastAsia"/>
          <w:color w:val="auto"/>
          <w:highlight w:val="none"/>
        </w:rPr>
        <w:t>GRG安装偏差应满足设计要求，并应符合本</w:t>
      </w:r>
      <w:r>
        <w:rPr>
          <w:rFonts w:hint="eastAsia"/>
          <w:color w:val="auto"/>
          <w:highlight w:val="none"/>
          <w:lang w:val="en-US" w:eastAsia="zh-CN"/>
        </w:rPr>
        <w:t>标准第6</w:t>
      </w:r>
      <w:r>
        <w:rPr>
          <w:rFonts w:hint="eastAsia"/>
          <w:color w:val="auto"/>
          <w:highlight w:val="none"/>
        </w:rPr>
        <w:t>.3.3条的规定。</w:t>
      </w:r>
    </w:p>
    <w:p>
      <w:pPr>
        <w:ind w:firstLine="420" w:firstLineChars="200"/>
        <w:rPr>
          <w:rFonts w:hint="eastAsia" w:eastAsiaTheme="minorEastAsia"/>
          <w:color w:val="auto"/>
          <w:highlight w:val="none"/>
          <w:lang w:eastAsia="zh-CN"/>
        </w:rPr>
      </w:pPr>
      <w:r>
        <w:rPr>
          <w:rFonts w:hint="eastAsia"/>
          <w:color w:val="auto"/>
          <w:highlight w:val="none"/>
        </w:rPr>
        <w:t>检查数量:</w:t>
      </w:r>
      <w:r>
        <w:rPr>
          <w:rFonts w:hint="eastAsia"/>
          <w:color w:val="auto"/>
          <w:highlight w:val="none"/>
          <w:lang w:val="en-US" w:eastAsia="zh-CN"/>
        </w:rPr>
        <w:t xml:space="preserve"> </w:t>
      </w:r>
      <w:r>
        <w:rPr>
          <w:rFonts w:hint="eastAsia"/>
          <w:color w:val="auto"/>
          <w:highlight w:val="none"/>
        </w:rPr>
        <w:t>全数检查</w:t>
      </w:r>
      <w:r>
        <w:rPr>
          <w:rFonts w:hint="eastAsia"/>
          <w:color w:val="auto"/>
          <w:highlight w:val="none"/>
          <w:lang w:eastAsia="zh-CN"/>
        </w:rPr>
        <w:t>。</w:t>
      </w:r>
    </w:p>
    <w:p>
      <w:pPr>
        <w:pStyle w:val="24"/>
        <w:numPr>
          <w:ilvl w:val="3"/>
          <w:numId w:val="0"/>
        </w:numPr>
        <w:bidi w:val="0"/>
        <w:ind w:leftChars="0" w:firstLine="420" w:firstLineChars="200"/>
        <w:rPr>
          <w:rFonts w:hint="eastAsia"/>
          <w:color w:val="auto"/>
          <w:highlight w:val="none"/>
        </w:rPr>
      </w:pPr>
      <w:r>
        <w:rPr>
          <w:rFonts w:hint="eastAsia"/>
          <w:color w:val="auto"/>
          <w:highlight w:val="none"/>
        </w:rPr>
        <w:t>检验方法:</w:t>
      </w:r>
      <w:r>
        <w:rPr>
          <w:rFonts w:hint="eastAsia"/>
          <w:color w:val="auto"/>
          <w:highlight w:val="none"/>
          <w:lang w:val="en-US" w:eastAsia="zh-CN"/>
        </w:rPr>
        <w:t xml:space="preserve"> </w:t>
      </w:r>
      <w:r>
        <w:rPr>
          <w:rFonts w:hint="eastAsia"/>
          <w:color w:val="auto"/>
          <w:highlight w:val="none"/>
        </w:rPr>
        <w:t>现场测量;按本</w:t>
      </w:r>
      <w:r>
        <w:rPr>
          <w:rFonts w:hint="eastAsia"/>
          <w:color w:val="auto"/>
          <w:highlight w:val="none"/>
          <w:lang w:val="en-US" w:eastAsia="zh-CN"/>
        </w:rPr>
        <w:t>标准</w:t>
      </w:r>
      <w:r>
        <w:rPr>
          <w:rFonts w:hint="eastAsia"/>
          <w:color w:val="auto"/>
          <w:highlight w:val="none"/>
        </w:rPr>
        <w:t>的相关内容执行。</w:t>
      </w:r>
    </w:p>
    <w:p>
      <w:pPr>
        <w:rPr>
          <w:rFonts w:hint="eastAsia" w:ascii="Times New Roman" w:hAnsi="Times New Roman" w:cs="Times New Roman"/>
          <w:color w:val="auto"/>
          <w:kern w:val="2"/>
          <w:sz w:val="20"/>
          <w:szCs w:val="20"/>
          <w:lang w:val="en-US" w:eastAsia="zh-CN" w:bidi="ar-SA"/>
        </w:rPr>
      </w:pPr>
    </w:p>
    <w:p>
      <w:pPr>
        <w:pStyle w:val="22"/>
        <w:bidi w:val="0"/>
        <w:rPr>
          <w:rFonts w:hint="default"/>
          <w:lang w:val="en-US"/>
        </w:rPr>
      </w:pPr>
      <w:bookmarkStart w:id="39" w:name="_Toc23032"/>
      <w:r>
        <w:rPr>
          <w:rFonts w:hint="eastAsia"/>
          <w:lang w:val="en-US" w:eastAsia="zh-CN"/>
        </w:rPr>
        <w:t>辅材</w:t>
      </w:r>
      <w:bookmarkEnd w:id="39"/>
    </w:p>
    <w:p>
      <w:pPr>
        <w:pStyle w:val="22"/>
        <w:numPr>
          <w:ilvl w:val="1"/>
          <w:numId w:val="0"/>
        </w:numPr>
        <w:bidi w:val="0"/>
        <w:ind w:firstLine="2730" w:firstLineChars="1300"/>
        <w:jc w:val="both"/>
        <w:rPr>
          <w:b w:val="0"/>
          <w:bCs/>
          <w:color w:val="auto"/>
        </w:rPr>
      </w:pPr>
      <w:bookmarkStart w:id="40" w:name="_Toc6680"/>
      <w:r>
        <w:rPr>
          <w:rFonts w:hint="eastAsia" w:ascii="宋体" w:hAnsi="宋体" w:eastAsia="宋体" w:cs="宋体"/>
          <w:b w:val="0"/>
          <w:bCs/>
          <w:color w:val="auto"/>
        </w:rPr>
        <w:t>Ⅰ</w:t>
      </w:r>
      <w:r>
        <w:rPr>
          <w:rFonts w:hint="eastAsia"/>
          <w:b w:val="0"/>
          <w:bCs/>
          <w:color w:val="auto"/>
        </w:rPr>
        <w:t>主控项目</w:t>
      </w:r>
      <w:bookmarkEnd w:id="40"/>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color w:val="auto"/>
          <w:kern w:val="2"/>
          <w:sz w:val="20"/>
          <w:szCs w:val="20"/>
          <w:lang w:val="en-US" w:eastAsia="zh-CN" w:bidi="ar-SA"/>
        </w:rPr>
      </w:pPr>
      <w:r>
        <w:rPr>
          <w:rFonts w:hint="eastAsia"/>
          <w:color w:val="auto"/>
          <w:lang w:val="en-US" w:eastAsia="zh-CN"/>
        </w:rPr>
        <w:t xml:space="preserve">7.4.1   </w:t>
      </w:r>
      <w:r>
        <w:rPr>
          <w:rFonts w:hint="eastAsia" w:eastAsia="宋体" w:asciiTheme="minorHAnsi" w:hAnsiTheme="minorHAnsi" w:cstheme="minorBidi"/>
          <w:color w:val="auto"/>
          <w:kern w:val="2"/>
          <w:sz w:val="21"/>
          <w:szCs w:val="21"/>
          <w:highlight w:val="none"/>
          <w:lang w:val="en-US" w:eastAsia="zh-CN" w:bidi="ar-SA"/>
        </w:rPr>
        <w:t xml:space="preserve">GRG装饰工程辅材（含角码、吊杆、专用填缝剂、对拉螺杆、坞绑材料、耐碱玻璃纤维网格布等），其品种、规格和性能应满足设计要求,并应符合本标准第3章和第5章的规定。  </w:t>
      </w:r>
      <w:r>
        <w:rPr>
          <w:rFonts w:hint="eastAsia"/>
          <w:color w:val="auto"/>
          <w:lang w:val="en-US" w:eastAsia="zh-CN"/>
        </w:rPr>
        <w:t xml:space="preserve"> </w:t>
      </w:r>
    </w:p>
    <w:p>
      <w:pPr>
        <w:pStyle w:val="24"/>
        <w:numPr>
          <w:ilvl w:val="3"/>
          <w:numId w:val="0"/>
        </w:numPr>
        <w:ind w:left="420"/>
        <w:rPr>
          <w:color w:val="auto"/>
        </w:rPr>
      </w:pPr>
      <w:r>
        <w:rPr>
          <w:rFonts w:hint="eastAsia" w:ascii="Times New Roman" w:hAnsi="Times New Roman" w:cs="Times New Roman"/>
          <w:color w:val="auto"/>
          <w:kern w:val="2"/>
          <w:sz w:val="20"/>
          <w:szCs w:val="20"/>
          <w:lang w:val="en-US" w:eastAsia="zh-CN" w:bidi="ar-SA"/>
        </w:rPr>
        <w:t xml:space="preserve"> </w:t>
      </w:r>
      <w:r>
        <w:rPr>
          <w:rFonts w:hint="eastAsia"/>
          <w:color w:val="auto"/>
        </w:rPr>
        <w:t>检查数量：按进场批次，每批随机抽取3个试样进行检查；质量证明文件应按照其出厂检验批进行核查。</w:t>
      </w:r>
    </w:p>
    <w:p>
      <w:pPr>
        <w:pStyle w:val="24"/>
        <w:numPr>
          <w:ilvl w:val="3"/>
          <w:numId w:val="0"/>
        </w:numPr>
        <w:ind w:left="620" w:leftChars="200" w:hanging="200" w:hangingChars="100"/>
        <w:rPr>
          <w:rFonts w:hint="eastAsia"/>
          <w:color w:val="auto"/>
        </w:rPr>
      </w:pPr>
      <w:r>
        <w:rPr>
          <w:rFonts w:hint="eastAsia" w:ascii="Times New Roman" w:hAnsi="Times New Roman" w:cs="Times New Roman"/>
          <w:color w:val="auto"/>
          <w:kern w:val="2"/>
          <w:sz w:val="20"/>
          <w:szCs w:val="20"/>
          <w:lang w:val="en-US" w:eastAsia="zh-CN" w:bidi="ar-SA"/>
        </w:rPr>
        <w:t xml:space="preserve"> </w:t>
      </w:r>
      <w:r>
        <w:rPr>
          <w:rFonts w:hint="eastAsia"/>
          <w:color w:val="auto"/>
        </w:rPr>
        <w:t>检验方法：观察、尺量检查；核查产品合格证、出厂检验报告、</w:t>
      </w:r>
      <w:r>
        <w:rPr>
          <w:rFonts w:hint="eastAsia"/>
          <w:color w:val="auto"/>
          <w:lang w:val="en-US" w:eastAsia="zh-CN"/>
        </w:rPr>
        <w:t>性能检测报告、形式检验报告</w:t>
      </w:r>
      <w:r>
        <w:rPr>
          <w:rFonts w:hint="eastAsia"/>
          <w:color w:val="auto"/>
        </w:rPr>
        <w:t>等质量证明文件。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asciiTheme="minorHAnsi" w:hAnsiTheme="minorHAnsi" w:cstheme="minorBidi"/>
          <w:color w:val="auto"/>
          <w:kern w:val="2"/>
          <w:sz w:val="21"/>
          <w:szCs w:val="21"/>
          <w:highlight w:val="none"/>
          <w:lang w:val="en-US" w:eastAsia="zh-CN" w:bidi="ar-SA"/>
        </w:rPr>
      </w:pPr>
      <w:r>
        <w:rPr>
          <w:rFonts w:hint="eastAsia"/>
          <w:color w:val="auto"/>
          <w:lang w:val="en-US" w:eastAsia="zh-CN"/>
        </w:rPr>
        <w:t xml:space="preserve">7.4.2   </w:t>
      </w:r>
      <w:r>
        <w:rPr>
          <w:rFonts w:hint="eastAsia" w:eastAsia="宋体" w:asciiTheme="minorHAnsi" w:hAnsiTheme="minorHAnsi" w:cstheme="minorBidi"/>
          <w:color w:val="auto"/>
          <w:kern w:val="2"/>
          <w:sz w:val="21"/>
          <w:szCs w:val="21"/>
          <w:highlight w:val="none"/>
          <w:lang w:val="en-US" w:eastAsia="zh-CN" w:bidi="ar-SA"/>
        </w:rPr>
        <w:t>专用填缝剂进场时，应按国家现行标准的规定对其拉伸粘结强度、浸水后拉伸粘结强度抽样复验，耐碱玻璃纤维网格布进场后应应按国家现行标准的规定对其单位面积质量、断裂强力、耐碱强力断裂保留率抽样复验，复验结果应符合现行国家标准的规定并满足设计要求。</w:t>
      </w:r>
    </w:p>
    <w:p>
      <w:pPr>
        <w:pStyle w:val="24"/>
        <w:numPr>
          <w:ilvl w:val="3"/>
          <w:numId w:val="0"/>
        </w:numPr>
        <w:ind w:firstLine="630" w:firstLineChars="300"/>
        <w:rPr>
          <w:rFonts w:hint="eastAsia"/>
          <w:color w:val="auto"/>
        </w:rPr>
      </w:pPr>
      <w:r>
        <w:rPr>
          <w:rFonts w:hint="eastAsia"/>
          <w:color w:val="auto"/>
        </w:rPr>
        <w:t>检查数量：按进场批次</w:t>
      </w:r>
      <w:r>
        <w:rPr>
          <w:rFonts w:hint="eastAsia"/>
          <w:color w:val="auto"/>
          <w:lang w:val="en-US" w:eastAsia="zh-CN"/>
        </w:rPr>
        <w:t>抽取试样</w:t>
      </w:r>
      <w:r>
        <w:rPr>
          <w:rFonts w:hint="eastAsia"/>
          <w:color w:val="auto"/>
        </w:rPr>
        <w:t>检查</w:t>
      </w:r>
      <w:r>
        <w:rPr>
          <w:rFonts w:hint="eastAsia"/>
          <w:color w:val="auto"/>
          <w:lang w:eastAsia="zh-CN"/>
        </w:rPr>
        <w:t>，</w:t>
      </w:r>
      <w:r>
        <w:rPr>
          <w:rFonts w:hint="eastAsia"/>
          <w:color w:val="auto"/>
        </w:rPr>
        <w:t>每单位工程的同一厂家、同</w:t>
      </w:r>
    </w:p>
    <w:p>
      <w:pPr>
        <w:pStyle w:val="24"/>
        <w:numPr>
          <w:ilvl w:val="3"/>
          <w:numId w:val="0"/>
        </w:numPr>
        <w:ind w:firstLine="1680" w:firstLineChars="800"/>
        <w:rPr>
          <w:color w:val="auto"/>
        </w:rPr>
      </w:pPr>
      <w:r>
        <w:rPr>
          <w:rFonts w:hint="eastAsia"/>
          <w:color w:val="auto"/>
        </w:rPr>
        <w:t>一工艺生产的、同一类型的</w:t>
      </w:r>
      <w:r>
        <w:rPr>
          <w:rFonts w:hint="eastAsia"/>
          <w:color w:val="auto"/>
          <w:lang w:val="en-US" w:eastAsia="zh-CN"/>
        </w:rPr>
        <w:t>抽检一组</w:t>
      </w:r>
      <w:r>
        <w:rPr>
          <w:rFonts w:hint="eastAsia"/>
          <w:color w:val="auto"/>
        </w:rPr>
        <w:t>；</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default" w:asciiTheme="minorHAnsi" w:hAnsiTheme="minorHAnsi" w:eastAsiaTheme="minorEastAsia" w:cstheme="minorBidi"/>
          <w:color w:val="auto"/>
          <w:kern w:val="2"/>
          <w:sz w:val="21"/>
          <w:szCs w:val="21"/>
          <w:highlight w:val="none"/>
          <w:lang w:val="en-US" w:eastAsia="zh-CN" w:bidi="ar-SA"/>
        </w:rPr>
      </w:pPr>
      <w:r>
        <w:rPr>
          <w:rFonts w:hint="eastAsia"/>
          <w:color w:val="auto"/>
        </w:rPr>
        <w:t>检验方法：</w:t>
      </w:r>
      <w:r>
        <w:rPr>
          <w:rFonts w:hint="eastAsia"/>
          <w:color w:val="auto"/>
          <w:lang w:val="en-US" w:eastAsia="zh-CN"/>
        </w:rPr>
        <w:t>见证取样送样，检查复验报告。</w:t>
      </w:r>
    </w:p>
    <w:p>
      <w:pPr>
        <w:pStyle w:val="24"/>
        <w:numPr>
          <w:ilvl w:val="3"/>
          <w:numId w:val="0"/>
        </w:numPr>
        <w:ind w:left="420" w:firstLine="2100" w:firstLineChars="1000"/>
        <w:rPr>
          <w:rFonts w:hint="eastAsia"/>
          <w:b w:val="0"/>
          <w:bCs/>
          <w:color w:val="auto"/>
          <w:lang w:val="en-US" w:eastAsia="zh-CN"/>
        </w:rPr>
      </w:pPr>
      <w:r>
        <w:rPr>
          <w:rFonts w:hint="eastAsia"/>
          <w:color w:val="auto"/>
          <w:lang w:val="en-US" w:eastAsia="zh-CN"/>
        </w:rPr>
        <w:t xml:space="preserve"> </w:t>
      </w:r>
      <w:r>
        <w:rPr>
          <w:rFonts w:hint="eastAsia" w:ascii="宋体" w:hAnsi="宋体" w:eastAsia="宋体" w:cs="宋体"/>
          <w:b w:val="0"/>
          <w:bCs/>
          <w:color w:val="auto"/>
        </w:rPr>
        <w:t>Ⅱ</w:t>
      </w:r>
      <w:r>
        <w:rPr>
          <w:rFonts w:hint="eastAsia"/>
          <w:b w:val="0"/>
          <w:bCs/>
          <w:color w:val="auto"/>
          <w:lang w:val="en-US" w:eastAsia="zh-CN"/>
        </w:rPr>
        <w:t>一般项目</w:t>
      </w:r>
    </w:p>
    <w:p>
      <w:pPr>
        <w:rPr>
          <w:rFonts w:hint="eastAsia"/>
          <w:color w:val="auto"/>
          <w:lang w:val="en-US" w:eastAsia="zh-CN"/>
        </w:rPr>
      </w:pPr>
      <w:r>
        <w:rPr>
          <w:rFonts w:hint="eastAsia"/>
          <w:color w:val="auto"/>
          <w:lang w:val="en-US" w:eastAsia="zh-CN"/>
        </w:rPr>
        <w:t>7.4.2   各类辅材尺寸偏差、外观质量应符合设计要求和产品标准。</w:t>
      </w:r>
    </w:p>
    <w:p>
      <w:pPr>
        <w:pStyle w:val="24"/>
        <w:numPr>
          <w:ilvl w:val="3"/>
          <w:numId w:val="0"/>
        </w:numPr>
        <w:ind w:firstLine="630" w:firstLineChars="300"/>
        <w:rPr>
          <w:rFonts w:hint="default" w:eastAsia="宋体"/>
          <w:color w:val="auto"/>
          <w:lang w:val="en-US" w:eastAsia="zh-CN"/>
        </w:rPr>
      </w:pPr>
      <w:r>
        <w:rPr>
          <w:rFonts w:hint="eastAsia"/>
          <w:color w:val="auto"/>
        </w:rPr>
        <w:t>检查数量：</w:t>
      </w:r>
      <w:r>
        <w:rPr>
          <w:rFonts w:hint="eastAsia"/>
          <w:color w:val="auto"/>
          <w:lang w:val="en-US" w:eastAsia="zh-CN"/>
        </w:rPr>
        <w:t>同一批次抽检10%；</w:t>
      </w:r>
    </w:p>
    <w:p>
      <w:pPr>
        <w:keepNext w:val="0"/>
        <w:keepLines w:val="0"/>
        <w:pageBreakBefore w:val="0"/>
        <w:widowControl w:val="0"/>
        <w:kinsoku/>
        <w:wordWrap/>
        <w:overflowPunct/>
        <w:topLinePunct w:val="0"/>
        <w:autoSpaceDE/>
        <w:autoSpaceDN/>
        <w:bidi w:val="0"/>
        <w:adjustRightInd/>
        <w:snapToGrid/>
        <w:spacing w:line="360" w:lineRule="auto"/>
        <w:ind w:firstLine="630" w:firstLineChars="300"/>
        <w:textAlignment w:val="auto"/>
        <w:rPr>
          <w:rFonts w:hint="default"/>
          <w:color w:val="auto"/>
          <w:lang w:val="en-US" w:eastAsia="zh-CN"/>
        </w:rPr>
      </w:pPr>
      <w:r>
        <w:rPr>
          <w:rFonts w:hint="eastAsia"/>
          <w:color w:val="auto"/>
        </w:rPr>
        <w:t>检验方法：</w:t>
      </w:r>
      <w:r>
        <w:rPr>
          <w:rFonts w:hint="eastAsia"/>
          <w:color w:val="auto"/>
          <w:lang w:val="en-US" w:eastAsia="zh-CN"/>
        </w:rPr>
        <w:t>观察，尺量检查。</w:t>
      </w:r>
    </w:p>
    <w:p>
      <w:pPr>
        <w:rPr>
          <w:rFonts w:hint="default"/>
          <w:color w:val="auto"/>
          <w:lang w:val="en-US" w:eastAsia="zh-CN"/>
        </w:rPr>
      </w:pPr>
    </w:p>
    <w:p>
      <w:pPr>
        <w:pStyle w:val="22"/>
        <w:numPr>
          <w:ilvl w:val="1"/>
          <w:numId w:val="0"/>
        </w:numPr>
        <w:bidi w:val="0"/>
        <w:ind w:left="425" w:leftChars="0"/>
        <w:rPr>
          <w:color w:val="auto"/>
        </w:rPr>
      </w:pPr>
      <w:bookmarkStart w:id="41" w:name="_Toc2546"/>
      <w:r>
        <w:rPr>
          <w:rFonts w:hint="eastAsia"/>
          <w:color w:val="auto"/>
          <w:lang w:val="en-US" w:eastAsia="zh-CN"/>
        </w:rPr>
        <w:t>7.5</w:t>
      </w:r>
      <w:r>
        <w:rPr>
          <w:rFonts w:hint="eastAsia"/>
          <w:color w:val="auto"/>
        </w:rPr>
        <w:t>资料核验</w:t>
      </w:r>
      <w:bookmarkEnd w:id="41"/>
    </w:p>
    <w:p>
      <w:pPr>
        <w:pStyle w:val="24"/>
        <w:numPr>
          <w:ilvl w:val="3"/>
          <w:numId w:val="0"/>
        </w:numPr>
        <w:bidi w:val="0"/>
        <w:ind w:leftChars="0"/>
        <w:rPr>
          <w:color w:val="auto"/>
        </w:rPr>
      </w:pPr>
      <w:r>
        <w:rPr>
          <w:rFonts w:hint="eastAsia"/>
          <w:color w:val="auto"/>
          <w:lang w:val="en-US" w:eastAsia="zh-CN"/>
        </w:rPr>
        <w:t xml:space="preserve">7.5.1    </w:t>
      </w:r>
      <w:r>
        <w:rPr>
          <w:rFonts w:hint="eastAsia"/>
          <w:color w:val="auto"/>
          <w:lang w:eastAsia="zh-CN"/>
        </w:rPr>
        <w:t>GRG装饰工程</w:t>
      </w:r>
      <w:r>
        <w:rPr>
          <w:rFonts w:hint="eastAsia"/>
          <w:color w:val="auto"/>
        </w:rPr>
        <w:t>验收资料应在安装施工前、安装施工中、安装施工后分阶段检查，并在专项验收时汇总核查。</w:t>
      </w:r>
    </w:p>
    <w:p>
      <w:pPr>
        <w:pStyle w:val="24"/>
        <w:numPr>
          <w:ilvl w:val="3"/>
          <w:numId w:val="0"/>
        </w:numPr>
        <w:bidi w:val="0"/>
        <w:ind w:leftChars="0"/>
        <w:rPr>
          <w:color w:val="auto"/>
        </w:rPr>
      </w:pPr>
      <w:r>
        <w:rPr>
          <w:rFonts w:hint="eastAsia"/>
          <w:color w:val="auto"/>
          <w:lang w:val="en-US" w:eastAsia="zh-CN"/>
        </w:rPr>
        <w:t xml:space="preserve">7.5.2    </w:t>
      </w:r>
      <w:r>
        <w:rPr>
          <w:rFonts w:hint="eastAsia"/>
          <w:color w:val="auto"/>
          <w:lang w:eastAsia="zh-CN"/>
        </w:rPr>
        <w:t>GRG装饰工程</w:t>
      </w:r>
      <w:r>
        <w:rPr>
          <w:rFonts w:hint="eastAsia"/>
          <w:color w:val="auto"/>
        </w:rPr>
        <w:t>验收资料应包括</w:t>
      </w:r>
      <w:r>
        <w:rPr>
          <w:rFonts w:hint="eastAsia"/>
          <w:color w:val="auto"/>
          <w:lang w:val="en-US" w:eastAsia="zh-CN"/>
        </w:rPr>
        <w:t>下列</w:t>
      </w:r>
      <w:r>
        <w:rPr>
          <w:rFonts w:hint="eastAsia"/>
          <w:color w:val="auto"/>
        </w:rPr>
        <w:t>资料：</w:t>
      </w:r>
    </w:p>
    <w:p>
      <w:pPr>
        <w:pStyle w:val="24"/>
        <w:numPr>
          <w:ilvl w:val="3"/>
          <w:numId w:val="0"/>
        </w:numPr>
        <w:ind w:left="420"/>
        <w:rPr>
          <w:color w:val="auto"/>
        </w:rPr>
      </w:pPr>
      <w:r>
        <w:rPr>
          <w:rFonts w:hint="eastAsia"/>
          <w:color w:val="auto"/>
        </w:rPr>
        <w:t xml:space="preserve">1  </w:t>
      </w:r>
      <w:r>
        <w:rPr>
          <w:rFonts w:hint="eastAsia"/>
          <w:color w:val="auto"/>
          <w:lang w:eastAsia="zh-CN"/>
        </w:rPr>
        <w:t>GRG装饰工程</w:t>
      </w:r>
      <w:r>
        <w:rPr>
          <w:rFonts w:hint="eastAsia"/>
          <w:color w:val="auto"/>
        </w:rPr>
        <w:t>的施工图、设计变更文件及其他设计文件。G</w:t>
      </w:r>
      <w:r>
        <w:rPr>
          <w:rFonts w:hint="eastAsia"/>
          <w:color w:val="auto"/>
          <w:lang w:val="en-US" w:eastAsia="zh-CN"/>
        </w:rPr>
        <w:t>RG</w:t>
      </w:r>
      <w:r>
        <w:rPr>
          <w:rFonts w:hint="eastAsia"/>
          <w:color w:val="auto"/>
        </w:rPr>
        <w:t>制品工程单独设计时，应提供原设计单位对</w:t>
      </w:r>
      <w:r>
        <w:rPr>
          <w:rFonts w:hint="eastAsia"/>
          <w:color w:val="auto"/>
          <w:lang w:eastAsia="zh-CN"/>
        </w:rPr>
        <w:t>GRG装饰工程</w:t>
      </w:r>
      <w:r>
        <w:rPr>
          <w:rFonts w:hint="eastAsia"/>
          <w:color w:val="auto"/>
        </w:rPr>
        <w:t xml:space="preserve">设计的确认文件； </w:t>
      </w:r>
    </w:p>
    <w:p>
      <w:pPr>
        <w:pStyle w:val="24"/>
        <w:numPr>
          <w:ilvl w:val="3"/>
          <w:numId w:val="0"/>
        </w:numPr>
        <w:ind w:firstLine="420" w:firstLineChars="200"/>
        <w:rPr>
          <w:color w:val="auto"/>
        </w:rPr>
      </w:pPr>
      <w:r>
        <w:rPr>
          <w:rFonts w:hint="eastAsia"/>
          <w:color w:val="auto"/>
        </w:rPr>
        <w:t>2  专项施工方案；</w:t>
      </w:r>
    </w:p>
    <w:p>
      <w:pPr>
        <w:pStyle w:val="24"/>
        <w:numPr>
          <w:ilvl w:val="3"/>
          <w:numId w:val="0"/>
        </w:numPr>
        <w:ind w:left="630" w:leftChars="200" w:hanging="210" w:hangingChars="100"/>
        <w:rPr>
          <w:color w:val="auto"/>
        </w:rPr>
      </w:pPr>
      <w:r>
        <w:rPr>
          <w:rFonts w:hint="eastAsia"/>
          <w:color w:val="auto"/>
        </w:rPr>
        <w:t>3  所用构配件的产品合格证书、性能检测报告、进场验收记录和复</w:t>
      </w:r>
      <w:r>
        <w:rPr>
          <w:rFonts w:hint="eastAsia"/>
          <w:color w:val="auto"/>
          <w:lang w:val="en-US" w:eastAsia="zh-CN"/>
        </w:rPr>
        <w:t>试</w:t>
      </w:r>
      <w:r>
        <w:rPr>
          <w:rFonts w:hint="eastAsia"/>
          <w:color w:val="auto"/>
        </w:rPr>
        <w:t>报告；</w:t>
      </w:r>
    </w:p>
    <w:p>
      <w:pPr>
        <w:pStyle w:val="24"/>
        <w:numPr>
          <w:ilvl w:val="3"/>
          <w:numId w:val="0"/>
        </w:numPr>
        <w:ind w:firstLine="420" w:firstLineChars="200"/>
        <w:rPr>
          <w:color w:val="auto"/>
        </w:rPr>
      </w:pPr>
      <w:r>
        <w:rPr>
          <w:rFonts w:hint="eastAsia"/>
          <w:color w:val="auto"/>
        </w:rPr>
        <w:t>4  隐蔽工程验收文件；</w:t>
      </w:r>
    </w:p>
    <w:p>
      <w:pPr>
        <w:pStyle w:val="24"/>
        <w:numPr>
          <w:ilvl w:val="3"/>
          <w:numId w:val="0"/>
        </w:numPr>
        <w:ind w:left="420"/>
        <w:rPr>
          <w:color w:val="auto"/>
        </w:rPr>
      </w:pPr>
      <w:r>
        <w:rPr>
          <w:rFonts w:hint="eastAsia"/>
          <w:color w:val="auto"/>
        </w:rPr>
        <w:t>5  检验、工程质量验收记录；</w:t>
      </w:r>
    </w:p>
    <w:p>
      <w:pPr>
        <w:pStyle w:val="24"/>
        <w:numPr>
          <w:ilvl w:val="3"/>
          <w:numId w:val="0"/>
        </w:numPr>
        <w:ind w:left="420"/>
        <w:rPr>
          <w:rFonts w:hint="eastAsia"/>
          <w:color w:val="auto"/>
        </w:rPr>
      </w:pPr>
      <w:r>
        <w:rPr>
          <w:rFonts w:hint="eastAsia"/>
          <w:color w:val="auto"/>
        </w:rPr>
        <w:t>6  其它重要的施工记录和质量控制资料。</w:t>
      </w:r>
    </w:p>
    <w:p>
      <w:pPr>
        <w:pStyle w:val="24"/>
        <w:numPr>
          <w:ilvl w:val="3"/>
          <w:numId w:val="0"/>
        </w:numPr>
        <w:rPr>
          <w:rFonts w:hint="eastAsia"/>
          <w:color w:val="auto"/>
          <w:lang w:val="en-US" w:eastAsia="zh-CN"/>
        </w:rPr>
      </w:pPr>
      <w:r>
        <w:rPr>
          <w:rFonts w:hint="eastAsia"/>
          <w:color w:val="auto"/>
          <w:lang w:val="en-US" w:eastAsia="zh-CN"/>
        </w:rPr>
        <w:t>附表1：钢骨架制作安装分项工程检验批质量验收记录</w:t>
      </w:r>
    </w:p>
    <w:p>
      <w:pPr>
        <w:pStyle w:val="24"/>
        <w:numPr>
          <w:ilvl w:val="3"/>
          <w:numId w:val="0"/>
        </w:numPr>
        <w:rPr>
          <w:rFonts w:hint="eastAsia"/>
          <w:color w:val="auto"/>
          <w:lang w:val="en-US" w:eastAsia="zh-CN"/>
        </w:rPr>
      </w:pPr>
      <w:r>
        <w:rPr>
          <w:rFonts w:hint="eastAsia"/>
          <w:color w:val="auto"/>
          <w:lang w:val="en-US" w:eastAsia="zh-CN"/>
        </w:rPr>
        <w:t>附表2：GRG制作安装分项工程检验批质量验收记录</w:t>
      </w:r>
    </w:p>
    <w:p>
      <w:pPr>
        <w:pStyle w:val="24"/>
        <w:numPr>
          <w:ilvl w:val="3"/>
          <w:numId w:val="0"/>
        </w:numPr>
        <w:rPr>
          <w:color w:val="auto"/>
        </w:rPr>
      </w:pPr>
      <w:r>
        <w:rPr>
          <w:rFonts w:hint="eastAsia"/>
          <w:color w:val="auto"/>
          <w:lang w:val="en-US" w:eastAsia="zh-CN"/>
        </w:rPr>
        <w:t>附表3：辅材分项工程检验批质量验收记录</w:t>
      </w:r>
      <w:r>
        <w:rPr>
          <w:color w:val="auto"/>
        </w:rPr>
        <w:br w:type="page"/>
      </w:r>
    </w:p>
    <w:p>
      <w:pPr>
        <w:pStyle w:val="21"/>
        <w:bidi w:val="0"/>
        <w:rPr>
          <w:color w:val="auto"/>
        </w:rPr>
      </w:pPr>
      <w:bookmarkStart w:id="42" w:name="_Toc3876"/>
      <w:bookmarkStart w:id="43" w:name="_Toc67384449"/>
      <w:r>
        <w:rPr>
          <w:rFonts w:hint="eastAsia"/>
          <w:color w:val="auto"/>
        </w:rPr>
        <w:t>安全与环保</w:t>
      </w:r>
      <w:bookmarkEnd w:id="42"/>
      <w:bookmarkEnd w:id="43"/>
    </w:p>
    <w:p>
      <w:pPr>
        <w:pStyle w:val="22"/>
        <w:bidi w:val="0"/>
        <w:rPr>
          <w:rFonts w:hint="eastAsia"/>
          <w:color w:val="auto"/>
        </w:rPr>
      </w:pPr>
      <w:bookmarkStart w:id="44" w:name="_Toc67384450"/>
      <w:bookmarkStart w:id="45" w:name="_Toc4349"/>
      <w:r>
        <w:rPr>
          <w:rFonts w:hint="eastAsia"/>
          <w:color w:val="auto"/>
        </w:rPr>
        <w:t>安全措施</w:t>
      </w:r>
      <w:bookmarkEnd w:id="44"/>
      <w:bookmarkEnd w:id="45"/>
    </w:p>
    <w:p>
      <w:pPr>
        <w:pStyle w:val="24"/>
        <w:bidi w:val="0"/>
        <w:rPr>
          <w:color w:val="auto"/>
        </w:rPr>
      </w:pPr>
      <w:r>
        <w:rPr>
          <w:rFonts w:hint="eastAsia"/>
          <w:color w:val="auto"/>
        </w:rPr>
        <w:t>严格执行有关安全生产制度和安全技术操作规程，认真做好安全技术交底，对关键部位要经常性的安全检查，及时排除不安全的因素，确保安全施工。</w:t>
      </w:r>
    </w:p>
    <w:p>
      <w:pPr>
        <w:pStyle w:val="24"/>
        <w:bidi w:val="0"/>
        <w:rPr>
          <w:color w:val="auto"/>
        </w:rPr>
      </w:pPr>
      <w:r>
        <w:rPr>
          <w:rFonts w:hint="eastAsia"/>
          <w:color w:val="auto"/>
        </w:rPr>
        <w:t>进行</w:t>
      </w:r>
      <w:r>
        <w:rPr>
          <w:rFonts w:hint="eastAsia"/>
          <w:color w:val="auto"/>
          <w:lang w:val="en-US" w:eastAsia="zh-CN"/>
        </w:rPr>
        <w:t>钢骨架安装</w:t>
      </w:r>
      <w:r>
        <w:rPr>
          <w:rFonts w:hint="eastAsia"/>
          <w:color w:val="auto"/>
        </w:rPr>
        <w:t>和</w:t>
      </w:r>
      <w:r>
        <w:rPr>
          <w:rFonts w:hint="eastAsia"/>
          <w:color w:val="auto"/>
          <w:lang w:val="en-US" w:eastAsia="zh-CN"/>
        </w:rPr>
        <w:t>GRG安装</w:t>
      </w:r>
      <w:r>
        <w:rPr>
          <w:rFonts w:hint="eastAsia"/>
          <w:color w:val="auto"/>
        </w:rPr>
        <w:t>的高空作业人员应取得高空作业资格。</w:t>
      </w:r>
    </w:p>
    <w:p>
      <w:pPr>
        <w:pStyle w:val="24"/>
        <w:bidi w:val="0"/>
        <w:rPr>
          <w:color w:val="auto"/>
        </w:rPr>
      </w:pPr>
      <w:r>
        <w:rPr>
          <w:rFonts w:hint="eastAsia"/>
          <w:color w:val="auto"/>
        </w:rPr>
        <w:t>施工人员进入现场施工作业必须按规定穿戴好劳防用品。</w:t>
      </w:r>
    </w:p>
    <w:p>
      <w:pPr>
        <w:pStyle w:val="24"/>
        <w:bidi w:val="0"/>
        <w:rPr>
          <w:color w:val="auto"/>
        </w:rPr>
      </w:pPr>
      <w:r>
        <w:rPr>
          <w:rFonts w:hint="eastAsia"/>
          <w:color w:val="auto"/>
        </w:rPr>
        <w:t>特殊工种必须持证上岗，在施工岗位上实行工作安全责任制。</w:t>
      </w:r>
    </w:p>
    <w:p>
      <w:pPr>
        <w:pStyle w:val="24"/>
        <w:bidi w:val="0"/>
        <w:rPr>
          <w:color w:val="auto"/>
        </w:rPr>
      </w:pPr>
      <w:r>
        <w:rPr>
          <w:rFonts w:hint="eastAsia"/>
          <w:color w:val="auto"/>
        </w:rPr>
        <w:t>施工现场应设置安全消防设施及安全疏散设施，并应定期进行防火巡查。</w:t>
      </w:r>
    </w:p>
    <w:p>
      <w:pPr>
        <w:pStyle w:val="24"/>
        <w:bidi w:val="0"/>
        <w:rPr>
          <w:color w:val="auto"/>
        </w:rPr>
      </w:pPr>
      <w:r>
        <w:rPr>
          <w:rFonts w:hint="eastAsia"/>
          <w:color w:val="auto"/>
        </w:rPr>
        <w:t>气体切割和高空焊接作业时，应清除作业区危险易燃物，并应采取防火措施。</w:t>
      </w:r>
    </w:p>
    <w:p>
      <w:pPr>
        <w:pStyle w:val="24"/>
        <w:bidi w:val="0"/>
        <w:rPr>
          <w:color w:val="auto"/>
        </w:rPr>
      </w:pPr>
      <w:r>
        <w:rPr>
          <w:rFonts w:hint="eastAsia"/>
          <w:color w:val="auto"/>
        </w:rPr>
        <w:t>安装</w:t>
      </w:r>
      <w:r>
        <w:rPr>
          <w:rFonts w:hint="eastAsia"/>
          <w:color w:val="auto"/>
          <w:lang w:val="en-US" w:eastAsia="zh-CN"/>
        </w:rPr>
        <w:t>钢骨架和</w:t>
      </w:r>
      <w:r>
        <w:rPr>
          <w:rFonts w:hint="eastAsia"/>
          <w:color w:val="auto"/>
        </w:rPr>
        <w:t>GRG时，</w:t>
      </w:r>
      <w:r>
        <w:rPr>
          <w:rFonts w:hint="eastAsia"/>
          <w:color w:val="auto"/>
          <w:lang w:val="en-US" w:eastAsia="zh-CN"/>
        </w:rPr>
        <w:t>应设置安全警戒区域</w:t>
      </w:r>
      <w:r>
        <w:rPr>
          <w:rFonts w:hint="eastAsia"/>
          <w:color w:val="auto"/>
        </w:rPr>
        <w:t>。</w:t>
      </w:r>
    </w:p>
    <w:p>
      <w:pPr>
        <w:pStyle w:val="24"/>
        <w:bidi w:val="0"/>
        <w:rPr>
          <w:color w:val="auto"/>
        </w:rPr>
      </w:pPr>
      <w:r>
        <w:rPr>
          <w:rFonts w:hint="eastAsia"/>
          <w:color w:val="auto"/>
        </w:rPr>
        <w:t>施工机具检查评定应符合现行行业标准《建筑机械使用安全技术规程》JGJ 33和《施工现场机械设备检查技术规程》JGJ 160的</w:t>
      </w:r>
      <w:r>
        <w:rPr>
          <w:rFonts w:hint="eastAsia"/>
          <w:color w:val="auto"/>
          <w:lang w:val="en-US" w:eastAsia="zh-CN"/>
        </w:rPr>
        <w:t>有关</w:t>
      </w:r>
      <w:r>
        <w:rPr>
          <w:rFonts w:hint="eastAsia"/>
          <w:color w:val="auto"/>
        </w:rPr>
        <w:t>规定。</w:t>
      </w:r>
    </w:p>
    <w:p>
      <w:pPr>
        <w:pStyle w:val="24"/>
        <w:bidi w:val="0"/>
        <w:rPr>
          <w:color w:val="auto"/>
        </w:rPr>
      </w:pPr>
      <w:r>
        <w:rPr>
          <w:rFonts w:hint="eastAsia"/>
          <w:color w:val="auto"/>
        </w:rPr>
        <w:t>施工用电</w:t>
      </w:r>
      <w:r>
        <w:rPr>
          <w:rFonts w:hint="eastAsia"/>
          <w:color w:val="auto"/>
          <w:lang w:val="en-US" w:eastAsia="zh-CN"/>
        </w:rPr>
        <w:t>应符合现行行业标准《施工现场临时用电安全技术规范》</w:t>
      </w:r>
      <w:r>
        <w:rPr>
          <w:rFonts w:hint="eastAsia"/>
          <w:color w:val="auto"/>
        </w:rPr>
        <w:t>JGJ </w:t>
      </w:r>
      <w:r>
        <w:rPr>
          <w:rFonts w:hint="eastAsia"/>
          <w:color w:val="auto"/>
          <w:lang w:val="en-US" w:eastAsia="zh-CN"/>
        </w:rPr>
        <w:t>46</w:t>
      </w:r>
      <w:r>
        <w:rPr>
          <w:rFonts w:hint="eastAsia"/>
          <w:color w:val="auto"/>
        </w:rPr>
        <w:t>的有关规定。</w:t>
      </w:r>
    </w:p>
    <w:p>
      <w:pPr>
        <w:pStyle w:val="24"/>
        <w:bidi w:val="0"/>
        <w:rPr>
          <w:color w:val="auto"/>
        </w:rPr>
      </w:pPr>
      <w:r>
        <w:rPr>
          <w:rFonts w:hint="eastAsia"/>
          <w:color w:val="auto"/>
          <w:lang w:val="en-US" w:eastAsia="zh-CN"/>
        </w:rPr>
        <w:t>操作平台的架体结构应采用钢管、型钢及其他等效性能材料组装，并应符合国家现行有关脚手架标准的规定。平台面铺设的钢、木或竹胶合板等材质的脚手板，应符合材质和承载力要求，并应平整满铺及可靠固定</w:t>
      </w:r>
      <w:r>
        <w:rPr>
          <w:rFonts w:hint="eastAsia"/>
          <w:color w:val="auto"/>
        </w:rPr>
        <w:t>。</w:t>
      </w:r>
    </w:p>
    <w:p>
      <w:pPr>
        <w:pStyle w:val="22"/>
        <w:bidi w:val="0"/>
        <w:rPr>
          <w:color w:val="auto"/>
        </w:rPr>
      </w:pPr>
      <w:bookmarkStart w:id="46" w:name="_Toc67384451"/>
      <w:bookmarkStart w:id="47" w:name="_Toc26644"/>
      <w:r>
        <w:rPr>
          <w:rFonts w:hint="eastAsia"/>
          <w:color w:val="auto"/>
        </w:rPr>
        <w:t>环保措施</w:t>
      </w:r>
      <w:bookmarkEnd w:id="46"/>
      <w:bookmarkEnd w:id="47"/>
    </w:p>
    <w:p>
      <w:pPr>
        <w:pStyle w:val="24"/>
        <w:bidi w:val="0"/>
        <w:rPr>
          <w:color w:val="auto"/>
        </w:rPr>
      </w:pPr>
      <w:r>
        <w:rPr>
          <w:rFonts w:hint="eastAsia"/>
          <w:color w:val="auto"/>
        </w:rPr>
        <w:t>高空焊接作业及GRG安装过程中，应在作业下方放置多层密目网，</w:t>
      </w:r>
      <w:r>
        <w:rPr>
          <w:rFonts w:hint="eastAsia"/>
          <w:color w:val="auto"/>
          <w:lang w:val="en-US" w:eastAsia="zh-CN"/>
        </w:rPr>
        <w:t>防止</w:t>
      </w:r>
      <w:r>
        <w:rPr>
          <w:rFonts w:hint="eastAsia"/>
          <w:color w:val="auto"/>
        </w:rPr>
        <w:t>焊渣及碎料脱落。</w:t>
      </w:r>
    </w:p>
    <w:p>
      <w:pPr>
        <w:pStyle w:val="24"/>
        <w:bidi w:val="0"/>
        <w:rPr>
          <w:color w:val="auto"/>
        </w:rPr>
      </w:pPr>
      <w:r>
        <w:rPr>
          <w:rFonts w:hint="eastAsia"/>
          <w:color w:val="auto"/>
        </w:rPr>
        <w:t>施工完成后，做到工完料净，及时清除垃圾，清扫时应洒水湿润，避免杨尘。</w:t>
      </w:r>
    </w:p>
    <w:p>
      <w:pPr>
        <w:pStyle w:val="24"/>
        <w:bidi w:val="0"/>
        <w:rPr>
          <w:color w:val="auto"/>
        </w:rPr>
      </w:pPr>
      <w:r>
        <w:rPr>
          <w:rFonts w:hint="eastAsia"/>
          <w:color w:val="auto"/>
        </w:rPr>
        <w:t>做好环境管理教育工作，教育面达到100%并签名，组织并实施环境管理交底工作，做好</w:t>
      </w:r>
      <w:r>
        <w:rPr>
          <w:rFonts w:hint="eastAsia"/>
          <w:color w:val="auto"/>
          <w:lang w:val="en-US" w:eastAsia="zh-CN"/>
        </w:rPr>
        <w:t>交底</w:t>
      </w:r>
      <w:r>
        <w:rPr>
          <w:rFonts w:hint="eastAsia"/>
          <w:color w:val="auto"/>
        </w:rPr>
        <w:t>记录。</w:t>
      </w:r>
    </w:p>
    <w:p>
      <w:pPr>
        <w:pStyle w:val="24"/>
        <w:bidi w:val="0"/>
        <w:rPr>
          <w:color w:val="auto"/>
        </w:rPr>
      </w:pPr>
      <w:r>
        <w:rPr>
          <w:rFonts w:hint="eastAsia"/>
          <w:color w:val="auto"/>
        </w:rPr>
        <w:t>使用噪声大的机具时，应采取封闭围挡，防止噪声污染、扰民。</w:t>
      </w:r>
    </w:p>
    <w:p>
      <w:pPr>
        <w:pStyle w:val="24"/>
        <w:bidi w:val="0"/>
        <w:rPr>
          <w:color w:val="auto"/>
        </w:rPr>
      </w:pPr>
      <w:r>
        <w:rPr>
          <w:color w:val="auto"/>
        </w:rPr>
        <w:t>现场油漆涂装和防火涂料施工时，应采取防污染措施。</w:t>
      </w:r>
    </w:p>
    <w:p>
      <w:pPr>
        <w:pStyle w:val="24"/>
        <w:bidi w:val="0"/>
        <w:rPr>
          <w:color w:val="auto"/>
        </w:rPr>
      </w:pPr>
      <w:r>
        <w:rPr>
          <w:rFonts w:hint="eastAsia"/>
          <w:color w:val="auto"/>
        </w:rPr>
        <w:t>现场剩下的废料和余料应妥善分类收集，并应统一处理和回收利用，不得随意搁置、堆放。</w:t>
      </w:r>
    </w:p>
    <w:p>
      <w:pPr>
        <w:widowControl/>
        <w:jc w:val="left"/>
        <w:rPr>
          <w:color w:val="auto"/>
        </w:rPr>
      </w:pPr>
      <w:r>
        <w:rPr>
          <w:color w:val="auto"/>
        </w:rPr>
        <w:br w:type="page"/>
      </w:r>
    </w:p>
    <w:p>
      <w:pPr>
        <w:widowControl/>
        <w:ind w:firstLine="420"/>
        <w:jc w:val="left"/>
        <w:rPr>
          <w:color w:val="auto"/>
        </w:rPr>
      </w:pPr>
    </w:p>
    <w:p>
      <w:pPr>
        <w:pStyle w:val="21"/>
        <w:numPr>
          <w:ilvl w:val="0"/>
          <w:numId w:val="0"/>
        </w:numPr>
        <w:rPr>
          <w:color w:val="auto"/>
        </w:rPr>
      </w:pPr>
      <w:bookmarkStart w:id="48" w:name="_Toc23066"/>
      <w:bookmarkStart w:id="49" w:name="_Toc67384455"/>
      <w:r>
        <w:rPr>
          <w:rFonts w:hint="eastAsia"/>
          <w:color w:val="auto"/>
        </w:rPr>
        <w:t>本标准用词说明</w:t>
      </w:r>
      <w:bookmarkEnd w:id="48"/>
      <w:bookmarkEnd w:id="49"/>
    </w:p>
    <w:p>
      <w:pPr>
        <w:widowControl/>
        <w:ind w:firstLine="420"/>
        <w:jc w:val="left"/>
        <w:rPr>
          <w:color w:val="auto"/>
        </w:rPr>
      </w:pPr>
    </w:p>
    <w:p>
      <w:pPr>
        <w:spacing w:line="360" w:lineRule="auto"/>
        <w:ind w:firstLine="420"/>
        <w:rPr>
          <w:color w:val="auto"/>
        </w:rPr>
      </w:pPr>
      <w:r>
        <w:rPr>
          <w:rFonts w:hint="eastAsia"/>
          <w:color w:val="auto"/>
        </w:rPr>
        <w:t>1为便于在执行本标准条文时区别对待，对要求严格程度不同的用词说明如下：</w:t>
      </w:r>
    </w:p>
    <w:p>
      <w:pPr>
        <w:spacing w:line="360" w:lineRule="auto"/>
        <w:ind w:firstLine="420"/>
        <w:rPr>
          <w:color w:val="auto"/>
        </w:rPr>
      </w:pPr>
      <w:r>
        <w:rPr>
          <w:rFonts w:hint="eastAsia"/>
          <w:color w:val="auto"/>
        </w:rPr>
        <w:t>表示很严格，非这样做不可的：</w:t>
      </w:r>
    </w:p>
    <w:p>
      <w:pPr>
        <w:spacing w:line="360" w:lineRule="auto"/>
        <w:ind w:firstLine="420"/>
        <w:rPr>
          <w:color w:val="auto"/>
        </w:rPr>
      </w:pPr>
      <w:r>
        <w:rPr>
          <w:rFonts w:hint="eastAsia"/>
          <w:color w:val="auto"/>
        </w:rPr>
        <w:t xml:space="preserve">       正面词采用“必须”，反面词采用“严禁”；</w:t>
      </w:r>
    </w:p>
    <w:p>
      <w:pPr>
        <w:spacing w:line="360" w:lineRule="auto"/>
        <w:ind w:firstLine="420"/>
        <w:rPr>
          <w:color w:val="auto"/>
        </w:rPr>
      </w:pPr>
      <w:r>
        <w:rPr>
          <w:rFonts w:hint="eastAsia"/>
          <w:color w:val="auto"/>
        </w:rPr>
        <w:t>表示严格，在正常情况下均应这样做的：</w:t>
      </w:r>
    </w:p>
    <w:p>
      <w:pPr>
        <w:spacing w:line="360" w:lineRule="auto"/>
        <w:ind w:firstLine="420"/>
        <w:rPr>
          <w:color w:val="auto"/>
        </w:rPr>
      </w:pPr>
      <w:r>
        <w:rPr>
          <w:rFonts w:hint="eastAsia"/>
          <w:color w:val="auto"/>
        </w:rPr>
        <w:t xml:space="preserve">       正面词采用“应”，反面词采用“不应”或“不得”；</w:t>
      </w:r>
    </w:p>
    <w:p>
      <w:pPr>
        <w:spacing w:line="360" w:lineRule="auto"/>
        <w:ind w:firstLine="420"/>
        <w:rPr>
          <w:color w:val="auto"/>
        </w:rPr>
      </w:pPr>
      <w:r>
        <w:rPr>
          <w:rFonts w:hint="eastAsia"/>
          <w:color w:val="auto"/>
        </w:rPr>
        <w:t>表示允许稍有选择，在条件许可时首先应这样做的：</w:t>
      </w:r>
    </w:p>
    <w:p>
      <w:pPr>
        <w:spacing w:line="360" w:lineRule="auto"/>
        <w:ind w:firstLine="420"/>
        <w:rPr>
          <w:color w:val="auto"/>
        </w:rPr>
      </w:pPr>
      <w:r>
        <w:rPr>
          <w:rFonts w:hint="eastAsia"/>
          <w:color w:val="auto"/>
        </w:rPr>
        <w:t xml:space="preserve">       正面词采用“宜”，反面词采用“不宜”；</w:t>
      </w:r>
    </w:p>
    <w:p>
      <w:pPr>
        <w:spacing w:line="360" w:lineRule="auto"/>
        <w:ind w:firstLine="420"/>
        <w:rPr>
          <w:color w:val="auto"/>
        </w:rPr>
      </w:pPr>
      <w:r>
        <w:rPr>
          <w:rFonts w:hint="eastAsia"/>
          <w:color w:val="auto"/>
        </w:rPr>
        <w:t>表示有选择，在一定条件下可以这样做的，采用“可”。</w:t>
      </w:r>
    </w:p>
    <w:p>
      <w:pPr>
        <w:spacing w:line="360" w:lineRule="auto"/>
        <w:ind w:firstLine="420"/>
        <w:rPr>
          <w:color w:val="auto"/>
        </w:rPr>
      </w:pPr>
      <w:r>
        <w:rPr>
          <w:rFonts w:hint="eastAsia"/>
          <w:color w:val="auto"/>
        </w:rPr>
        <w:t>2条文中指明应按其他有关标准执行的写法为：“应符合……的规定”或“应按……执行”。</w:t>
      </w:r>
    </w:p>
    <w:p>
      <w:pPr>
        <w:widowControl/>
        <w:ind w:firstLine="420"/>
        <w:jc w:val="left"/>
        <w:rPr>
          <w:color w:val="auto"/>
        </w:rPr>
      </w:pPr>
      <w:r>
        <w:rPr>
          <w:color w:val="auto"/>
        </w:rPr>
        <w:br w:type="page"/>
      </w:r>
    </w:p>
    <w:p>
      <w:pPr>
        <w:pStyle w:val="21"/>
        <w:numPr>
          <w:ilvl w:val="0"/>
          <w:numId w:val="0"/>
        </w:numPr>
        <w:rPr>
          <w:color w:val="auto"/>
        </w:rPr>
      </w:pPr>
      <w:bookmarkStart w:id="50" w:name="_Toc13975"/>
      <w:bookmarkStart w:id="51" w:name="_Toc67384456"/>
      <w:r>
        <w:rPr>
          <w:color w:val="auto"/>
        </w:rPr>
        <w:t>引用标准名录</w:t>
      </w:r>
      <w:bookmarkEnd w:id="50"/>
      <w:bookmarkEnd w:id="51"/>
    </w:p>
    <w:p>
      <w:pPr>
        <w:spacing w:line="360" w:lineRule="auto"/>
        <w:ind w:firstLine="420"/>
        <w:rPr>
          <w:color w:val="auto"/>
        </w:rPr>
      </w:pPr>
      <w:r>
        <w:rPr>
          <w:rFonts w:hint="eastAsia"/>
          <w:color w:val="auto"/>
        </w:rPr>
        <w:t>1《装饰石膏板行业标准》JC/T 799</w:t>
      </w:r>
    </w:p>
    <w:p>
      <w:pPr>
        <w:spacing w:line="360" w:lineRule="auto"/>
        <w:ind w:firstLine="420"/>
        <w:rPr>
          <w:color w:val="auto"/>
        </w:rPr>
      </w:pPr>
      <w:r>
        <w:rPr>
          <w:rFonts w:hint="eastAsia"/>
          <w:color w:val="auto"/>
        </w:rPr>
        <w:t>2《玻璃纤维增强石膏（GRG）装饰制品应用技术规程》T/CECS 527</w:t>
      </w:r>
    </w:p>
    <w:p>
      <w:pPr>
        <w:spacing w:line="360" w:lineRule="auto"/>
        <w:ind w:firstLine="420"/>
        <w:rPr>
          <w:color w:val="auto"/>
        </w:rPr>
      </w:pPr>
      <w:r>
        <w:rPr>
          <w:rFonts w:hint="eastAsia"/>
          <w:color w:val="auto"/>
        </w:rPr>
        <w:t>3《钢结构工程施工质量验收规范》GB5 0205</w:t>
      </w:r>
    </w:p>
    <w:p>
      <w:pPr>
        <w:spacing w:line="360" w:lineRule="auto"/>
        <w:ind w:firstLine="420"/>
        <w:rPr>
          <w:color w:val="auto"/>
        </w:rPr>
      </w:pPr>
      <w:r>
        <w:rPr>
          <w:rFonts w:hint="eastAsia"/>
          <w:color w:val="auto"/>
        </w:rPr>
        <w:t>4《建筑装饰装修工程质量验收标准》GB 50210</w:t>
      </w:r>
    </w:p>
    <w:p>
      <w:pPr>
        <w:spacing w:line="360" w:lineRule="auto"/>
        <w:ind w:firstLine="420"/>
        <w:rPr>
          <w:color w:val="auto"/>
        </w:rPr>
      </w:pPr>
      <w:r>
        <w:rPr>
          <w:rFonts w:hint="eastAsia"/>
          <w:color w:val="auto"/>
        </w:rPr>
        <w:t>5《钢结构工程施工规范》GB5 0755</w:t>
      </w:r>
    </w:p>
    <w:p>
      <w:pPr>
        <w:spacing w:line="360" w:lineRule="auto"/>
        <w:ind w:firstLine="420"/>
        <w:rPr>
          <w:color w:val="auto"/>
        </w:rPr>
      </w:pPr>
      <w:r>
        <w:rPr>
          <w:rFonts w:hint="eastAsia"/>
          <w:color w:val="auto"/>
        </w:rPr>
        <w:t>6《增强塑料巴柯尔硬度试验方法》GB/T 3854</w:t>
      </w:r>
    </w:p>
    <w:p>
      <w:pPr>
        <w:spacing w:line="360" w:lineRule="auto"/>
        <w:ind w:firstLine="420"/>
        <w:rPr>
          <w:color w:val="auto"/>
        </w:rPr>
      </w:pPr>
      <w:r>
        <w:rPr>
          <w:rFonts w:hint="eastAsia"/>
          <w:color w:val="auto"/>
        </w:rPr>
        <w:t>7《无极硬质绝缘制品试验方法》GB/T 5486</w:t>
      </w:r>
    </w:p>
    <w:p>
      <w:pPr>
        <w:spacing w:line="360" w:lineRule="auto"/>
        <w:ind w:firstLine="420"/>
        <w:rPr>
          <w:color w:val="auto"/>
        </w:rPr>
      </w:pPr>
      <w:r>
        <w:rPr>
          <w:rFonts w:hint="eastAsia"/>
          <w:color w:val="auto"/>
        </w:rPr>
        <w:t>8《建筑材料放射性核素限量》GB 6566</w:t>
      </w:r>
    </w:p>
    <w:p>
      <w:pPr>
        <w:spacing w:line="360" w:lineRule="auto"/>
        <w:ind w:firstLine="420"/>
        <w:rPr>
          <w:color w:val="auto"/>
        </w:rPr>
      </w:pPr>
      <w:r>
        <w:rPr>
          <w:rFonts w:hint="eastAsia"/>
          <w:color w:val="auto"/>
        </w:rPr>
        <w:t>9《建筑材料及制品燃烧性能分级》GB 8624</w:t>
      </w:r>
    </w:p>
    <w:p>
      <w:pPr>
        <w:spacing w:line="360" w:lineRule="auto"/>
        <w:ind w:firstLine="420"/>
        <w:rPr>
          <w:color w:val="auto"/>
        </w:rPr>
      </w:pPr>
      <w:r>
        <w:rPr>
          <w:rFonts w:hint="eastAsia"/>
          <w:color w:val="auto"/>
        </w:rPr>
        <w:t>10《合成树脂乳液内墙涂料》GB/T 9756</w:t>
      </w:r>
    </w:p>
    <w:p>
      <w:pPr>
        <w:spacing w:line="360" w:lineRule="auto"/>
        <w:ind w:firstLine="420"/>
        <w:rPr>
          <w:color w:val="auto"/>
        </w:rPr>
      </w:pPr>
      <w:r>
        <w:rPr>
          <w:rFonts w:hint="eastAsia"/>
          <w:color w:val="auto"/>
        </w:rPr>
        <w:t>11《纸面石膏板》GB/T 9775</w:t>
      </w:r>
    </w:p>
    <w:p>
      <w:pPr>
        <w:spacing w:line="360" w:lineRule="auto"/>
        <w:ind w:firstLine="420"/>
        <w:rPr>
          <w:color w:val="auto"/>
        </w:rPr>
      </w:pPr>
      <w:r>
        <w:rPr>
          <w:rFonts w:hint="eastAsia"/>
          <w:color w:val="auto"/>
        </w:rPr>
        <w:t>12《复层建筑涂料》GB/T 9779</w:t>
      </w:r>
    </w:p>
    <w:p>
      <w:pPr>
        <w:spacing w:line="360" w:lineRule="auto"/>
        <w:ind w:firstLine="420"/>
        <w:rPr>
          <w:color w:val="auto"/>
        </w:rPr>
      </w:pPr>
      <w:r>
        <w:rPr>
          <w:rFonts w:hint="eastAsia"/>
          <w:color w:val="auto"/>
        </w:rPr>
        <w:t>13《玻璃纤维增强水泥性能试验方法》GB/T 15231</w:t>
      </w:r>
    </w:p>
    <w:p>
      <w:pPr>
        <w:spacing w:line="360" w:lineRule="auto"/>
        <w:ind w:firstLine="420"/>
        <w:rPr>
          <w:color w:val="auto"/>
        </w:rPr>
      </w:pPr>
      <w:r>
        <w:rPr>
          <w:rFonts w:hint="eastAsia"/>
          <w:color w:val="auto"/>
        </w:rPr>
        <w:t>14《室内装饰装修材料 内墙涂料中有害物质限量》GB 18582</w:t>
      </w:r>
    </w:p>
    <w:p>
      <w:pPr>
        <w:spacing w:line="360" w:lineRule="auto"/>
        <w:ind w:firstLine="420"/>
        <w:rPr>
          <w:color w:val="auto"/>
        </w:rPr>
      </w:pPr>
      <w:r>
        <w:rPr>
          <w:rFonts w:hint="eastAsia"/>
          <w:color w:val="auto"/>
        </w:rPr>
        <w:t>15《声学 混响室吸声测量》GB/T 20247</w:t>
      </w:r>
    </w:p>
    <w:p>
      <w:pPr>
        <w:spacing w:line="360" w:lineRule="auto"/>
        <w:ind w:firstLine="420"/>
        <w:rPr>
          <w:color w:val="auto"/>
        </w:rPr>
      </w:pPr>
      <w:r>
        <w:rPr>
          <w:rFonts w:hint="eastAsia"/>
          <w:color w:val="auto"/>
        </w:rPr>
        <w:t>16《非结构构件抗震设计规范》JGJ 339</w:t>
      </w:r>
    </w:p>
    <w:p>
      <w:pPr>
        <w:spacing w:line="360" w:lineRule="auto"/>
        <w:ind w:firstLine="420"/>
        <w:rPr>
          <w:color w:val="auto"/>
        </w:rPr>
      </w:pPr>
      <w:r>
        <w:rPr>
          <w:rFonts w:hint="eastAsia"/>
          <w:color w:val="auto"/>
        </w:rPr>
        <w:t>17《合成树脂乳液砂壁状建筑涂料》JC/T 24</w:t>
      </w:r>
    </w:p>
    <w:p>
      <w:pPr>
        <w:spacing w:line="360" w:lineRule="auto"/>
        <w:ind w:firstLine="420"/>
        <w:rPr>
          <w:color w:val="auto"/>
        </w:rPr>
      </w:pPr>
      <w:r>
        <w:rPr>
          <w:rFonts w:hint="eastAsia"/>
          <w:color w:val="auto"/>
        </w:rPr>
        <w:t>18《建筑装饰用石材蜂窝复合板》JC/T 328</w:t>
      </w:r>
    </w:p>
    <w:p>
      <w:pPr>
        <w:spacing w:line="360" w:lineRule="auto"/>
        <w:ind w:firstLine="420"/>
        <w:rPr>
          <w:color w:val="auto"/>
        </w:rPr>
      </w:pPr>
      <w:r>
        <w:rPr>
          <w:rFonts w:hint="eastAsia"/>
          <w:color w:val="auto"/>
        </w:rPr>
        <w:t>19《陶瓷砖胶粘剂》JC/T 547</w:t>
      </w:r>
    </w:p>
    <w:p>
      <w:pPr>
        <w:spacing w:line="360" w:lineRule="auto"/>
        <w:ind w:firstLine="420"/>
        <w:rPr>
          <w:color w:val="auto"/>
        </w:rPr>
      </w:pPr>
      <w:r>
        <w:rPr>
          <w:rFonts w:hint="eastAsia"/>
          <w:color w:val="auto"/>
        </w:rPr>
        <w:t>20《耐碱玻璃纤维无捻粗纱》JC/T 572</w:t>
      </w:r>
    </w:p>
    <w:p>
      <w:pPr>
        <w:spacing w:line="360" w:lineRule="auto"/>
        <w:ind w:firstLine="420"/>
        <w:rPr>
          <w:color w:val="auto"/>
        </w:rPr>
      </w:pPr>
      <w:r>
        <w:rPr>
          <w:rFonts w:hint="eastAsia"/>
          <w:color w:val="auto"/>
        </w:rPr>
        <w:t>21《耐碱玻璃纤维网布》JC/T 841</w:t>
      </w:r>
    </w:p>
    <w:p>
      <w:pPr>
        <w:spacing w:line="360" w:lineRule="auto"/>
        <w:ind w:firstLine="420"/>
        <w:rPr>
          <w:rFonts w:hint="eastAsia"/>
          <w:color w:val="auto"/>
        </w:rPr>
      </w:pPr>
      <w:r>
        <w:rPr>
          <w:rFonts w:hint="eastAsia"/>
          <w:color w:val="auto"/>
        </w:rPr>
        <w:t>22《</w:t>
      </w:r>
      <w:r>
        <w:rPr>
          <w:rFonts w:ascii="Arial" w:hAnsi="Arial" w:cs="Arial"/>
          <w:color w:val="auto"/>
        </w:rPr>
        <w:t>α</w:t>
      </w:r>
      <w:r>
        <w:rPr>
          <w:rFonts w:hint="eastAsia"/>
          <w:color w:val="auto"/>
        </w:rPr>
        <w:t>型增强石膏》JC/T 2038</w:t>
      </w:r>
    </w:p>
    <w:p>
      <w:pPr>
        <w:pStyle w:val="21"/>
        <w:numPr>
          <w:ilvl w:val="0"/>
          <w:numId w:val="0"/>
        </w:numPr>
        <w:bidi w:val="0"/>
        <w:ind w:leftChars="0"/>
        <w:jc w:val="both"/>
        <w:rPr>
          <w:rFonts w:hint="eastAsia"/>
          <w:color w:val="auto"/>
        </w:rPr>
      </w:pPr>
    </w:p>
    <w:tbl>
      <w:tblPr>
        <w:tblStyle w:val="16"/>
        <w:tblpPr w:leftFromText="180" w:rightFromText="180" w:vertAnchor="text" w:horzAnchor="page" w:tblpX="656" w:tblpY="496"/>
        <w:tblOverlap w:val="never"/>
        <w:tblW w:w="9345" w:type="dxa"/>
        <w:tblInd w:w="0" w:type="dxa"/>
        <w:tblLayout w:type="fixed"/>
        <w:tblCellMar>
          <w:top w:w="0" w:type="dxa"/>
          <w:left w:w="108" w:type="dxa"/>
          <w:bottom w:w="0" w:type="dxa"/>
          <w:right w:w="108" w:type="dxa"/>
        </w:tblCellMar>
      </w:tblPr>
      <w:tblGrid>
        <w:gridCol w:w="416"/>
        <w:gridCol w:w="316"/>
        <w:gridCol w:w="1055"/>
        <w:gridCol w:w="1357"/>
        <w:gridCol w:w="868"/>
        <w:gridCol w:w="745"/>
        <w:gridCol w:w="400"/>
        <w:gridCol w:w="316"/>
        <w:gridCol w:w="340"/>
        <w:gridCol w:w="408"/>
        <w:gridCol w:w="701"/>
        <w:gridCol w:w="1427"/>
        <w:gridCol w:w="240"/>
        <w:gridCol w:w="756"/>
      </w:tblGrid>
      <w:tr>
        <w:tblPrEx>
          <w:tblCellMar>
            <w:top w:w="0" w:type="dxa"/>
            <w:left w:w="108" w:type="dxa"/>
            <w:bottom w:w="0" w:type="dxa"/>
            <w:right w:w="108" w:type="dxa"/>
          </w:tblCellMar>
        </w:tblPrEx>
        <w:trPr>
          <w:trHeight w:val="584" w:hRule="atLeast"/>
        </w:trPr>
        <w:tc>
          <w:tcPr>
            <w:tcW w:w="9345" w:type="dxa"/>
            <w:gridSpan w:val="14"/>
            <w:tcBorders>
              <w:top w:val="nil"/>
              <w:left w:val="nil"/>
              <w:bottom w:val="nil"/>
              <w:right w:val="nil"/>
            </w:tcBorders>
            <w:shd w:val="clear" w:color="000000" w:fill="FFFFFF"/>
            <w:vAlign w:val="center"/>
          </w:tcPr>
          <w:p>
            <w:pPr>
              <w:widowControl/>
              <w:adjustRightInd/>
              <w:spacing w:line="240" w:lineRule="auto"/>
              <w:jc w:val="center"/>
              <w:rPr>
                <w:rFonts w:ascii="宋体" w:hAnsi="宋体" w:cs="宋体"/>
                <w:b/>
                <w:bCs/>
                <w:color w:val="auto"/>
                <w:kern w:val="0"/>
                <w:sz w:val="36"/>
                <w:szCs w:val="36"/>
              </w:rPr>
            </w:pPr>
            <w:r>
              <w:rPr>
                <w:rFonts w:hint="eastAsia" w:ascii="宋体" w:hAnsi="宋体" w:cs="宋体"/>
                <w:b/>
                <w:bCs/>
                <w:color w:val="auto"/>
                <w:kern w:val="0"/>
                <w:sz w:val="24"/>
                <w:szCs w:val="24"/>
                <w:u w:val="single"/>
                <w:lang w:val="en-US" w:eastAsia="zh-CN"/>
              </w:rPr>
              <w:t>钢骨架制作安装</w:t>
            </w:r>
            <w:r>
              <w:rPr>
                <w:rFonts w:hint="eastAsia" w:ascii="宋体" w:hAnsi="宋体" w:cs="宋体"/>
                <w:b/>
                <w:bCs/>
                <w:color w:val="auto"/>
                <w:kern w:val="0"/>
                <w:sz w:val="24"/>
                <w:szCs w:val="24"/>
                <w:lang w:val="en-US" w:eastAsia="zh-CN"/>
              </w:rPr>
              <w:t>分项工程</w:t>
            </w:r>
            <w:r>
              <w:rPr>
                <w:rFonts w:hint="eastAsia" w:ascii="宋体" w:hAnsi="宋体" w:cs="宋体"/>
                <w:b/>
                <w:bCs/>
                <w:color w:val="auto"/>
                <w:kern w:val="0"/>
                <w:sz w:val="24"/>
                <w:szCs w:val="24"/>
              </w:rPr>
              <w:t>检验批质量验收记录</w:t>
            </w:r>
          </w:p>
        </w:tc>
      </w:tr>
      <w:tr>
        <w:tblPrEx>
          <w:tblCellMar>
            <w:top w:w="0" w:type="dxa"/>
            <w:left w:w="108" w:type="dxa"/>
            <w:bottom w:w="0" w:type="dxa"/>
            <w:right w:w="108" w:type="dxa"/>
          </w:tblCellMar>
        </w:tblPrEx>
        <w:trPr>
          <w:trHeight w:val="66" w:hRule="atLeast"/>
        </w:trPr>
        <w:tc>
          <w:tcPr>
            <w:tcW w:w="9345" w:type="dxa"/>
            <w:gridSpan w:val="14"/>
            <w:tcBorders>
              <w:top w:val="nil"/>
              <w:left w:val="nil"/>
              <w:bottom w:val="single" w:color="auto" w:sz="8" w:space="0"/>
              <w:right w:val="nil"/>
            </w:tcBorders>
            <w:shd w:val="clear" w:color="000000" w:fill="FFFFFF"/>
            <w:vAlign w:val="bottom"/>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 xml:space="preserve">                                                                        编号：</w:t>
            </w:r>
          </w:p>
        </w:tc>
      </w:tr>
      <w:tr>
        <w:tblPrEx>
          <w:tblCellMar>
            <w:top w:w="0" w:type="dxa"/>
            <w:left w:w="108" w:type="dxa"/>
            <w:bottom w:w="0" w:type="dxa"/>
            <w:right w:w="108" w:type="dxa"/>
          </w:tblCellMar>
        </w:tblPrEx>
        <w:trPr>
          <w:trHeight w:val="414" w:hRule="atLeast"/>
        </w:trPr>
        <w:tc>
          <w:tcPr>
            <w:tcW w:w="1787" w:type="dxa"/>
            <w:gridSpan w:val="3"/>
            <w:tcBorders>
              <w:top w:val="single" w:color="auto" w:sz="8"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单位（子单位）</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工程名称</w:t>
            </w:r>
          </w:p>
        </w:tc>
        <w:tc>
          <w:tcPr>
            <w:tcW w:w="2225" w:type="dxa"/>
            <w:gridSpan w:val="2"/>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分部（子分部）工程名称</w:t>
            </w:r>
          </w:p>
        </w:tc>
        <w:tc>
          <w:tcPr>
            <w:tcW w:w="1449" w:type="dxa"/>
            <w:gridSpan w:val="3"/>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1427" w:type="dxa"/>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分项工程名称</w:t>
            </w:r>
          </w:p>
        </w:tc>
        <w:tc>
          <w:tcPr>
            <w:tcW w:w="996" w:type="dxa"/>
            <w:gridSpan w:val="2"/>
            <w:tcBorders>
              <w:top w:val="single" w:color="auto" w:sz="8"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施工单位</w:t>
            </w:r>
          </w:p>
        </w:tc>
        <w:tc>
          <w:tcPr>
            <w:tcW w:w="2225"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项目负责人</w:t>
            </w: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27" w:type="dxa"/>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检验批容量</w:t>
            </w:r>
          </w:p>
        </w:tc>
        <w:tc>
          <w:tcPr>
            <w:tcW w:w="996" w:type="dxa"/>
            <w:gridSpan w:val="2"/>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分包单位</w:t>
            </w:r>
          </w:p>
        </w:tc>
        <w:tc>
          <w:tcPr>
            <w:tcW w:w="2225"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分包单位</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项目负责人</w:t>
            </w: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27" w:type="dxa"/>
            <w:tcBorders>
              <w:top w:val="nil"/>
              <w:left w:val="nil"/>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检验批部位</w:t>
            </w:r>
          </w:p>
        </w:tc>
        <w:tc>
          <w:tcPr>
            <w:tcW w:w="996" w:type="dxa"/>
            <w:gridSpan w:val="2"/>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施工依据</w:t>
            </w:r>
          </w:p>
        </w:tc>
        <w:tc>
          <w:tcPr>
            <w:tcW w:w="3686" w:type="dxa"/>
            <w:gridSpan w:val="5"/>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验收依据</w:t>
            </w:r>
          </w:p>
        </w:tc>
        <w:tc>
          <w:tcPr>
            <w:tcW w:w="2423" w:type="dxa"/>
            <w:gridSpan w:val="3"/>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r>
      <w:tr>
        <w:tblPrEx>
          <w:tblCellMar>
            <w:top w:w="0" w:type="dxa"/>
            <w:left w:w="108" w:type="dxa"/>
            <w:bottom w:w="0" w:type="dxa"/>
            <w:right w:w="108" w:type="dxa"/>
          </w:tblCellMar>
        </w:tblPrEx>
        <w:trPr>
          <w:trHeight w:val="377" w:hRule="atLeast"/>
        </w:trPr>
        <w:tc>
          <w:tcPr>
            <w:tcW w:w="3144" w:type="dxa"/>
            <w:gridSpan w:val="4"/>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验收项目</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设计要求及</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lang w:val="en-US" w:eastAsia="zh-CN"/>
              </w:rPr>
              <w:t>标准</w:t>
            </w:r>
            <w:r>
              <w:rPr>
                <w:rFonts w:hint="eastAsia" w:ascii="宋体" w:hAnsi="宋体" w:cs="宋体"/>
                <w:color w:val="auto"/>
                <w:kern w:val="0"/>
                <w:sz w:val="20"/>
                <w:szCs w:val="20"/>
              </w:rPr>
              <w:t>规定</w:t>
            </w:r>
          </w:p>
        </w:tc>
        <w:tc>
          <w:tcPr>
            <w:tcW w:w="1056"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最小/实际抽样数量</w:t>
            </w: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检查记录</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检查</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结果</w:t>
            </w:r>
          </w:p>
        </w:tc>
      </w:tr>
      <w:tr>
        <w:tblPrEx>
          <w:tblCellMar>
            <w:top w:w="0" w:type="dxa"/>
            <w:left w:w="108" w:type="dxa"/>
            <w:bottom w:w="0" w:type="dxa"/>
            <w:right w:w="108" w:type="dxa"/>
          </w:tblCellMar>
        </w:tblPrEx>
        <w:trPr>
          <w:trHeight w:val="349" w:hRule="atLeast"/>
        </w:trPr>
        <w:tc>
          <w:tcPr>
            <w:tcW w:w="416" w:type="dxa"/>
            <w:vMerge w:val="restart"/>
            <w:tcBorders>
              <w:top w:val="nil"/>
              <w:left w:val="single" w:color="auto" w:sz="8"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主</w:t>
            </w:r>
          </w:p>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控</w:t>
            </w:r>
          </w:p>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项</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目</w:t>
            </w: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1</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产品进场</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7.2.1</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2</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焊缝质量</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7.2.2</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3</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涂装基层验收</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7.2.3</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4</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涂层厚度</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 xml:space="preserve">7.2.4 </w:t>
            </w:r>
          </w:p>
          <w:p>
            <w:pPr>
              <w:widowControl/>
              <w:adjustRightInd/>
              <w:spacing w:line="240" w:lineRule="auto"/>
              <w:jc w:val="center"/>
              <w:rPr>
                <w:rFonts w:hint="default"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7.2.5</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5</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基层处理</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7.2.6</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6</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预埋件及后置埋件</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7.2.7</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钢骨架安装</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7.2.8</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r>
      <w:tr>
        <w:tblPrEx>
          <w:tblCellMar>
            <w:top w:w="0" w:type="dxa"/>
            <w:left w:w="108" w:type="dxa"/>
            <w:bottom w:w="0" w:type="dxa"/>
            <w:right w:w="108" w:type="dxa"/>
          </w:tblCellMar>
        </w:tblPrEx>
        <w:trPr>
          <w:trHeight w:val="349" w:hRule="atLeast"/>
        </w:trPr>
        <w:tc>
          <w:tcPr>
            <w:tcW w:w="416" w:type="dxa"/>
            <w:vMerge w:val="restart"/>
            <w:tcBorders>
              <w:top w:val="nil"/>
              <w:left w:val="single" w:color="auto" w:sz="8" w:space="0"/>
              <w:right w:val="single" w:color="auto" w:sz="4" w:space="0"/>
            </w:tcBorders>
            <w:shd w:val="clear" w:color="000000" w:fill="FFFFFF"/>
            <w:vAlign w:val="center"/>
          </w:tcPr>
          <w:p>
            <w:pPr>
              <w:widowControl/>
              <w:adjustRightInd/>
              <w:spacing w:after="240" w:line="240" w:lineRule="auto"/>
              <w:jc w:val="both"/>
              <w:rPr>
                <w:rFonts w:hint="default" w:ascii="宋体" w:hAnsi="宋体" w:eastAsia="宋体" w:cs="宋体"/>
                <w:color w:val="auto"/>
                <w:kern w:val="0"/>
                <w:sz w:val="20"/>
                <w:szCs w:val="20"/>
                <w:lang w:val="en-US" w:eastAsia="zh-CN"/>
              </w:rPr>
            </w:pPr>
            <w:r>
              <w:rPr>
                <w:rFonts w:hint="eastAsia" w:ascii="宋体" w:hAnsi="宋体" w:eastAsia="宋体" w:cs="宋体"/>
                <w:color w:val="auto"/>
                <w:kern w:val="0"/>
                <w:sz w:val="20"/>
                <w:szCs w:val="20"/>
                <w:lang w:val="en-US" w:eastAsia="zh-CN"/>
              </w:rPr>
              <w:t>一般项目</w:t>
            </w: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1</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产品进场</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lang w:val="en-US" w:eastAsia="zh-CN"/>
              </w:rPr>
              <w:t>7.2.9</w:t>
            </w:r>
            <w:r>
              <w:rPr>
                <w:rFonts w:hint="eastAsia" w:ascii="宋体" w:hAnsi="宋体" w:cs="宋体"/>
                <w:color w:val="auto"/>
                <w:kern w:val="0"/>
                <w:sz w:val="20"/>
                <w:szCs w:val="20"/>
              </w:rPr>
              <w:t xml:space="preserve"> </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2</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焊缝外观质量</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lang w:val="en-US" w:eastAsia="zh-CN"/>
              </w:rPr>
              <w:t>7.2.10</w:t>
            </w:r>
            <w:r>
              <w:rPr>
                <w:rFonts w:hint="eastAsia" w:ascii="宋体" w:hAnsi="宋体" w:cs="宋体"/>
                <w:color w:val="auto"/>
                <w:kern w:val="0"/>
                <w:sz w:val="20"/>
                <w:szCs w:val="20"/>
              </w:rPr>
              <w:t xml:space="preserve"> </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3</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涂层表面质量</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lang w:val="en-US" w:eastAsia="zh-CN"/>
              </w:rPr>
              <w:t>7.2.11</w:t>
            </w:r>
            <w:r>
              <w:rPr>
                <w:rFonts w:hint="eastAsia" w:ascii="宋体" w:hAnsi="宋体" w:cs="宋体"/>
                <w:color w:val="auto"/>
                <w:kern w:val="0"/>
                <w:sz w:val="20"/>
                <w:szCs w:val="20"/>
              </w:rPr>
              <w:t xml:space="preserve"> </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08" w:hRule="atLeast"/>
        </w:trPr>
        <w:tc>
          <w:tcPr>
            <w:tcW w:w="416" w:type="dxa"/>
            <w:vMerge w:val="continue"/>
            <w:tcBorders>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4</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安装精度</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7.2.12</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both"/>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254" w:hRule="atLeast"/>
        </w:trPr>
        <w:tc>
          <w:tcPr>
            <w:tcW w:w="3144" w:type="dxa"/>
            <w:gridSpan w:val="4"/>
            <w:vMerge w:val="restart"/>
            <w:tcBorders>
              <w:top w:val="single" w:color="auto" w:sz="4" w:space="0"/>
              <w:left w:val="single" w:color="auto" w:sz="8" w:space="0"/>
              <w:bottom w:val="single" w:color="auto" w:sz="4" w:space="0"/>
              <w:right w:val="single" w:color="auto" w:sz="4" w:space="0"/>
            </w:tcBorders>
            <w:shd w:val="clear" w:color="000000" w:fill="FFFFFF"/>
            <w:vAlign w:val="center"/>
          </w:tcPr>
          <w:p>
            <w:pPr>
              <w:widowControl/>
              <w:adjustRightInd/>
              <w:spacing w:after="240"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施工单位</w:t>
            </w:r>
          </w:p>
          <w:p>
            <w:pPr>
              <w:widowControl/>
              <w:adjustRightInd/>
              <w:spacing w:after="240" w:line="240" w:lineRule="auto"/>
              <w:jc w:val="center"/>
              <w:rPr>
                <w:rFonts w:ascii="宋体" w:hAnsi="宋体" w:cs="宋体"/>
                <w:color w:val="auto"/>
                <w:kern w:val="0"/>
                <w:sz w:val="20"/>
                <w:szCs w:val="20"/>
              </w:rPr>
            </w:pPr>
            <w:r>
              <w:rPr>
                <w:rFonts w:hint="eastAsia" w:ascii="宋体" w:hAnsi="宋体" w:cs="宋体"/>
                <w:color w:val="auto"/>
                <w:kern w:val="0"/>
                <w:sz w:val="20"/>
                <w:szCs w:val="20"/>
              </w:rPr>
              <w:t>检查结果</w:t>
            </w:r>
          </w:p>
        </w:tc>
        <w:tc>
          <w:tcPr>
            <w:tcW w:w="3077" w:type="dxa"/>
            <w:gridSpan w:val="6"/>
            <w:vMerge w:val="restart"/>
            <w:tcBorders>
              <w:top w:val="nil"/>
              <w:left w:val="single" w:color="auto" w:sz="4" w:space="0"/>
              <w:bottom w:val="single" w:color="000000"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24" w:type="dxa"/>
            <w:gridSpan w:val="4"/>
            <w:tcBorders>
              <w:top w:val="single" w:color="auto" w:sz="4" w:space="0"/>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专业工长：</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项目专业质量检查员：</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3124" w:type="dxa"/>
            <w:gridSpan w:val="4"/>
            <w:tcBorders>
              <w:top w:val="nil"/>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xml:space="preserve">    年  月  日</w:t>
            </w:r>
          </w:p>
        </w:tc>
      </w:tr>
      <w:tr>
        <w:tblPrEx>
          <w:tblCellMar>
            <w:top w:w="0" w:type="dxa"/>
            <w:left w:w="108" w:type="dxa"/>
            <w:bottom w:w="0" w:type="dxa"/>
            <w:right w:w="108" w:type="dxa"/>
          </w:tblCellMar>
        </w:tblPrEx>
        <w:trPr>
          <w:trHeight w:val="414" w:hRule="atLeast"/>
        </w:trPr>
        <w:tc>
          <w:tcPr>
            <w:tcW w:w="3144" w:type="dxa"/>
            <w:gridSpan w:val="4"/>
            <w:vMerge w:val="restart"/>
            <w:tcBorders>
              <w:top w:val="single" w:color="auto" w:sz="4" w:space="0"/>
              <w:left w:val="single" w:color="auto" w:sz="8" w:space="0"/>
              <w:bottom w:val="single" w:color="000000" w:sz="8" w:space="0"/>
              <w:right w:val="single" w:color="auto" w:sz="4" w:space="0"/>
            </w:tcBorders>
            <w:shd w:val="clear" w:color="000000" w:fill="FFFFFF"/>
            <w:vAlign w:val="center"/>
          </w:tcPr>
          <w:p>
            <w:pPr>
              <w:widowControl/>
              <w:adjustRightInd/>
              <w:spacing w:after="240"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监理单位</w:t>
            </w:r>
          </w:p>
          <w:p>
            <w:pPr>
              <w:widowControl/>
              <w:adjustRightInd/>
              <w:spacing w:after="240"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验收结论</w:t>
            </w:r>
          </w:p>
        </w:tc>
        <w:tc>
          <w:tcPr>
            <w:tcW w:w="3077" w:type="dxa"/>
            <w:gridSpan w:val="6"/>
            <w:vMerge w:val="restart"/>
            <w:tcBorders>
              <w:top w:val="single" w:color="auto" w:sz="4" w:space="0"/>
              <w:left w:val="single" w:color="auto" w:sz="4" w:space="0"/>
              <w:bottom w:val="single" w:color="000000" w:sz="8"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24" w:type="dxa"/>
            <w:gridSpan w:val="4"/>
            <w:tcBorders>
              <w:top w:val="single" w:color="auto" w:sz="4" w:space="0"/>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3144" w:type="dxa"/>
            <w:gridSpan w:val="4"/>
            <w:vMerge w:val="continue"/>
            <w:tcBorders>
              <w:top w:val="single" w:color="auto" w:sz="4" w:space="0"/>
              <w:left w:val="single" w:color="auto" w:sz="8" w:space="0"/>
              <w:bottom w:val="single" w:color="000000"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single" w:color="auto" w:sz="4" w:space="0"/>
              <w:left w:val="single" w:color="auto" w:sz="4" w:space="0"/>
              <w:bottom w:val="single" w:color="000000" w:sz="8"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专业监理工程师：</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3144" w:type="dxa"/>
            <w:gridSpan w:val="4"/>
            <w:vMerge w:val="continue"/>
            <w:tcBorders>
              <w:top w:val="single" w:color="auto" w:sz="4" w:space="0"/>
              <w:left w:val="single" w:color="auto" w:sz="8" w:space="0"/>
              <w:bottom w:val="single" w:color="000000"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single" w:color="auto" w:sz="4" w:space="0"/>
              <w:left w:val="single" w:color="auto" w:sz="4" w:space="0"/>
              <w:bottom w:val="single" w:color="000000" w:sz="8" w:space="0"/>
              <w:right w:val="nil"/>
            </w:tcBorders>
            <w:vAlign w:val="center"/>
          </w:tcPr>
          <w:p>
            <w:pPr>
              <w:widowControl/>
              <w:adjustRightInd/>
              <w:spacing w:line="240" w:lineRule="auto"/>
              <w:rPr>
                <w:rFonts w:ascii="宋体" w:hAnsi="宋体" w:cs="宋体"/>
                <w:color w:val="auto"/>
                <w:kern w:val="0"/>
                <w:sz w:val="20"/>
                <w:szCs w:val="20"/>
              </w:rPr>
            </w:pPr>
          </w:p>
        </w:tc>
        <w:tc>
          <w:tcPr>
            <w:tcW w:w="3124" w:type="dxa"/>
            <w:gridSpan w:val="4"/>
            <w:tcBorders>
              <w:top w:val="nil"/>
              <w:left w:val="nil"/>
              <w:bottom w:val="single" w:color="auto" w:sz="8"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xml:space="preserve">    年  月  日</w:t>
            </w:r>
          </w:p>
        </w:tc>
      </w:tr>
    </w:tbl>
    <w:p>
      <w:pPr>
        <w:rPr>
          <w:rFonts w:hint="eastAsia"/>
          <w:color w:val="auto"/>
          <w:lang w:val="en-US" w:eastAsia="zh-CN"/>
        </w:rPr>
      </w:pPr>
      <w:r>
        <w:rPr>
          <w:rFonts w:hint="eastAsia"/>
          <w:color w:val="auto"/>
          <w:lang w:val="en-US" w:eastAsia="zh-CN"/>
        </w:rPr>
        <w:t>附表1     钢骨架制作安装分项工程检验批质量验收记录</w:t>
      </w:r>
    </w:p>
    <w:p>
      <w:pPr>
        <w:rPr>
          <w:rFonts w:hint="default"/>
          <w:color w:val="auto"/>
          <w:lang w:val="en-US" w:eastAsia="zh-CN"/>
        </w:rPr>
      </w:pPr>
    </w:p>
    <w:p>
      <w:pPr>
        <w:rPr>
          <w:rFonts w:hint="default"/>
          <w:color w:val="auto"/>
          <w:lang w:val="en-US" w:eastAsia="zh-CN"/>
        </w:rPr>
      </w:pPr>
    </w:p>
    <w:tbl>
      <w:tblPr>
        <w:tblStyle w:val="16"/>
        <w:tblpPr w:leftFromText="180" w:rightFromText="180" w:vertAnchor="text" w:horzAnchor="page" w:tblpX="656" w:tblpY="496"/>
        <w:tblOverlap w:val="never"/>
        <w:tblW w:w="9345" w:type="dxa"/>
        <w:tblInd w:w="0" w:type="dxa"/>
        <w:tblLayout w:type="fixed"/>
        <w:tblCellMar>
          <w:top w:w="0" w:type="dxa"/>
          <w:left w:w="108" w:type="dxa"/>
          <w:bottom w:w="0" w:type="dxa"/>
          <w:right w:w="108" w:type="dxa"/>
        </w:tblCellMar>
      </w:tblPr>
      <w:tblGrid>
        <w:gridCol w:w="416"/>
        <w:gridCol w:w="316"/>
        <w:gridCol w:w="1055"/>
        <w:gridCol w:w="1357"/>
        <w:gridCol w:w="868"/>
        <w:gridCol w:w="745"/>
        <w:gridCol w:w="400"/>
        <w:gridCol w:w="316"/>
        <w:gridCol w:w="340"/>
        <w:gridCol w:w="408"/>
        <w:gridCol w:w="701"/>
        <w:gridCol w:w="1427"/>
        <w:gridCol w:w="240"/>
        <w:gridCol w:w="756"/>
      </w:tblGrid>
      <w:tr>
        <w:tblPrEx>
          <w:tblCellMar>
            <w:top w:w="0" w:type="dxa"/>
            <w:left w:w="108" w:type="dxa"/>
            <w:bottom w:w="0" w:type="dxa"/>
            <w:right w:w="108" w:type="dxa"/>
          </w:tblCellMar>
        </w:tblPrEx>
        <w:trPr>
          <w:trHeight w:val="584" w:hRule="atLeast"/>
        </w:trPr>
        <w:tc>
          <w:tcPr>
            <w:tcW w:w="9345" w:type="dxa"/>
            <w:gridSpan w:val="14"/>
            <w:tcBorders>
              <w:top w:val="nil"/>
              <w:left w:val="nil"/>
              <w:bottom w:val="nil"/>
              <w:right w:val="nil"/>
            </w:tcBorders>
            <w:shd w:val="clear" w:color="000000" w:fill="FFFFFF"/>
            <w:vAlign w:val="center"/>
          </w:tcPr>
          <w:p>
            <w:pPr>
              <w:widowControl/>
              <w:adjustRightInd/>
              <w:spacing w:line="240" w:lineRule="auto"/>
              <w:jc w:val="center"/>
              <w:rPr>
                <w:rFonts w:ascii="宋体" w:hAnsi="宋体" w:cs="宋体"/>
                <w:b/>
                <w:bCs/>
                <w:color w:val="auto"/>
                <w:kern w:val="0"/>
                <w:sz w:val="36"/>
                <w:szCs w:val="36"/>
              </w:rPr>
            </w:pPr>
            <w:r>
              <w:rPr>
                <w:rFonts w:hint="eastAsia" w:ascii="宋体" w:hAnsi="宋体" w:cs="宋体"/>
                <w:b/>
                <w:bCs/>
                <w:color w:val="auto"/>
                <w:kern w:val="0"/>
                <w:sz w:val="24"/>
                <w:szCs w:val="24"/>
                <w:u w:val="single"/>
                <w:lang w:val="en-US" w:eastAsia="zh-CN"/>
              </w:rPr>
              <w:t>GRG制作安装</w:t>
            </w:r>
            <w:r>
              <w:rPr>
                <w:rFonts w:hint="eastAsia" w:ascii="宋体" w:hAnsi="宋体" w:cs="宋体"/>
                <w:b/>
                <w:bCs/>
                <w:color w:val="auto"/>
                <w:kern w:val="0"/>
                <w:sz w:val="24"/>
                <w:szCs w:val="24"/>
                <w:lang w:val="en-US" w:eastAsia="zh-CN"/>
              </w:rPr>
              <w:t>分项工程</w:t>
            </w:r>
            <w:r>
              <w:rPr>
                <w:rFonts w:hint="eastAsia" w:ascii="宋体" w:hAnsi="宋体" w:cs="宋体"/>
                <w:b/>
                <w:bCs/>
                <w:color w:val="auto"/>
                <w:kern w:val="0"/>
                <w:sz w:val="24"/>
                <w:szCs w:val="24"/>
              </w:rPr>
              <w:t>检验批质量验收记录</w:t>
            </w:r>
          </w:p>
        </w:tc>
      </w:tr>
      <w:tr>
        <w:tblPrEx>
          <w:tblCellMar>
            <w:top w:w="0" w:type="dxa"/>
            <w:left w:w="108" w:type="dxa"/>
            <w:bottom w:w="0" w:type="dxa"/>
            <w:right w:w="108" w:type="dxa"/>
          </w:tblCellMar>
        </w:tblPrEx>
        <w:trPr>
          <w:trHeight w:val="66" w:hRule="atLeast"/>
        </w:trPr>
        <w:tc>
          <w:tcPr>
            <w:tcW w:w="9345" w:type="dxa"/>
            <w:gridSpan w:val="14"/>
            <w:tcBorders>
              <w:top w:val="nil"/>
              <w:left w:val="nil"/>
              <w:bottom w:val="single" w:color="auto" w:sz="8" w:space="0"/>
              <w:right w:val="nil"/>
            </w:tcBorders>
            <w:shd w:val="clear" w:color="000000" w:fill="FFFFFF"/>
            <w:vAlign w:val="bottom"/>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 xml:space="preserve">                                                                        编号：</w:t>
            </w:r>
          </w:p>
        </w:tc>
      </w:tr>
      <w:tr>
        <w:tblPrEx>
          <w:tblCellMar>
            <w:top w:w="0" w:type="dxa"/>
            <w:left w:w="108" w:type="dxa"/>
            <w:bottom w:w="0" w:type="dxa"/>
            <w:right w:w="108" w:type="dxa"/>
          </w:tblCellMar>
        </w:tblPrEx>
        <w:trPr>
          <w:trHeight w:val="414" w:hRule="atLeast"/>
        </w:trPr>
        <w:tc>
          <w:tcPr>
            <w:tcW w:w="1787" w:type="dxa"/>
            <w:gridSpan w:val="3"/>
            <w:tcBorders>
              <w:top w:val="single" w:color="auto" w:sz="8"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单位（子单位）</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工程名称</w:t>
            </w:r>
          </w:p>
        </w:tc>
        <w:tc>
          <w:tcPr>
            <w:tcW w:w="2225" w:type="dxa"/>
            <w:gridSpan w:val="2"/>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分部（子分部）工程名称</w:t>
            </w:r>
          </w:p>
        </w:tc>
        <w:tc>
          <w:tcPr>
            <w:tcW w:w="1449" w:type="dxa"/>
            <w:gridSpan w:val="3"/>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1427" w:type="dxa"/>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分项工程名称</w:t>
            </w:r>
          </w:p>
        </w:tc>
        <w:tc>
          <w:tcPr>
            <w:tcW w:w="996" w:type="dxa"/>
            <w:gridSpan w:val="2"/>
            <w:tcBorders>
              <w:top w:val="single" w:color="auto" w:sz="8"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施工单位</w:t>
            </w:r>
          </w:p>
        </w:tc>
        <w:tc>
          <w:tcPr>
            <w:tcW w:w="2225"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项目负责人</w:t>
            </w: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27" w:type="dxa"/>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检验批容量</w:t>
            </w:r>
          </w:p>
        </w:tc>
        <w:tc>
          <w:tcPr>
            <w:tcW w:w="996" w:type="dxa"/>
            <w:gridSpan w:val="2"/>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分包单位</w:t>
            </w:r>
          </w:p>
        </w:tc>
        <w:tc>
          <w:tcPr>
            <w:tcW w:w="2225"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分包单位</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项目负责人</w:t>
            </w: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27" w:type="dxa"/>
            <w:tcBorders>
              <w:top w:val="nil"/>
              <w:left w:val="nil"/>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检验批部位</w:t>
            </w:r>
          </w:p>
        </w:tc>
        <w:tc>
          <w:tcPr>
            <w:tcW w:w="996" w:type="dxa"/>
            <w:gridSpan w:val="2"/>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施工依据</w:t>
            </w:r>
          </w:p>
        </w:tc>
        <w:tc>
          <w:tcPr>
            <w:tcW w:w="3686" w:type="dxa"/>
            <w:gridSpan w:val="5"/>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验收依据</w:t>
            </w:r>
          </w:p>
        </w:tc>
        <w:tc>
          <w:tcPr>
            <w:tcW w:w="2423" w:type="dxa"/>
            <w:gridSpan w:val="3"/>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r>
      <w:tr>
        <w:tblPrEx>
          <w:tblCellMar>
            <w:top w:w="0" w:type="dxa"/>
            <w:left w:w="108" w:type="dxa"/>
            <w:bottom w:w="0" w:type="dxa"/>
            <w:right w:w="108" w:type="dxa"/>
          </w:tblCellMar>
        </w:tblPrEx>
        <w:trPr>
          <w:trHeight w:val="377" w:hRule="atLeast"/>
        </w:trPr>
        <w:tc>
          <w:tcPr>
            <w:tcW w:w="3144" w:type="dxa"/>
            <w:gridSpan w:val="4"/>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验收项目</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设计要求及</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lang w:val="en-US" w:eastAsia="zh-CN"/>
              </w:rPr>
              <w:t>标准</w:t>
            </w:r>
            <w:r>
              <w:rPr>
                <w:rFonts w:hint="eastAsia" w:ascii="宋体" w:hAnsi="宋体" w:cs="宋体"/>
                <w:color w:val="auto"/>
                <w:kern w:val="0"/>
                <w:sz w:val="20"/>
                <w:szCs w:val="20"/>
              </w:rPr>
              <w:t>规定</w:t>
            </w:r>
          </w:p>
        </w:tc>
        <w:tc>
          <w:tcPr>
            <w:tcW w:w="1056"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最小/实际抽样数量</w:t>
            </w: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检查记录</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检查</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结果</w:t>
            </w:r>
          </w:p>
        </w:tc>
      </w:tr>
      <w:tr>
        <w:tblPrEx>
          <w:tblCellMar>
            <w:top w:w="0" w:type="dxa"/>
            <w:left w:w="108" w:type="dxa"/>
            <w:bottom w:w="0" w:type="dxa"/>
            <w:right w:w="108" w:type="dxa"/>
          </w:tblCellMar>
        </w:tblPrEx>
        <w:trPr>
          <w:trHeight w:val="654" w:hRule="atLeast"/>
        </w:trPr>
        <w:tc>
          <w:tcPr>
            <w:tcW w:w="416" w:type="dxa"/>
            <w:vMerge w:val="restart"/>
            <w:tcBorders>
              <w:top w:val="nil"/>
              <w:left w:val="single" w:color="auto" w:sz="8"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主</w:t>
            </w:r>
          </w:p>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控</w:t>
            </w:r>
          </w:p>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项</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目</w:t>
            </w: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1</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材料进场</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7.3.1</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5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2</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GRG产品规格、性能</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7.3.2</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3</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安装质量</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7.3.3</w:t>
            </w:r>
          </w:p>
          <w:p>
            <w:pPr>
              <w:widowControl/>
              <w:adjustRightInd/>
              <w:spacing w:line="240" w:lineRule="auto"/>
              <w:jc w:val="center"/>
              <w:rPr>
                <w:rFonts w:hint="default" w:ascii="宋体" w:hAnsi="宋体" w:cs="宋体"/>
                <w:color w:val="auto"/>
                <w:kern w:val="0"/>
                <w:sz w:val="20"/>
                <w:szCs w:val="20"/>
                <w:lang w:val="en-US" w:eastAsia="zh-CN"/>
              </w:rPr>
            </w:pPr>
            <w:r>
              <w:rPr>
                <w:rFonts w:hint="eastAsia" w:ascii="宋体" w:hAnsi="宋体" w:cs="宋体"/>
                <w:color w:val="auto"/>
                <w:kern w:val="0"/>
                <w:sz w:val="20"/>
                <w:szCs w:val="20"/>
                <w:lang w:val="en-US" w:eastAsia="zh-CN"/>
              </w:rPr>
              <w:t>7.3.4</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679" w:hRule="atLeast"/>
        </w:trPr>
        <w:tc>
          <w:tcPr>
            <w:tcW w:w="416" w:type="dxa"/>
            <w:vMerge w:val="continue"/>
            <w:tcBorders>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rPr>
              <w:t>4</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lang w:val="en-US" w:eastAsia="zh-CN"/>
              </w:rPr>
              <w:t>坞绑检测</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lang w:val="en-US" w:eastAsia="zh-CN"/>
              </w:rPr>
              <w:t xml:space="preserve">7.3.5 </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eastAsiaTheme="minorEastAsia"/>
                <w:color w:val="auto"/>
                <w:kern w:val="0"/>
                <w:sz w:val="20"/>
                <w:szCs w:val="20"/>
                <w:lang w:val="en-US" w:eastAsia="zh-CN" w:bidi="ar-SA"/>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eastAsiaTheme="minorEastAsia"/>
                <w:color w:val="auto"/>
                <w:kern w:val="0"/>
                <w:sz w:val="20"/>
                <w:szCs w:val="20"/>
                <w:lang w:val="en-US" w:eastAsia="zh-CN" w:bidi="ar-SA"/>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r>
      <w:tr>
        <w:tblPrEx>
          <w:tblCellMar>
            <w:top w:w="0" w:type="dxa"/>
            <w:left w:w="108" w:type="dxa"/>
            <w:bottom w:w="0" w:type="dxa"/>
            <w:right w:w="108" w:type="dxa"/>
          </w:tblCellMar>
        </w:tblPrEx>
        <w:trPr>
          <w:trHeight w:val="737" w:hRule="atLeast"/>
        </w:trPr>
        <w:tc>
          <w:tcPr>
            <w:tcW w:w="416" w:type="dxa"/>
            <w:vMerge w:val="restart"/>
            <w:tcBorders>
              <w:top w:val="nil"/>
              <w:left w:val="single" w:color="auto" w:sz="8" w:space="0"/>
              <w:right w:val="single" w:color="auto" w:sz="4" w:space="0"/>
            </w:tcBorders>
            <w:shd w:val="clear" w:color="000000" w:fill="FFFFFF"/>
            <w:vAlign w:val="center"/>
          </w:tcPr>
          <w:p>
            <w:pPr>
              <w:widowControl/>
              <w:adjustRightInd/>
              <w:spacing w:after="240" w:line="240" w:lineRule="auto"/>
              <w:jc w:val="both"/>
              <w:rPr>
                <w:rFonts w:hint="default" w:ascii="宋体" w:hAnsi="宋体" w:eastAsia="宋体" w:cs="宋体"/>
                <w:color w:val="auto"/>
                <w:kern w:val="0"/>
                <w:sz w:val="20"/>
                <w:szCs w:val="20"/>
                <w:lang w:val="en-US" w:eastAsia="zh-CN"/>
              </w:rPr>
            </w:pPr>
            <w:r>
              <w:rPr>
                <w:rFonts w:hint="eastAsia" w:ascii="宋体" w:hAnsi="宋体" w:eastAsia="宋体" w:cs="宋体"/>
                <w:color w:val="auto"/>
                <w:kern w:val="0"/>
                <w:sz w:val="20"/>
                <w:szCs w:val="20"/>
                <w:lang w:val="en-US" w:eastAsia="zh-CN"/>
              </w:rPr>
              <w:t>一般项目</w:t>
            </w: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1</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外观质量</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color w:val="auto"/>
                <w:kern w:val="0"/>
                <w:sz w:val="20"/>
                <w:szCs w:val="20"/>
                <w:lang w:val="en-US"/>
              </w:rPr>
            </w:pPr>
            <w:r>
              <w:rPr>
                <w:rFonts w:hint="eastAsia" w:ascii="宋体" w:hAnsi="宋体" w:cs="宋体"/>
                <w:color w:val="auto"/>
                <w:kern w:val="0"/>
                <w:sz w:val="20"/>
                <w:szCs w:val="20"/>
                <w:lang w:val="en-US" w:eastAsia="zh-CN"/>
              </w:rPr>
              <w:t>7.3.6</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08" w:hRule="atLeast"/>
        </w:trPr>
        <w:tc>
          <w:tcPr>
            <w:tcW w:w="416" w:type="dxa"/>
            <w:vMerge w:val="continue"/>
            <w:tcBorders>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rPr>
              <w:t>2</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lang w:val="en-US" w:eastAsia="zh-CN"/>
              </w:rPr>
              <w:t>安装精度</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lang w:val="en-US" w:eastAsia="zh-CN"/>
              </w:rPr>
              <w:t>7.3.7</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eastAsiaTheme="minorEastAsia"/>
                <w:color w:val="auto"/>
                <w:kern w:val="0"/>
                <w:sz w:val="20"/>
                <w:szCs w:val="20"/>
                <w:lang w:val="en-US" w:eastAsia="zh-CN" w:bidi="ar-SA"/>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both"/>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254" w:hRule="atLeast"/>
        </w:trPr>
        <w:tc>
          <w:tcPr>
            <w:tcW w:w="3144" w:type="dxa"/>
            <w:gridSpan w:val="4"/>
            <w:vMerge w:val="restart"/>
            <w:tcBorders>
              <w:top w:val="single" w:color="auto" w:sz="4" w:space="0"/>
              <w:left w:val="single" w:color="auto" w:sz="8" w:space="0"/>
              <w:bottom w:val="single" w:color="auto" w:sz="4" w:space="0"/>
              <w:right w:val="single" w:color="auto" w:sz="4" w:space="0"/>
            </w:tcBorders>
            <w:shd w:val="clear" w:color="000000" w:fill="FFFFFF"/>
            <w:vAlign w:val="center"/>
          </w:tcPr>
          <w:p>
            <w:pPr>
              <w:widowControl/>
              <w:adjustRightInd/>
              <w:spacing w:after="240"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施工单位</w:t>
            </w:r>
          </w:p>
          <w:p>
            <w:pPr>
              <w:widowControl/>
              <w:adjustRightInd/>
              <w:spacing w:after="240" w:line="240" w:lineRule="auto"/>
              <w:jc w:val="center"/>
              <w:rPr>
                <w:rFonts w:ascii="宋体" w:hAnsi="宋体" w:cs="宋体"/>
                <w:color w:val="auto"/>
                <w:kern w:val="0"/>
                <w:sz w:val="20"/>
                <w:szCs w:val="20"/>
              </w:rPr>
            </w:pPr>
            <w:r>
              <w:rPr>
                <w:rFonts w:hint="eastAsia" w:ascii="宋体" w:hAnsi="宋体" w:cs="宋体"/>
                <w:color w:val="auto"/>
                <w:kern w:val="0"/>
                <w:sz w:val="20"/>
                <w:szCs w:val="20"/>
              </w:rPr>
              <w:t>检查结果</w:t>
            </w:r>
          </w:p>
        </w:tc>
        <w:tc>
          <w:tcPr>
            <w:tcW w:w="3077" w:type="dxa"/>
            <w:gridSpan w:val="6"/>
            <w:vMerge w:val="restart"/>
            <w:tcBorders>
              <w:top w:val="nil"/>
              <w:left w:val="single" w:color="auto" w:sz="4" w:space="0"/>
              <w:bottom w:val="single" w:color="000000"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24" w:type="dxa"/>
            <w:gridSpan w:val="4"/>
            <w:tcBorders>
              <w:top w:val="single" w:color="auto" w:sz="4" w:space="0"/>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专业工长：</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项目专业质量检查员：</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3124" w:type="dxa"/>
            <w:gridSpan w:val="4"/>
            <w:tcBorders>
              <w:top w:val="nil"/>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xml:space="preserve">    年  月  日</w:t>
            </w:r>
          </w:p>
        </w:tc>
      </w:tr>
      <w:tr>
        <w:tblPrEx>
          <w:tblCellMar>
            <w:top w:w="0" w:type="dxa"/>
            <w:left w:w="108" w:type="dxa"/>
            <w:bottom w:w="0" w:type="dxa"/>
            <w:right w:w="108" w:type="dxa"/>
          </w:tblCellMar>
        </w:tblPrEx>
        <w:trPr>
          <w:trHeight w:val="414" w:hRule="atLeast"/>
        </w:trPr>
        <w:tc>
          <w:tcPr>
            <w:tcW w:w="3144" w:type="dxa"/>
            <w:gridSpan w:val="4"/>
            <w:vMerge w:val="restart"/>
            <w:tcBorders>
              <w:top w:val="single" w:color="auto" w:sz="4" w:space="0"/>
              <w:left w:val="single" w:color="auto" w:sz="8" w:space="0"/>
              <w:bottom w:val="single" w:color="000000" w:sz="8" w:space="0"/>
              <w:right w:val="single" w:color="auto" w:sz="4" w:space="0"/>
            </w:tcBorders>
            <w:shd w:val="clear" w:color="000000" w:fill="FFFFFF"/>
            <w:vAlign w:val="center"/>
          </w:tcPr>
          <w:p>
            <w:pPr>
              <w:widowControl/>
              <w:adjustRightInd/>
              <w:spacing w:after="240"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监理单位</w:t>
            </w:r>
          </w:p>
          <w:p>
            <w:pPr>
              <w:widowControl/>
              <w:adjustRightInd/>
              <w:spacing w:after="240"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验收结论</w:t>
            </w:r>
          </w:p>
        </w:tc>
        <w:tc>
          <w:tcPr>
            <w:tcW w:w="3077" w:type="dxa"/>
            <w:gridSpan w:val="6"/>
            <w:vMerge w:val="restart"/>
            <w:tcBorders>
              <w:top w:val="single" w:color="auto" w:sz="4" w:space="0"/>
              <w:left w:val="single" w:color="auto" w:sz="4" w:space="0"/>
              <w:bottom w:val="single" w:color="000000" w:sz="8"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24" w:type="dxa"/>
            <w:gridSpan w:val="4"/>
            <w:tcBorders>
              <w:top w:val="single" w:color="auto" w:sz="4" w:space="0"/>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3144" w:type="dxa"/>
            <w:gridSpan w:val="4"/>
            <w:vMerge w:val="continue"/>
            <w:tcBorders>
              <w:top w:val="single" w:color="auto" w:sz="4" w:space="0"/>
              <w:left w:val="single" w:color="auto" w:sz="8" w:space="0"/>
              <w:bottom w:val="single" w:color="000000"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single" w:color="auto" w:sz="4" w:space="0"/>
              <w:left w:val="single" w:color="auto" w:sz="4" w:space="0"/>
              <w:bottom w:val="single" w:color="000000" w:sz="8"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专业监理工程师：</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3144" w:type="dxa"/>
            <w:gridSpan w:val="4"/>
            <w:vMerge w:val="continue"/>
            <w:tcBorders>
              <w:top w:val="single" w:color="auto" w:sz="4" w:space="0"/>
              <w:left w:val="single" w:color="auto" w:sz="8" w:space="0"/>
              <w:bottom w:val="single" w:color="000000"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single" w:color="auto" w:sz="4" w:space="0"/>
              <w:left w:val="single" w:color="auto" w:sz="4" w:space="0"/>
              <w:bottom w:val="single" w:color="000000" w:sz="8" w:space="0"/>
              <w:right w:val="nil"/>
            </w:tcBorders>
            <w:vAlign w:val="center"/>
          </w:tcPr>
          <w:p>
            <w:pPr>
              <w:widowControl/>
              <w:adjustRightInd/>
              <w:spacing w:line="240" w:lineRule="auto"/>
              <w:rPr>
                <w:rFonts w:ascii="宋体" w:hAnsi="宋体" w:cs="宋体"/>
                <w:color w:val="auto"/>
                <w:kern w:val="0"/>
                <w:sz w:val="20"/>
                <w:szCs w:val="20"/>
              </w:rPr>
            </w:pPr>
          </w:p>
        </w:tc>
        <w:tc>
          <w:tcPr>
            <w:tcW w:w="3124" w:type="dxa"/>
            <w:gridSpan w:val="4"/>
            <w:tcBorders>
              <w:top w:val="nil"/>
              <w:left w:val="nil"/>
              <w:bottom w:val="single" w:color="auto" w:sz="8"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xml:space="preserve">    年  月  日</w:t>
            </w:r>
          </w:p>
        </w:tc>
      </w:tr>
    </w:tbl>
    <w:p>
      <w:pPr>
        <w:rPr>
          <w:rFonts w:hint="eastAsia"/>
          <w:color w:val="auto"/>
          <w:lang w:val="en-US" w:eastAsia="zh-CN"/>
        </w:rPr>
      </w:pPr>
      <w:r>
        <w:rPr>
          <w:rFonts w:hint="eastAsia"/>
          <w:color w:val="auto"/>
          <w:lang w:val="en-US" w:eastAsia="zh-CN"/>
        </w:rPr>
        <w:t>附表2     GRG制作安装分项工程检验批质量验收记录</w:t>
      </w:r>
    </w:p>
    <w:p>
      <w:pPr>
        <w:rPr>
          <w:rFonts w:hint="default"/>
          <w:color w:val="auto"/>
          <w:lang w:val="en-US" w:eastAsia="zh-CN"/>
        </w:rPr>
      </w:pPr>
    </w:p>
    <w:tbl>
      <w:tblPr>
        <w:tblStyle w:val="16"/>
        <w:tblpPr w:leftFromText="180" w:rightFromText="180" w:vertAnchor="text" w:horzAnchor="page" w:tblpX="656" w:tblpY="496"/>
        <w:tblOverlap w:val="never"/>
        <w:tblW w:w="9345" w:type="dxa"/>
        <w:tblInd w:w="0" w:type="dxa"/>
        <w:tblLayout w:type="fixed"/>
        <w:tblCellMar>
          <w:top w:w="0" w:type="dxa"/>
          <w:left w:w="108" w:type="dxa"/>
          <w:bottom w:w="0" w:type="dxa"/>
          <w:right w:w="108" w:type="dxa"/>
        </w:tblCellMar>
      </w:tblPr>
      <w:tblGrid>
        <w:gridCol w:w="416"/>
        <w:gridCol w:w="316"/>
        <w:gridCol w:w="1055"/>
        <w:gridCol w:w="1357"/>
        <w:gridCol w:w="868"/>
        <w:gridCol w:w="745"/>
        <w:gridCol w:w="400"/>
        <w:gridCol w:w="316"/>
        <w:gridCol w:w="340"/>
        <w:gridCol w:w="408"/>
        <w:gridCol w:w="701"/>
        <w:gridCol w:w="1427"/>
        <w:gridCol w:w="240"/>
        <w:gridCol w:w="756"/>
      </w:tblGrid>
      <w:tr>
        <w:tblPrEx>
          <w:tblCellMar>
            <w:top w:w="0" w:type="dxa"/>
            <w:left w:w="108" w:type="dxa"/>
            <w:bottom w:w="0" w:type="dxa"/>
            <w:right w:w="108" w:type="dxa"/>
          </w:tblCellMar>
        </w:tblPrEx>
        <w:trPr>
          <w:trHeight w:val="584" w:hRule="atLeast"/>
        </w:trPr>
        <w:tc>
          <w:tcPr>
            <w:tcW w:w="9345" w:type="dxa"/>
            <w:gridSpan w:val="14"/>
            <w:tcBorders>
              <w:top w:val="nil"/>
              <w:left w:val="nil"/>
              <w:bottom w:val="nil"/>
              <w:right w:val="nil"/>
            </w:tcBorders>
            <w:shd w:val="clear" w:color="000000" w:fill="FFFFFF"/>
            <w:vAlign w:val="center"/>
          </w:tcPr>
          <w:p>
            <w:pPr>
              <w:widowControl/>
              <w:adjustRightInd/>
              <w:spacing w:line="240" w:lineRule="auto"/>
              <w:ind w:firstLine="2650" w:firstLineChars="1100"/>
              <w:jc w:val="both"/>
              <w:rPr>
                <w:rFonts w:ascii="宋体" w:hAnsi="宋体" w:cs="宋体"/>
                <w:b/>
                <w:bCs/>
                <w:color w:val="auto"/>
                <w:kern w:val="0"/>
                <w:sz w:val="36"/>
                <w:szCs w:val="36"/>
              </w:rPr>
            </w:pPr>
            <w:r>
              <w:rPr>
                <w:rFonts w:hint="eastAsia" w:ascii="宋体" w:hAnsi="宋体" w:cs="宋体"/>
                <w:b/>
                <w:bCs/>
                <w:color w:val="auto"/>
                <w:kern w:val="0"/>
                <w:sz w:val="24"/>
                <w:szCs w:val="24"/>
                <w:u w:val="single"/>
                <w:lang w:val="en-US" w:eastAsia="zh-CN"/>
              </w:rPr>
              <w:t xml:space="preserve">辅 材 </w:t>
            </w:r>
            <w:r>
              <w:rPr>
                <w:rFonts w:hint="eastAsia" w:ascii="宋体" w:hAnsi="宋体" w:cs="宋体"/>
                <w:b/>
                <w:bCs/>
                <w:color w:val="auto"/>
                <w:kern w:val="0"/>
                <w:sz w:val="24"/>
                <w:szCs w:val="24"/>
                <w:lang w:val="en-US" w:eastAsia="zh-CN"/>
              </w:rPr>
              <w:t>分项工程</w:t>
            </w:r>
            <w:r>
              <w:rPr>
                <w:rFonts w:hint="eastAsia" w:ascii="宋体" w:hAnsi="宋体" w:cs="宋体"/>
                <w:b/>
                <w:bCs/>
                <w:color w:val="auto"/>
                <w:kern w:val="0"/>
                <w:sz w:val="24"/>
                <w:szCs w:val="24"/>
              </w:rPr>
              <w:t>检验批质量验收记录</w:t>
            </w:r>
          </w:p>
        </w:tc>
      </w:tr>
      <w:tr>
        <w:tblPrEx>
          <w:tblCellMar>
            <w:top w:w="0" w:type="dxa"/>
            <w:left w:w="108" w:type="dxa"/>
            <w:bottom w:w="0" w:type="dxa"/>
            <w:right w:w="108" w:type="dxa"/>
          </w:tblCellMar>
        </w:tblPrEx>
        <w:trPr>
          <w:trHeight w:val="66" w:hRule="atLeast"/>
        </w:trPr>
        <w:tc>
          <w:tcPr>
            <w:tcW w:w="9345" w:type="dxa"/>
            <w:gridSpan w:val="14"/>
            <w:tcBorders>
              <w:top w:val="nil"/>
              <w:left w:val="nil"/>
              <w:bottom w:val="single" w:color="auto" w:sz="8" w:space="0"/>
              <w:right w:val="nil"/>
            </w:tcBorders>
            <w:shd w:val="clear" w:color="000000" w:fill="FFFFFF"/>
            <w:vAlign w:val="bottom"/>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 xml:space="preserve">                                                                        编号：</w:t>
            </w:r>
          </w:p>
        </w:tc>
      </w:tr>
      <w:tr>
        <w:tblPrEx>
          <w:tblCellMar>
            <w:top w:w="0" w:type="dxa"/>
            <w:left w:w="108" w:type="dxa"/>
            <w:bottom w:w="0" w:type="dxa"/>
            <w:right w:w="108" w:type="dxa"/>
          </w:tblCellMar>
        </w:tblPrEx>
        <w:trPr>
          <w:trHeight w:val="414" w:hRule="atLeast"/>
        </w:trPr>
        <w:tc>
          <w:tcPr>
            <w:tcW w:w="1787" w:type="dxa"/>
            <w:gridSpan w:val="3"/>
            <w:tcBorders>
              <w:top w:val="single" w:color="auto" w:sz="8"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单位（子单位）</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工程名称</w:t>
            </w:r>
          </w:p>
        </w:tc>
        <w:tc>
          <w:tcPr>
            <w:tcW w:w="2225" w:type="dxa"/>
            <w:gridSpan w:val="2"/>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分部（子分部）工程名称</w:t>
            </w:r>
          </w:p>
        </w:tc>
        <w:tc>
          <w:tcPr>
            <w:tcW w:w="1449" w:type="dxa"/>
            <w:gridSpan w:val="3"/>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1427" w:type="dxa"/>
            <w:tcBorders>
              <w:top w:val="single" w:color="auto" w:sz="8"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分项工程名称</w:t>
            </w:r>
          </w:p>
        </w:tc>
        <w:tc>
          <w:tcPr>
            <w:tcW w:w="996" w:type="dxa"/>
            <w:gridSpan w:val="2"/>
            <w:tcBorders>
              <w:top w:val="single" w:color="auto" w:sz="8"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施工单位</w:t>
            </w:r>
          </w:p>
        </w:tc>
        <w:tc>
          <w:tcPr>
            <w:tcW w:w="2225"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项目负责人</w:t>
            </w: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27" w:type="dxa"/>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检验批容量</w:t>
            </w:r>
          </w:p>
        </w:tc>
        <w:tc>
          <w:tcPr>
            <w:tcW w:w="996" w:type="dxa"/>
            <w:gridSpan w:val="2"/>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分包单位</w:t>
            </w:r>
          </w:p>
        </w:tc>
        <w:tc>
          <w:tcPr>
            <w:tcW w:w="2225"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61"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分包单位</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项目负责人</w:t>
            </w: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1427" w:type="dxa"/>
            <w:tcBorders>
              <w:top w:val="nil"/>
              <w:left w:val="nil"/>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检验批部位</w:t>
            </w:r>
          </w:p>
        </w:tc>
        <w:tc>
          <w:tcPr>
            <w:tcW w:w="996" w:type="dxa"/>
            <w:gridSpan w:val="2"/>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1787" w:type="dxa"/>
            <w:gridSpan w:val="3"/>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施工依据</w:t>
            </w:r>
          </w:p>
        </w:tc>
        <w:tc>
          <w:tcPr>
            <w:tcW w:w="3686" w:type="dxa"/>
            <w:gridSpan w:val="5"/>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1449"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验收依据</w:t>
            </w:r>
          </w:p>
        </w:tc>
        <w:tc>
          <w:tcPr>
            <w:tcW w:w="2423" w:type="dxa"/>
            <w:gridSpan w:val="3"/>
            <w:tcBorders>
              <w:top w:val="single" w:color="auto" w:sz="4" w:space="0"/>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r>
      <w:tr>
        <w:tblPrEx>
          <w:tblCellMar>
            <w:top w:w="0" w:type="dxa"/>
            <w:left w:w="108" w:type="dxa"/>
            <w:bottom w:w="0" w:type="dxa"/>
            <w:right w:w="108" w:type="dxa"/>
          </w:tblCellMar>
        </w:tblPrEx>
        <w:trPr>
          <w:trHeight w:val="377" w:hRule="atLeast"/>
        </w:trPr>
        <w:tc>
          <w:tcPr>
            <w:tcW w:w="3144" w:type="dxa"/>
            <w:gridSpan w:val="4"/>
            <w:tcBorders>
              <w:top w:val="single" w:color="auto" w:sz="4" w:space="0"/>
              <w:left w:val="single" w:color="auto" w:sz="8" w:space="0"/>
              <w:bottom w:val="single" w:color="auto" w:sz="4" w:space="0"/>
              <w:right w:val="single" w:color="000000"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验收项目</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设计要求及</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lang w:val="en-US" w:eastAsia="zh-CN"/>
              </w:rPr>
              <w:t>标准</w:t>
            </w:r>
            <w:r>
              <w:rPr>
                <w:rFonts w:hint="eastAsia" w:ascii="宋体" w:hAnsi="宋体" w:cs="宋体"/>
                <w:color w:val="auto"/>
                <w:kern w:val="0"/>
                <w:sz w:val="20"/>
                <w:szCs w:val="20"/>
              </w:rPr>
              <w:t>规定</w:t>
            </w:r>
          </w:p>
        </w:tc>
        <w:tc>
          <w:tcPr>
            <w:tcW w:w="1056" w:type="dxa"/>
            <w:gridSpan w:val="3"/>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最小/实际抽样数量</w:t>
            </w: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检查记录</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检查</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结果</w:t>
            </w:r>
          </w:p>
        </w:tc>
      </w:tr>
      <w:tr>
        <w:tblPrEx>
          <w:tblCellMar>
            <w:top w:w="0" w:type="dxa"/>
            <w:left w:w="108" w:type="dxa"/>
            <w:bottom w:w="0" w:type="dxa"/>
            <w:right w:w="108" w:type="dxa"/>
          </w:tblCellMar>
        </w:tblPrEx>
        <w:trPr>
          <w:trHeight w:val="699" w:hRule="atLeast"/>
        </w:trPr>
        <w:tc>
          <w:tcPr>
            <w:tcW w:w="416" w:type="dxa"/>
            <w:vMerge w:val="restart"/>
            <w:tcBorders>
              <w:top w:val="nil"/>
              <w:left w:val="single" w:color="auto" w:sz="8" w:space="0"/>
              <w:right w:val="single" w:color="auto" w:sz="4" w:space="0"/>
            </w:tcBorders>
            <w:shd w:val="clear" w:color="000000" w:fill="FFFFFF"/>
            <w:vAlign w:val="center"/>
          </w:tcPr>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主</w:t>
            </w:r>
          </w:p>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控</w:t>
            </w:r>
          </w:p>
          <w:p>
            <w:pPr>
              <w:widowControl/>
              <w:adjustRightInd/>
              <w:spacing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项</w:t>
            </w:r>
          </w:p>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目</w:t>
            </w: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1</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材料进场</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7.4.1</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769" w:hRule="atLeast"/>
        </w:trPr>
        <w:tc>
          <w:tcPr>
            <w:tcW w:w="416" w:type="dxa"/>
            <w:vMerge w:val="continue"/>
            <w:tcBorders>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rPr>
              <w:t>2</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lang w:val="en-US" w:eastAsia="zh-CN"/>
              </w:rPr>
              <w:t>材料复试</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lang w:val="en-US" w:eastAsia="zh-CN"/>
              </w:rPr>
              <w:t>7.4.2</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eastAsiaTheme="minorEastAsia"/>
                <w:color w:val="auto"/>
                <w:kern w:val="0"/>
                <w:sz w:val="20"/>
                <w:szCs w:val="20"/>
                <w:lang w:val="en-US" w:eastAsia="zh-CN" w:bidi="ar-SA"/>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hint="eastAsia" w:ascii="宋体" w:hAnsi="宋体" w:cs="宋体" w:eastAsiaTheme="minorEastAsia"/>
                <w:color w:val="auto"/>
                <w:kern w:val="0"/>
                <w:sz w:val="20"/>
                <w:szCs w:val="20"/>
                <w:lang w:val="en-US" w:eastAsia="zh-CN" w:bidi="ar-SA"/>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eastAsiaTheme="minorEastAsia"/>
                <w:color w:val="auto"/>
                <w:kern w:val="0"/>
                <w:sz w:val="20"/>
                <w:szCs w:val="20"/>
                <w:lang w:val="en-US" w:eastAsia="zh-CN" w:bidi="ar-SA"/>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hint="eastAsia" w:ascii="宋体" w:hAnsi="宋体" w:cs="宋体"/>
                <w:color w:val="auto"/>
                <w:kern w:val="0"/>
                <w:sz w:val="20"/>
                <w:szCs w:val="20"/>
              </w:rPr>
            </w:pPr>
          </w:p>
        </w:tc>
      </w:tr>
      <w:tr>
        <w:tblPrEx>
          <w:tblCellMar>
            <w:top w:w="0" w:type="dxa"/>
            <w:left w:w="108" w:type="dxa"/>
            <w:bottom w:w="0" w:type="dxa"/>
            <w:right w:w="108" w:type="dxa"/>
          </w:tblCellMar>
        </w:tblPrEx>
        <w:trPr>
          <w:trHeight w:val="349" w:hRule="atLeast"/>
        </w:trPr>
        <w:tc>
          <w:tcPr>
            <w:tcW w:w="416" w:type="dxa"/>
            <w:vMerge w:val="restart"/>
            <w:tcBorders>
              <w:top w:val="nil"/>
              <w:left w:val="single" w:color="auto" w:sz="8" w:space="0"/>
              <w:right w:val="single" w:color="auto" w:sz="4" w:space="0"/>
            </w:tcBorders>
            <w:shd w:val="clear" w:color="000000" w:fill="FFFFFF"/>
            <w:vAlign w:val="center"/>
          </w:tcPr>
          <w:p>
            <w:pPr>
              <w:widowControl/>
              <w:adjustRightInd/>
              <w:spacing w:after="240" w:line="240" w:lineRule="auto"/>
              <w:jc w:val="both"/>
              <w:rPr>
                <w:rFonts w:hint="default" w:ascii="宋体" w:hAnsi="宋体" w:eastAsia="宋体" w:cs="宋体"/>
                <w:color w:val="auto"/>
                <w:kern w:val="0"/>
                <w:sz w:val="20"/>
                <w:szCs w:val="20"/>
                <w:lang w:val="en-US" w:eastAsia="zh-CN"/>
              </w:rPr>
            </w:pPr>
            <w:r>
              <w:rPr>
                <w:rFonts w:hint="eastAsia" w:ascii="宋体" w:hAnsi="宋体" w:eastAsia="宋体" w:cs="宋体"/>
                <w:color w:val="auto"/>
                <w:kern w:val="0"/>
                <w:sz w:val="20"/>
                <w:szCs w:val="20"/>
                <w:lang w:val="en-US" w:eastAsia="zh-CN"/>
              </w:rPr>
              <w:t>一般项目</w:t>
            </w: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1</w:t>
            </w: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r>
              <w:rPr>
                <w:rFonts w:hint="eastAsia" w:ascii="宋体" w:hAnsi="宋体" w:cs="宋体"/>
                <w:color w:val="auto"/>
                <w:kern w:val="0"/>
                <w:sz w:val="20"/>
                <w:szCs w:val="20"/>
                <w:lang w:val="en-US" w:eastAsia="zh-CN"/>
              </w:rPr>
              <w:t>外观质量及尺寸偏差</w:t>
            </w: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color w:val="auto"/>
                <w:kern w:val="0"/>
                <w:sz w:val="20"/>
                <w:szCs w:val="20"/>
                <w:lang w:val="en-US"/>
              </w:rPr>
            </w:pPr>
            <w:r>
              <w:rPr>
                <w:rFonts w:hint="eastAsia" w:ascii="宋体" w:hAnsi="宋体" w:cs="宋体"/>
                <w:color w:val="auto"/>
                <w:kern w:val="0"/>
                <w:sz w:val="20"/>
                <w:szCs w:val="20"/>
                <w:lang w:val="en-US" w:eastAsia="zh-CN"/>
              </w:rPr>
              <w:t>7.4.3</w:t>
            </w: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w:t>
            </w: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color w:val="auto"/>
                <w:kern w:val="0"/>
                <w:sz w:val="20"/>
                <w:szCs w:val="20"/>
                <w:lang w:val="en-US"/>
              </w:rPr>
            </w:pP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49" w:hRule="atLeast"/>
        </w:trPr>
        <w:tc>
          <w:tcPr>
            <w:tcW w:w="416" w:type="dxa"/>
            <w:vMerge w:val="continue"/>
            <w:tcBorders>
              <w:left w:val="single" w:color="auto"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08" w:hRule="atLeast"/>
        </w:trPr>
        <w:tc>
          <w:tcPr>
            <w:tcW w:w="416" w:type="dxa"/>
            <w:vMerge w:val="continue"/>
            <w:tcBorders>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16"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412"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rPr>
                <w:rFonts w:hint="default" w:ascii="宋体" w:hAnsi="宋体" w:cs="宋体" w:eastAsiaTheme="minorEastAsia"/>
                <w:color w:val="auto"/>
                <w:kern w:val="0"/>
                <w:sz w:val="20"/>
                <w:szCs w:val="20"/>
                <w:lang w:val="en-US" w:eastAsia="zh-CN"/>
              </w:rPr>
            </w:pPr>
          </w:p>
        </w:tc>
        <w:tc>
          <w:tcPr>
            <w:tcW w:w="1613" w:type="dxa"/>
            <w:gridSpan w:val="2"/>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center"/>
              <w:rPr>
                <w:rFonts w:hint="default" w:ascii="宋体" w:hAnsi="宋体" w:cs="宋体" w:eastAsiaTheme="minorEastAsia"/>
                <w:color w:val="auto"/>
                <w:kern w:val="0"/>
                <w:sz w:val="20"/>
                <w:szCs w:val="20"/>
                <w:lang w:val="en-US" w:eastAsia="zh-CN"/>
              </w:rPr>
            </w:pPr>
          </w:p>
        </w:tc>
        <w:tc>
          <w:tcPr>
            <w:tcW w:w="400"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16" w:type="dxa"/>
            <w:tcBorders>
              <w:top w:val="nil"/>
              <w:left w:val="nil"/>
              <w:bottom w:val="single" w:color="auto"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340" w:type="dxa"/>
            <w:tcBorders>
              <w:top w:val="nil"/>
              <w:left w:val="nil"/>
              <w:bottom w:val="single" w:color="auto" w:sz="4" w:space="0"/>
              <w:right w:val="single" w:color="auto" w:sz="4"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p>
        </w:tc>
        <w:tc>
          <w:tcPr>
            <w:tcW w:w="2776" w:type="dxa"/>
            <w:gridSpan w:val="4"/>
            <w:tcBorders>
              <w:top w:val="single" w:color="auto" w:sz="4" w:space="0"/>
              <w:left w:val="nil"/>
              <w:bottom w:val="single" w:color="auto" w:sz="4" w:space="0"/>
              <w:right w:val="single" w:color="auto" w:sz="4" w:space="0"/>
            </w:tcBorders>
            <w:shd w:val="clear" w:color="000000" w:fill="FFFFFF"/>
            <w:vAlign w:val="center"/>
          </w:tcPr>
          <w:p>
            <w:pPr>
              <w:widowControl/>
              <w:adjustRightInd/>
              <w:spacing w:line="240" w:lineRule="auto"/>
              <w:jc w:val="both"/>
              <w:rPr>
                <w:rFonts w:ascii="宋体" w:hAnsi="宋体" w:cs="宋体"/>
                <w:color w:val="auto"/>
                <w:kern w:val="0"/>
                <w:sz w:val="20"/>
                <w:szCs w:val="20"/>
              </w:rPr>
            </w:pPr>
            <w:r>
              <w:rPr>
                <w:rFonts w:hint="eastAsia" w:ascii="宋体" w:hAnsi="宋体" w:cs="宋体"/>
                <w:color w:val="auto"/>
                <w:kern w:val="0"/>
                <w:sz w:val="20"/>
                <w:szCs w:val="20"/>
              </w:rPr>
              <w:t>　</w:t>
            </w:r>
          </w:p>
        </w:tc>
        <w:tc>
          <w:tcPr>
            <w:tcW w:w="756" w:type="dxa"/>
            <w:tcBorders>
              <w:top w:val="nil"/>
              <w:left w:val="nil"/>
              <w:bottom w:val="single" w:color="auto" w:sz="4" w:space="0"/>
              <w:right w:val="single" w:color="auto"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254" w:hRule="atLeast"/>
        </w:trPr>
        <w:tc>
          <w:tcPr>
            <w:tcW w:w="3144" w:type="dxa"/>
            <w:gridSpan w:val="4"/>
            <w:vMerge w:val="restart"/>
            <w:tcBorders>
              <w:top w:val="single" w:color="auto" w:sz="4" w:space="0"/>
              <w:left w:val="single" w:color="auto" w:sz="8" w:space="0"/>
              <w:bottom w:val="single" w:color="auto" w:sz="4" w:space="0"/>
              <w:right w:val="single" w:color="auto" w:sz="4" w:space="0"/>
            </w:tcBorders>
            <w:shd w:val="clear" w:color="000000" w:fill="FFFFFF"/>
            <w:vAlign w:val="center"/>
          </w:tcPr>
          <w:p>
            <w:pPr>
              <w:widowControl/>
              <w:adjustRightInd/>
              <w:spacing w:after="240"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施工单位</w:t>
            </w:r>
          </w:p>
          <w:p>
            <w:pPr>
              <w:widowControl/>
              <w:adjustRightInd/>
              <w:spacing w:after="240" w:line="240" w:lineRule="auto"/>
              <w:jc w:val="center"/>
              <w:rPr>
                <w:rFonts w:ascii="宋体" w:hAnsi="宋体" w:cs="宋体"/>
                <w:color w:val="auto"/>
                <w:kern w:val="0"/>
                <w:sz w:val="20"/>
                <w:szCs w:val="20"/>
              </w:rPr>
            </w:pPr>
            <w:r>
              <w:rPr>
                <w:rFonts w:hint="eastAsia" w:ascii="宋体" w:hAnsi="宋体" w:cs="宋体"/>
                <w:color w:val="auto"/>
                <w:kern w:val="0"/>
                <w:sz w:val="20"/>
                <w:szCs w:val="20"/>
              </w:rPr>
              <w:t>检查结果</w:t>
            </w:r>
          </w:p>
        </w:tc>
        <w:tc>
          <w:tcPr>
            <w:tcW w:w="3077" w:type="dxa"/>
            <w:gridSpan w:val="6"/>
            <w:vMerge w:val="restart"/>
            <w:tcBorders>
              <w:top w:val="nil"/>
              <w:left w:val="single" w:color="auto" w:sz="4" w:space="0"/>
              <w:bottom w:val="single" w:color="000000" w:sz="4"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24" w:type="dxa"/>
            <w:gridSpan w:val="4"/>
            <w:tcBorders>
              <w:top w:val="single" w:color="auto" w:sz="4" w:space="0"/>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专业工长：</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项目专业质量检查员：</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301" w:hRule="atLeast"/>
        </w:trPr>
        <w:tc>
          <w:tcPr>
            <w:tcW w:w="3144" w:type="dxa"/>
            <w:gridSpan w:val="4"/>
            <w:vMerge w:val="continue"/>
            <w:tcBorders>
              <w:top w:val="single" w:color="auto" w:sz="4" w:space="0"/>
              <w:left w:val="single" w:color="auto" w:sz="8" w:space="0"/>
              <w:bottom w:val="single" w:color="auto" w:sz="4"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nil"/>
              <w:left w:val="single" w:color="auto" w:sz="4" w:space="0"/>
              <w:bottom w:val="single" w:color="000000" w:sz="4" w:space="0"/>
              <w:right w:val="nil"/>
            </w:tcBorders>
            <w:vAlign w:val="center"/>
          </w:tcPr>
          <w:p>
            <w:pPr>
              <w:widowControl/>
              <w:adjustRightInd/>
              <w:spacing w:line="240" w:lineRule="auto"/>
              <w:rPr>
                <w:rFonts w:ascii="宋体" w:hAnsi="宋体" w:cs="宋体"/>
                <w:color w:val="auto"/>
                <w:kern w:val="0"/>
                <w:sz w:val="20"/>
                <w:szCs w:val="20"/>
              </w:rPr>
            </w:pPr>
          </w:p>
        </w:tc>
        <w:tc>
          <w:tcPr>
            <w:tcW w:w="3124" w:type="dxa"/>
            <w:gridSpan w:val="4"/>
            <w:tcBorders>
              <w:top w:val="nil"/>
              <w:left w:val="nil"/>
              <w:bottom w:val="single" w:color="auto" w:sz="4"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xml:space="preserve">    年  月  日</w:t>
            </w:r>
          </w:p>
        </w:tc>
      </w:tr>
      <w:tr>
        <w:tblPrEx>
          <w:tblCellMar>
            <w:top w:w="0" w:type="dxa"/>
            <w:left w:w="108" w:type="dxa"/>
            <w:bottom w:w="0" w:type="dxa"/>
            <w:right w:w="108" w:type="dxa"/>
          </w:tblCellMar>
        </w:tblPrEx>
        <w:trPr>
          <w:trHeight w:val="414" w:hRule="atLeast"/>
        </w:trPr>
        <w:tc>
          <w:tcPr>
            <w:tcW w:w="3144" w:type="dxa"/>
            <w:gridSpan w:val="4"/>
            <w:vMerge w:val="restart"/>
            <w:tcBorders>
              <w:top w:val="single" w:color="auto" w:sz="4" w:space="0"/>
              <w:left w:val="single" w:color="auto" w:sz="8" w:space="0"/>
              <w:bottom w:val="single" w:color="000000" w:sz="8" w:space="0"/>
              <w:right w:val="single" w:color="auto" w:sz="4" w:space="0"/>
            </w:tcBorders>
            <w:shd w:val="clear" w:color="000000" w:fill="FFFFFF"/>
            <w:vAlign w:val="center"/>
          </w:tcPr>
          <w:p>
            <w:pPr>
              <w:widowControl/>
              <w:adjustRightInd/>
              <w:spacing w:after="240" w:line="240" w:lineRule="auto"/>
              <w:jc w:val="center"/>
              <w:rPr>
                <w:rFonts w:hint="eastAsia" w:ascii="宋体" w:hAnsi="宋体" w:eastAsia="宋体" w:cs="宋体"/>
                <w:color w:val="auto"/>
                <w:kern w:val="0"/>
                <w:sz w:val="20"/>
                <w:szCs w:val="20"/>
                <w:lang w:eastAsia="zh-CN"/>
              </w:rPr>
            </w:pPr>
            <w:r>
              <w:rPr>
                <w:rFonts w:hint="eastAsia" w:ascii="宋体" w:hAnsi="宋体" w:cs="宋体"/>
                <w:color w:val="auto"/>
                <w:kern w:val="0"/>
                <w:sz w:val="20"/>
                <w:szCs w:val="20"/>
              </w:rPr>
              <w:t>监理单位</w:t>
            </w:r>
          </w:p>
          <w:p>
            <w:pPr>
              <w:widowControl/>
              <w:adjustRightInd/>
              <w:spacing w:after="240" w:line="240" w:lineRule="auto"/>
              <w:jc w:val="center"/>
              <w:rPr>
                <w:rFonts w:ascii="宋体" w:hAnsi="宋体" w:cs="宋体"/>
                <w:color w:val="auto"/>
                <w:kern w:val="0"/>
                <w:sz w:val="20"/>
                <w:szCs w:val="20"/>
              </w:rPr>
            </w:pPr>
            <w:r>
              <w:rPr>
                <w:rFonts w:hint="eastAsia" w:ascii="宋体" w:hAnsi="宋体" w:cs="宋体"/>
                <w:color w:val="auto"/>
                <w:kern w:val="0"/>
                <w:sz w:val="20"/>
                <w:szCs w:val="20"/>
              </w:rPr>
              <w:t>验收结论</w:t>
            </w:r>
          </w:p>
        </w:tc>
        <w:tc>
          <w:tcPr>
            <w:tcW w:w="3077" w:type="dxa"/>
            <w:gridSpan w:val="6"/>
            <w:vMerge w:val="restart"/>
            <w:tcBorders>
              <w:top w:val="single" w:color="auto" w:sz="4" w:space="0"/>
              <w:left w:val="single" w:color="auto" w:sz="4" w:space="0"/>
              <w:bottom w:val="single" w:color="000000" w:sz="8" w:space="0"/>
              <w:right w:val="nil"/>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c>
          <w:tcPr>
            <w:tcW w:w="3124" w:type="dxa"/>
            <w:gridSpan w:val="4"/>
            <w:tcBorders>
              <w:top w:val="single" w:color="auto" w:sz="4" w:space="0"/>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3144" w:type="dxa"/>
            <w:gridSpan w:val="4"/>
            <w:vMerge w:val="continue"/>
            <w:tcBorders>
              <w:top w:val="single" w:color="auto" w:sz="4" w:space="0"/>
              <w:left w:val="single" w:color="auto" w:sz="8" w:space="0"/>
              <w:bottom w:val="single" w:color="000000"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single" w:color="auto" w:sz="4" w:space="0"/>
              <w:left w:val="single" w:color="auto" w:sz="4" w:space="0"/>
              <w:bottom w:val="single" w:color="000000" w:sz="8" w:space="0"/>
              <w:right w:val="nil"/>
            </w:tcBorders>
            <w:vAlign w:val="center"/>
          </w:tcPr>
          <w:p>
            <w:pPr>
              <w:widowControl/>
              <w:adjustRightInd/>
              <w:spacing w:line="240" w:lineRule="auto"/>
              <w:rPr>
                <w:rFonts w:ascii="宋体" w:hAnsi="宋体" w:cs="宋体"/>
                <w:color w:val="auto"/>
                <w:kern w:val="0"/>
                <w:sz w:val="20"/>
                <w:szCs w:val="20"/>
              </w:rPr>
            </w:pPr>
          </w:p>
        </w:tc>
        <w:tc>
          <w:tcPr>
            <w:tcW w:w="2128" w:type="dxa"/>
            <w:gridSpan w:val="2"/>
            <w:tcBorders>
              <w:top w:val="nil"/>
              <w:left w:val="nil"/>
              <w:bottom w:val="nil"/>
              <w:right w:val="nil"/>
            </w:tcBorders>
            <w:shd w:val="clear" w:color="000000" w:fill="FFFFFF"/>
            <w:vAlign w:val="center"/>
          </w:tcPr>
          <w:p>
            <w:pPr>
              <w:widowControl/>
              <w:adjustRightInd/>
              <w:spacing w:line="240" w:lineRule="auto"/>
              <w:jc w:val="right"/>
              <w:rPr>
                <w:rFonts w:ascii="宋体" w:hAnsi="宋体" w:cs="宋体"/>
                <w:color w:val="auto"/>
                <w:kern w:val="0"/>
                <w:sz w:val="20"/>
                <w:szCs w:val="20"/>
              </w:rPr>
            </w:pPr>
            <w:r>
              <w:rPr>
                <w:rFonts w:hint="eastAsia" w:ascii="宋体" w:hAnsi="宋体" w:cs="宋体"/>
                <w:color w:val="auto"/>
                <w:kern w:val="0"/>
                <w:sz w:val="20"/>
                <w:szCs w:val="20"/>
              </w:rPr>
              <w:t>专业监理工程师：</w:t>
            </w:r>
          </w:p>
        </w:tc>
        <w:tc>
          <w:tcPr>
            <w:tcW w:w="996" w:type="dxa"/>
            <w:gridSpan w:val="2"/>
            <w:tcBorders>
              <w:top w:val="nil"/>
              <w:left w:val="nil"/>
              <w:bottom w:val="nil"/>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w:t>
            </w:r>
          </w:p>
        </w:tc>
      </w:tr>
      <w:tr>
        <w:tblPrEx>
          <w:tblCellMar>
            <w:top w:w="0" w:type="dxa"/>
            <w:left w:w="108" w:type="dxa"/>
            <w:bottom w:w="0" w:type="dxa"/>
            <w:right w:w="108" w:type="dxa"/>
          </w:tblCellMar>
        </w:tblPrEx>
        <w:trPr>
          <w:trHeight w:val="414" w:hRule="atLeast"/>
        </w:trPr>
        <w:tc>
          <w:tcPr>
            <w:tcW w:w="3144" w:type="dxa"/>
            <w:gridSpan w:val="4"/>
            <w:vMerge w:val="continue"/>
            <w:tcBorders>
              <w:top w:val="single" w:color="auto" w:sz="4" w:space="0"/>
              <w:left w:val="single" w:color="auto" w:sz="8" w:space="0"/>
              <w:bottom w:val="single" w:color="000000" w:sz="8" w:space="0"/>
              <w:right w:val="single" w:color="auto" w:sz="4" w:space="0"/>
            </w:tcBorders>
            <w:vAlign w:val="center"/>
          </w:tcPr>
          <w:p>
            <w:pPr>
              <w:widowControl/>
              <w:adjustRightInd/>
              <w:spacing w:line="240" w:lineRule="auto"/>
              <w:rPr>
                <w:rFonts w:ascii="宋体" w:hAnsi="宋体" w:cs="宋体"/>
                <w:color w:val="auto"/>
                <w:kern w:val="0"/>
                <w:sz w:val="20"/>
                <w:szCs w:val="20"/>
              </w:rPr>
            </w:pPr>
          </w:p>
        </w:tc>
        <w:tc>
          <w:tcPr>
            <w:tcW w:w="3077" w:type="dxa"/>
            <w:gridSpan w:val="6"/>
            <w:vMerge w:val="continue"/>
            <w:tcBorders>
              <w:top w:val="single" w:color="auto" w:sz="4" w:space="0"/>
              <w:left w:val="single" w:color="auto" w:sz="4" w:space="0"/>
              <w:bottom w:val="single" w:color="000000" w:sz="8" w:space="0"/>
              <w:right w:val="nil"/>
            </w:tcBorders>
            <w:vAlign w:val="center"/>
          </w:tcPr>
          <w:p>
            <w:pPr>
              <w:widowControl/>
              <w:adjustRightInd/>
              <w:spacing w:line="240" w:lineRule="auto"/>
              <w:rPr>
                <w:rFonts w:ascii="宋体" w:hAnsi="宋体" w:cs="宋体"/>
                <w:color w:val="auto"/>
                <w:kern w:val="0"/>
                <w:sz w:val="20"/>
                <w:szCs w:val="20"/>
              </w:rPr>
            </w:pPr>
          </w:p>
        </w:tc>
        <w:tc>
          <w:tcPr>
            <w:tcW w:w="3124" w:type="dxa"/>
            <w:gridSpan w:val="4"/>
            <w:tcBorders>
              <w:top w:val="nil"/>
              <w:left w:val="nil"/>
              <w:bottom w:val="single" w:color="auto" w:sz="8" w:space="0"/>
              <w:right w:val="single" w:color="000000" w:sz="8" w:space="0"/>
            </w:tcBorders>
            <w:shd w:val="clear" w:color="000000" w:fill="FFFFFF"/>
            <w:vAlign w:val="center"/>
          </w:tcPr>
          <w:p>
            <w:pPr>
              <w:widowControl/>
              <w:adjustRightInd/>
              <w:spacing w:line="240" w:lineRule="auto"/>
              <w:jc w:val="center"/>
              <w:rPr>
                <w:rFonts w:ascii="宋体" w:hAnsi="宋体" w:cs="宋体"/>
                <w:color w:val="auto"/>
                <w:kern w:val="0"/>
                <w:sz w:val="20"/>
                <w:szCs w:val="20"/>
              </w:rPr>
            </w:pPr>
            <w:r>
              <w:rPr>
                <w:rFonts w:hint="eastAsia" w:ascii="宋体" w:hAnsi="宋体" w:cs="宋体"/>
                <w:color w:val="auto"/>
                <w:kern w:val="0"/>
                <w:sz w:val="20"/>
                <w:szCs w:val="20"/>
              </w:rPr>
              <w:t xml:space="preserve">    年  月  日</w:t>
            </w:r>
          </w:p>
        </w:tc>
      </w:tr>
    </w:tbl>
    <w:p>
      <w:pPr>
        <w:rPr>
          <w:rFonts w:hint="default"/>
          <w:color w:val="auto"/>
          <w:lang w:val="en-US" w:eastAsia="zh-CN"/>
        </w:rPr>
      </w:pPr>
      <w:r>
        <w:rPr>
          <w:rFonts w:hint="eastAsia"/>
          <w:color w:val="auto"/>
          <w:lang w:val="en-US" w:eastAsia="zh-CN"/>
        </w:rPr>
        <w:t>附表3</w:t>
      </w:r>
    </w:p>
    <w:p>
      <w:pPr>
        <w:pStyle w:val="21"/>
        <w:numPr>
          <w:ilvl w:val="0"/>
          <w:numId w:val="0"/>
        </w:numPr>
        <w:bidi w:val="0"/>
        <w:ind w:leftChars="0"/>
        <w:jc w:val="both"/>
        <w:rPr>
          <w:rFonts w:hint="eastAsia"/>
          <w:color w:val="auto"/>
        </w:rPr>
      </w:pPr>
    </w:p>
    <w:sectPr>
      <w:footerReference r:id="rId9" w:type="default"/>
      <w:footerReference r:id="rId10" w:type="even"/>
      <w:pgSz w:w="10319" w:h="14571"/>
      <w:pgMar w:top="1440" w:right="1800" w:bottom="1440" w:left="1800" w:header="851" w:footer="992" w:gutter="0"/>
      <w:pgNumType w:fmt="decimal" w:start="1"/>
      <w:cols w:space="425" w:num="1"/>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 wne:kcmPrimary="0433">
      <wne:acd wne:acdName="acd2"/>
    </wne:keymap>
    <wne:keymap wne:kcmPrimary="0434">
      <wne:acd wne:acdName="acd3"/>
    </wne:keymap>
    <wne:keymap wne:kcmPrimary="0435">
      <wne:acd wne:acdName="acd4"/>
    </wne:keymap>
    <wne:keymap wne:kcmPrimary="04C0">
      <wne:acd wne:acdName="acd5"/>
    </wne:keymap>
  </wne:keymaps>
  <wne:acds>
    <wne:acd wne:argValue="AgDgeg==" wne:acdName="acd0" wne:fciIndexBasedOn="0065"/>
    <wne:acd wne:argValue="AgCCgg==" wne:acdName="acd1" wne:fciIndexBasedOn="0065"/>
    <wne:acd wne:argValue="AgBhZw==" wne:acdName="acd2" wne:fciIndexBasedOn="0065"/>
    <wne:acd wne:argValue="AgA+aw==" wne:acdName="acd3" wne:fciIndexBasedOn="0065"/>
    <wne:acd wne:argValue="AgBhZwj/4GWCggn/" wne:acdName="acd4" wne:fciIndexBasedOn="0065"/>
    <wne:acd wne:argValue="AgAHaMZRY2uHZQ==" wne:acdName="acd5"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r>
      <w:rPr>
        <w:sz w:val="18"/>
      </w:rPr>
      <w:pict>
        <v:shape id="_x0000_s4099" o:spid="_x0000_s4099"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w:pict>
        <v:shape id="_x0000_s4100" o:spid="_x0000_s4100"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8"/>
                </w:pPr>
                <w:r>
                  <w:fldChar w:fldCharType="begin"/>
                </w:r>
                <w:r>
                  <w:instrText xml:space="preserve"> PAGE  \* MERGEFORMAT </w:instrText>
                </w:r>
                <w:r>
                  <w:fldChar w:fldCharType="separate"/>
                </w:r>
                <w:r>
                  <w:t>2</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C0480D"/>
    <w:multiLevelType w:val="multilevel"/>
    <w:tmpl w:val="32C0480D"/>
    <w:lvl w:ilvl="0" w:tentative="0">
      <w:start w:val="1"/>
      <w:numFmt w:val="decimal"/>
      <w:pStyle w:val="21"/>
      <w:lvlText w:val="%1"/>
      <w:lvlJc w:val="left"/>
      <w:pPr>
        <w:ind w:left="0" w:firstLine="0"/>
      </w:pPr>
      <w:rPr>
        <w:rFonts w:hint="eastAsia"/>
      </w:rPr>
    </w:lvl>
    <w:lvl w:ilvl="1" w:tentative="0">
      <w:start w:val="1"/>
      <w:numFmt w:val="decimal"/>
      <w:pStyle w:val="22"/>
      <w:lvlText w:val="%1.%2"/>
      <w:lvlJc w:val="left"/>
      <w:pPr>
        <w:ind w:left="0" w:firstLine="425"/>
      </w:pPr>
      <w:rPr>
        <w:rFonts w:hint="eastAsia"/>
      </w:rPr>
    </w:lvl>
    <w:lvl w:ilvl="2" w:tentative="0">
      <w:start w:val="1"/>
      <w:numFmt w:val="decimal"/>
      <w:pStyle w:val="25"/>
      <w:suff w:val="space"/>
      <w:lvlText w:val="%1.0.%3"/>
      <w:lvlJc w:val="left"/>
      <w:pPr>
        <w:ind w:left="0" w:firstLine="0"/>
      </w:pPr>
      <w:rPr>
        <w:rFonts w:hint="eastAsia"/>
      </w:rPr>
    </w:lvl>
    <w:lvl w:ilvl="3" w:tentative="0">
      <w:start w:val="1"/>
      <w:numFmt w:val="decimal"/>
      <w:pStyle w:val="24"/>
      <w:lvlText w:val="%1.%2.%4"/>
      <w:lvlJc w:val="left"/>
      <w:pPr>
        <w:ind w:left="0" w:firstLine="0"/>
      </w:pPr>
      <w:rPr>
        <w:rFonts w:hint="eastAsia"/>
      </w:rPr>
    </w:lvl>
    <w:lvl w:ilvl="4" w:tentative="0">
      <w:start w:val="1"/>
      <w:numFmt w:val="decimal"/>
      <w:pStyle w:val="26"/>
      <w:lvlText w:val="%5"/>
      <w:lvlJc w:val="left"/>
      <w:pPr>
        <w:ind w:left="0" w:firstLine="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AE2106"/>
    <w:rsid w:val="0001282F"/>
    <w:rsid w:val="00015583"/>
    <w:rsid w:val="00045429"/>
    <w:rsid w:val="00067076"/>
    <w:rsid w:val="00070865"/>
    <w:rsid w:val="000A6EC7"/>
    <w:rsid w:val="000A7483"/>
    <w:rsid w:val="000B5FF3"/>
    <w:rsid w:val="000C4072"/>
    <w:rsid w:val="000C4F61"/>
    <w:rsid w:val="000D14CE"/>
    <w:rsid w:val="000E219C"/>
    <w:rsid w:val="000E2466"/>
    <w:rsid w:val="000F7E76"/>
    <w:rsid w:val="00103068"/>
    <w:rsid w:val="00104BAD"/>
    <w:rsid w:val="00105854"/>
    <w:rsid w:val="00140495"/>
    <w:rsid w:val="00174BD4"/>
    <w:rsid w:val="0018508B"/>
    <w:rsid w:val="001B6429"/>
    <w:rsid w:val="001D56B3"/>
    <w:rsid w:val="001D61ED"/>
    <w:rsid w:val="002247F6"/>
    <w:rsid w:val="002379B1"/>
    <w:rsid w:val="00274E2A"/>
    <w:rsid w:val="002908A7"/>
    <w:rsid w:val="002A2AC3"/>
    <w:rsid w:val="002B36D0"/>
    <w:rsid w:val="002B4CA2"/>
    <w:rsid w:val="002B6C04"/>
    <w:rsid w:val="002E2751"/>
    <w:rsid w:val="00332059"/>
    <w:rsid w:val="00337945"/>
    <w:rsid w:val="00352361"/>
    <w:rsid w:val="0036507D"/>
    <w:rsid w:val="003742C1"/>
    <w:rsid w:val="00384EA2"/>
    <w:rsid w:val="003A6243"/>
    <w:rsid w:val="003B47C8"/>
    <w:rsid w:val="003F3295"/>
    <w:rsid w:val="00407286"/>
    <w:rsid w:val="00456557"/>
    <w:rsid w:val="004835B6"/>
    <w:rsid w:val="004A2D73"/>
    <w:rsid w:val="004E60E8"/>
    <w:rsid w:val="005033AB"/>
    <w:rsid w:val="0055487A"/>
    <w:rsid w:val="0056600C"/>
    <w:rsid w:val="0058228C"/>
    <w:rsid w:val="005B5A9B"/>
    <w:rsid w:val="005C32F8"/>
    <w:rsid w:val="005D66DB"/>
    <w:rsid w:val="005E5AC3"/>
    <w:rsid w:val="005E5D09"/>
    <w:rsid w:val="0060386D"/>
    <w:rsid w:val="00603D7B"/>
    <w:rsid w:val="00683E4E"/>
    <w:rsid w:val="00684CC3"/>
    <w:rsid w:val="006A4A4E"/>
    <w:rsid w:val="006B5E89"/>
    <w:rsid w:val="006D2743"/>
    <w:rsid w:val="006D5ED0"/>
    <w:rsid w:val="006E5EDB"/>
    <w:rsid w:val="006F5CA2"/>
    <w:rsid w:val="006F5DA1"/>
    <w:rsid w:val="00723989"/>
    <w:rsid w:val="00753260"/>
    <w:rsid w:val="0076736C"/>
    <w:rsid w:val="00787184"/>
    <w:rsid w:val="007909A9"/>
    <w:rsid w:val="007A6A33"/>
    <w:rsid w:val="007D1301"/>
    <w:rsid w:val="007D2D81"/>
    <w:rsid w:val="0082344D"/>
    <w:rsid w:val="00831278"/>
    <w:rsid w:val="00832ECE"/>
    <w:rsid w:val="008378FF"/>
    <w:rsid w:val="008506BE"/>
    <w:rsid w:val="008C7A37"/>
    <w:rsid w:val="009102DD"/>
    <w:rsid w:val="0091679F"/>
    <w:rsid w:val="00922D8B"/>
    <w:rsid w:val="00925D28"/>
    <w:rsid w:val="00931B0E"/>
    <w:rsid w:val="00942411"/>
    <w:rsid w:val="009425FC"/>
    <w:rsid w:val="009426FF"/>
    <w:rsid w:val="009A0C3B"/>
    <w:rsid w:val="009A5CB4"/>
    <w:rsid w:val="009B7FE2"/>
    <w:rsid w:val="00A073A7"/>
    <w:rsid w:val="00A172F7"/>
    <w:rsid w:val="00A17A81"/>
    <w:rsid w:val="00A3425C"/>
    <w:rsid w:val="00A57E88"/>
    <w:rsid w:val="00A619E7"/>
    <w:rsid w:val="00A63BE8"/>
    <w:rsid w:val="00A93246"/>
    <w:rsid w:val="00AE2106"/>
    <w:rsid w:val="00AE4531"/>
    <w:rsid w:val="00B02294"/>
    <w:rsid w:val="00B05778"/>
    <w:rsid w:val="00B345D2"/>
    <w:rsid w:val="00BA58B3"/>
    <w:rsid w:val="00BF3013"/>
    <w:rsid w:val="00C02BD6"/>
    <w:rsid w:val="00C13E36"/>
    <w:rsid w:val="00C22B70"/>
    <w:rsid w:val="00C45A79"/>
    <w:rsid w:val="00C80626"/>
    <w:rsid w:val="00CA1747"/>
    <w:rsid w:val="00CA2A2A"/>
    <w:rsid w:val="00CB505F"/>
    <w:rsid w:val="00CB77F3"/>
    <w:rsid w:val="00D3515D"/>
    <w:rsid w:val="00D435E5"/>
    <w:rsid w:val="00D57002"/>
    <w:rsid w:val="00DA00E0"/>
    <w:rsid w:val="00DA0BE8"/>
    <w:rsid w:val="00DD3E41"/>
    <w:rsid w:val="00E21411"/>
    <w:rsid w:val="00E26099"/>
    <w:rsid w:val="00E54293"/>
    <w:rsid w:val="00E738DC"/>
    <w:rsid w:val="00EA0D9F"/>
    <w:rsid w:val="00EC2D29"/>
    <w:rsid w:val="00ED345B"/>
    <w:rsid w:val="00EF3ED5"/>
    <w:rsid w:val="00F047B9"/>
    <w:rsid w:val="00F54A07"/>
    <w:rsid w:val="00F55D50"/>
    <w:rsid w:val="00F57550"/>
    <w:rsid w:val="00FA52E0"/>
    <w:rsid w:val="00FB0602"/>
    <w:rsid w:val="00FB562C"/>
    <w:rsid w:val="00FF58F7"/>
    <w:rsid w:val="00FF667B"/>
    <w:rsid w:val="0102762D"/>
    <w:rsid w:val="010A6EAE"/>
    <w:rsid w:val="0129037E"/>
    <w:rsid w:val="015B3054"/>
    <w:rsid w:val="01B15608"/>
    <w:rsid w:val="0286368E"/>
    <w:rsid w:val="02874D52"/>
    <w:rsid w:val="02956E2E"/>
    <w:rsid w:val="02D51B41"/>
    <w:rsid w:val="02D62EBF"/>
    <w:rsid w:val="02F3538A"/>
    <w:rsid w:val="035272B2"/>
    <w:rsid w:val="035F4FC1"/>
    <w:rsid w:val="03D44553"/>
    <w:rsid w:val="03D73D82"/>
    <w:rsid w:val="03D934F6"/>
    <w:rsid w:val="04004921"/>
    <w:rsid w:val="0432329F"/>
    <w:rsid w:val="04324F5B"/>
    <w:rsid w:val="04435DCB"/>
    <w:rsid w:val="04622DFA"/>
    <w:rsid w:val="049250F9"/>
    <w:rsid w:val="04A36F69"/>
    <w:rsid w:val="05533A19"/>
    <w:rsid w:val="05780A0D"/>
    <w:rsid w:val="057C16A0"/>
    <w:rsid w:val="05A21299"/>
    <w:rsid w:val="05B32263"/>
    <w:rsid w:val="05B361B0"/>
    <w:rsid w:val="05BD11C0"/>
    <w:rsid w:val="05BF6DD4"/>
    <w:rsid w:val="05E90499"/>
    <w:rsid w:val="061810AC"/>
    <w:rsid w:val="067A1443"/>
    <w:rsid w:val="068861CD"/>
    <w:rsid w:val="06950563"/>
    <w:rsid w:val="06AB765D"/>
    <w:rsid w:val="06D82A04"/>
    <w:rsid w:val="07B35756"/>
    <w:rsid w:val="07C826A0"/>
    <w:rsid w:val="07FB6206"/>
    <w:rsid w:val="086B1627"/>
    <w:rsid w:val="08815AC9"/>
    <w:rsid w:val="08AF6383"/>
    <w:rsid w:val="08CE50A2"/>
    <w:rsid w:val="08D06092"/>
    <w:rsid w:val="090F0F46"/>
    <w:rsid w:val="09105F6B"/>
    <w:rsid w:val="0927411B"/>
    <w:rsid w:val="09400895"/>
    <w:rsid w:val="09410786"/>
    <w:rsid w:val="09506E97"/>
    <w:rsid w:val="096E4BDE"/>
    <w:rsid w:val="097A6FAE"/>
    <w:rsid w:val="09A33F27"/>
    <w:rsid w:val="09A942E0"/>
    <w:rsid w:val="09F46F2B"/>
    <w:rsid w:val="0A020CC8"/>
    <w:rsid w:val="0A1A6BA1"/>
    <w:rsid w:val="0A22117A"/>
    <w:rsid w:val="0A2357E7"/>
    <w:rsid w:val="0A2A4178"/>
    <w:rsid w:val="0A2E32D6"/>
    <w:rsid w:val="0A3D1366"/>
    <w:rsid w:val="0A511942"/>
    <w:rsid w:val="0A5715CE"/>
    <w:rsid w:val="0A775E32"/>
    <w:rsid w:val="0A9E6A64"/>
    <w:rsid w:val="0B154B72"/>
    <w:rsid w:val="0B1908D7"/>
    <w:rsid w:val="0B3A0912"/>
    <w:rsid w:val="0B401F45"/>
    <w:rsid w:val="0B470389"/>
    <w:rsid w:val="0B503ADC"/>
    <w:rsid w:val="0B823161"/>
    <w:rsid w:val="0B8F249E"/>
    <w:rsid w:val="0B9B0117"/>
    <w:rsid w:val="0BA0142C"/>
    <w:rsid w:val="0BA614E4"/>
    <w:rsid w:val="0BB81638"/>
    <w:rsid w:val="0BC1630D"/>
    <w:rsid w:val="0C2377D2"/>
    <w:rsid w:val="0C97696A"/>
    <w:rsid w:val="0CA13F10"/>
    <w:rsid w:val="0CAB158C"/>
    <w:rsid w:val="0CB63601"/>
    <w:rsid w:val="0CC15698"/>
    <w:rsid w:val="0CEB5481"/>
    <w:rsid w:val="0D0B1624"/>
    <w:rsid w:val="0D505E2C"/>
    <w:rsid w:val="0D585338"/>
    <w:rsid w:val="0D9576B8"/>
    <w:rsid w:val="0DBA4C21"/>
    <w:rsid w:val="0DF32836"/>
    <w:rsid w:val="0E2A5B67"/>
    <w:rsid w:val="0E6B087B"/>
    <w:rsid w:val="0E9509E0"/>
    <w:rsid w:val="0E98405A"/>
    <w:rsid w:val="0EB16117"/>
    <w:rsid w:val="0EF676B4"/>
    <w:rsid w:val="0F1D3BA3"/>
    <w:rsid w:val="0F2374A6"/>
    <w:rsid w:val="0F3E2330"/>
    <w:rsid w:val="0F5922C4"/>
    <w:rsid w:val="0F7A2B00"/>
    <w:rsid w:val="0F864C61"/>
    <w:rsid w:val="0FAF6695"/>
    <w:rsid w:val="0FEB581A"/>
    <w:rsid w:val="104C1DAB"/>
    <w:rsid w:val="106A61FD"/>
    <w:rsid w:val="107D0857"/>
    <w:rsid w:val="10D512D6"/>
    <w:rsid w:val="10D526CD"/>
    <w:rsid w:val="10F23B4B"/>
    <w:rsid w:val="11065714"/>
    <w:rsid w:val="11130E1D"/>
    <w:rsid w:val="111B222B"/>
    <w:rsid w:val="1141098B"/>
    <w:rsid w:val="114A031E"/>
    <w:rsid w:val="117E687D"/>
    <w:rsid w:val="11951017"/>
    <w:rsid w:val="11952432"/>
    <w:rsid w:val="11A51620"/>
    <w:rsid w:val="11A67E8E"/>
    <w:rsid w:val="11B24AC5"/>
    <w:rsid w:val="120944D0"/>
    <w:rsid w:val="122C7336"/>
    <w:rsid w:val="12567E12"/>
    <w:rsid w:val="12665D0E"/>
    <w:rsid w:val="127F5A75"/>
    <w:rsid w:val="128E7C3F"/>
    <w:rsid w:val="12941548"/>
    <w:rsid w:val="12D57697"/>
    <w:rsid w:val="13022ACB"/>
    <w:rsid w:val="130E2DB7"/>
    <w:rsid w:val="13304545"/>
    <w:rsid w:val="13515295"/>
    <w:rsid w:val="136662BE"/>
    <w:rsid w:val="136B273D"/>
    <w:rsid w:val="1392511C"/>
    <w:rsid w:val="1397219B"/>
    <w:rsid w:val="139F4E77"/>
    <w:rsid w:val="13A273FA"/>
    <w:rsid w:val="13A322F4"/>
    <w:rsid w:val="13D45423"/>
    <w:rsid w:val="14492239"/>
    <w:rsid w:val="14C44CA4"/>
    <w:rsid w:val="151B3EAB"/>
    <w:rsid w:val="15846359"/>
    <w:rsid w:val="15D25E6F"/>
    <w:rsid w:val="15D66839"/>
    <w:rsid w:val="15F5652D"/>
    <w:rsid w:val="164F02FB"/>
    <w:rsid w:val="16582103"/>
    <w:rsid w:val="171D1904"/>
    <w:rsid w:val="179B588C"/>
    <w:rsid w:val="179D074C"/>
    <w:rsid w:val="17D97B24"/>
    <w:rsid w:val="17E017EF"/>
    <w:rsid w:val="18380BE4"/>
    <w:rsid w:val="183D2D4A"/>
    <w:rsid w:val="189D6EEE"/>
    <w:rsid w:val="18A36AD0"/>
    <w:rsid w:val="18B22615"/>
    <w:rsid w:val="18E831AB"/>
    <w:rsid w:val="191C7912"/>
    <w:rsid w:val="195F2559"/>
    <w:rsid w:val="197A5A2F"/>
    <w:rsid w:val="19CA6313"/>
    <w:rsid w:val="1A033C11"/>
    <w:rsid w:val="1A6426EA"/>
    <w:rsid w:val="1AC8765A"/>
    <w:rsid w:val="1AF07D02"/>
    <w:rsid w:val="1B2C2467"/>
    <w:rsid w:val="1B555DA1"/>
    <w:rsid w:val="1BA63D15"/>
    <w:rsid w:val="1BA75D7C"/>
    <w:rsid w:val="1BB235FD"/>
    <w:rsid w:val="1BBA2063"/>
    <w:rsid w:val="1BD233A7"/>
    <w:rsid w:val="1BE31FE6"/>
    <w:rsid w:val="1BE77C01"/>
    <w:rsid w:val="1BE93AA2"/>
    <w:rsid w:val="1BFF7525"/>
    <w:rsid w:val="1C014E9C"/>
    <w:rsid w:val="1C3506F8"/>
    <w:rsid w:val="1C3E4E22"/>
    <w:rsid w:val="1CB16260"/>
    <w:rsid w:val="1CF52092"/>
    <w:rsid w:val="1CFE5096"/>
    <w:rsid w:val="1D0C0C51"/>
    <w:rsid w:val="1D38111E"/>
    <w:rsid w:val="1D6A041E"/>
    <w:rsid w:val="1D712D42"/>
    <w:rsid w:val="1D8D0FFF"/>
    <w:rsid w:val="1D8E3FE2"/>
    <w:rsid w:val="1D901C5F"/>
    <w:rsid w:val="1D914B1E"/>
    <w:rsid w:val="1D9D7DD7"/>
    <w:rsid w:val="1DA27D62"/>
    <w:rsid w:val="1DB573D4"/>
    <w:rsid w:val="1DBD1BC3"/>
    <w:rsid w:val="1DBF4AE9"/>
    <w:rsid w:val="1DC62704"/>
    <w:rsid w:val="1DE54BDC"/>
    <w:rsid w:val="1DFE4E00"/>
    <w:rsid w:val="1E16642F"/>
    <w:rsid w:val="1E247101"/>
    <w:rsid w:val="1E710B23"/>
    <w:rsid w:val="1E7C7427"/>
    <w:rsid w:val="1EA03948"/>
    <w:rsid w:val="1EEA3715"/>
    <w:rsid w:val="1EF37632"/>
    <w:rsid w:val="1F1148B9"/>
    <w:rsid w:val="1F353386"/>
    <w:rsid w:val="1F4C6F1D"/>
    <w:rsid w:val="1F5A23A1"/>
    <w:rsid w:val="1F9B2DAC"/>
    <w:rsid w:val="1FA248D6"/>
    <w:rsid w:val="1FA7240C"/>
    <w:rsid w:val="20AE0D3C"/>
    <w:rsid w:val="20BE2F91"/>
    <w:rsid w:val="20FA12AE"/>
    <w:rsid w:val="21171601"/>
    <w:rsid w:val="211A5ECC"/>
    <w:rsid w:val="211B22D5"/>
    <w:rsid w:val="2130749E"/>
    <w:rsid w:val="21497727"/>
    <w:rsid w:val="21667363"/>
    <w:rsid w:val="21B76072"/>
    <w:rsid w:val="21D5280D"/>
    <w:rsid w:val="21D70C2F"/>
    <w:rsid w:val="22022A44"/>
    <w:rsid w:val="2230521E"/>
    <w:rsid w:val="22356D25"/>
    <w:rsid w:val="22544438"/>
    <w:rsid w:val="225E45B8"/>
    <w:rsid w:val="22823FE3"/>
    <w:rsid w:val="22D81909"/>
    <w:rsid w:val="22DB223E"/>
    <w:rsid w:val="22E36146"/>
    <w:rsid w:val="231A327F"/>
    <w:rsid w:val="233151F7"/>
    <w:rsid w:val="234415BE"/>
    <w:rsid w:val="23AC027B"/>
    <w:rsid w:val="23DA55ED"/>
    <w:rsid w:val="23E747D5"/>
    <w:rsid w:val="240B43AC"/>
    <w:rsid w:val="242306AC"/>
    <w:rsid w:val="2440631F"/>
    <w:rsid w:val="24606160"/>
    <w:rsid w:val="247114FA"/>
    <w:rsid w:val="24926FFA"/>
    <w:rsid w:val="24BF6B5E"/>
    <w:rsid w:val="24C45D9D"/>
    <w:rsid w:val="24DB3A60"/>
    <w:rsid w:val="24E973FA"/>
    <w:rsid w:val="24F21767"/>
    <w:rsid w:val="2505521B"/>
    <w:rsid w:val="250C26EC"/>
    <w:rsid w:val="250D3848"/>
    <w:rsid w:val="252E130C"/>
    <w:rsid w:val="254C05F5"/>
    <w:rsid w:val="2586353D"/>
    <w:rsid w:val="25913A30"/>
    <w:rsid w:val="259D13DD"/>
    <w:rsid w:val="25AF3565"/>
    <w:rsid w:val="25C91BA8"/>
    <w:rsid w:val="25F64996"/>
    <w:rsid w:val="260A75DC"/>
    <w:rsid w:val="260D244D"/>
    <w:rsid w:val="26BE709E"/>
    <w:rsid w:val="26DE2854"/>
    <w:rsid w:val="26FE2BD1"/>
    <w:rsid w:val="27100A78"/>
    <w:rsid w:val="2712520E"/>
    <w:rsid w:val="272B758F"/>
    <w:rsid w:val="272D37BF"/>
    <w:rsid w:val="273B3B94"/>
    <w:rsid w:val="274E5A0C"/>
    <w:rsid w:val="278F2208"/>
    <w:rsid w:val="27A532E1"/>
    <w:rsid w:val="27AB1B53"/>
    <w:rsid w:val="27E935C7"/>
    <w:rsid w:val="280C702B"/>
    <w:rsid w:val="28137E3A"/>
    <w:rsid w:val="281615FF"/>
    <w:rsid w:val="28186E7A"/>
    <w:rsid w:val="282D759A"/>
    <w:rsid w:val="283A32F8"/>
    <w:rsid w:val="28BF76CA"/>
    <w:rsid w:val="28C16F27"/>
    <w:rsid w:val="28D64D2B"/>
    <w:rsid w:val="291F1B93"/>
    <w:rsid w:val="29201183"/>
    <w:rsid w:val="29204CB2"/>
    <w:rsid w:val="29237FC7"/>
    <w:rsid w:val="29254881"/>
    <w:rsid w:val="294F7AF5"/>
    <w:rsid w:val="29B51492"/>
    <w:rsid w:val="29F321BE"/>
    <w:rsid w:val="29FF40AF"/>
    <w:rsid w:val="2A1D2A71"/>
    <w:rsid w:val="2A2C5132"/>
    <w:rsid w:val="2A7B2B2D"/>
    <w:rsid w:val="2ADC4373"/>
    <w:rsid w:val="2B3B6263"/>
    <w:rsid w:val="2B420C52"/>
    <w:rsid w:val="2BA33E43"/>
    <w:rsid w:val="2BCE3C18"/>
    <w:rsid w:val="2BD6751A"/>
    <w:rsid w:val="2BE24865"/>
    <w:rsid w:val="2C1D1163"/>
    <w:rsid w:val="2C220F47"/>
    <w:rsid w:val="2C57273E"/>
    <w:rsid w:val="2C76556F"/>
    <w:rsid w:val="2C771EB1"/>
    <w:rsid w:val="2C82336E"/>
    <w:rsid w:val="2C88637D"/>
    <w:rsid w:val="2C9D4A29"/>
    <w:rsid w:val="2CAC12D7"/>
    <w:rsid w:val="2CD877F3"/>
    <w:rsid w:val="2CFD6D01"/>
    <w:rsid w:val="2D011777"/>
    <w:rsid w:val="2D4F190A"/>
    <w:rsid w:val="2D7C75B6"/>
    <w:rsid w:val="2DB81EEB"/>
    <w:rsid w:val="2DC54411"/>
    <w:rsid w:val="2DF874AF"/>
    <w:rsid w:val="2E1A43DA"/>
    <w:rsid w:val="2E4F022D"/>
    <w:rsid w:val="2E59375F"/>
    <w:rsid w:val="2E990F6F"/>
    <w:rsid w:val="2E9E361B"/>
    <w:rsid w:val="2F3D3A1C"/>
    <w:rsid w:val="2F464BF8"/>
    <w:rsid w:val="2F5B7B82"/>
    <w:rsid w:val="2FA0033E"/>
    <w:rsid w:val="2FA74A53"/>
    <w:rsid w:val="2FCE7E78"/>
    <w:rsid w:val="2FDA70C7"/>
    <w:rsid w:val="30270164"/>
    <w:rsid w:val="303258F5"/>
    <w:rsid w:val="30384C45"/>
    <w:rsid w:val="30454BCD"/>
    <w:rsid w:val="30A96A41"/>
    <w:rsid w:val="30C723E3"/>
    <w:rsid w:val="31672480"/>
    <w:rsid w:val="316E0C38"/>
    <w:rsid w:val="319C07E5"/>
    <w:rsid w:val="31AA3435"/>
    <w:rsid w:val="32094CB5"/>
    <w:rsid w:val="321F210B"/>
    <w:rsid w:val="32736C96"/>
    <w:rsid w:val="32882F65"/>
    <w:rsid w:val="32956DD8"/>
    <w:rsid w:val="32B60A5B"/>
    <w:rsid w:val="32BC063B"/>
    <w:rsid w:val="32C50129"/>
    <w:rsid w:val="32DB6260"/>
    <w:rsid w:val="32F26E57"/>
    <w:rsid w:val="32F428D4"/>
    <w:rsid w:val="32FA49E9"/>
    <w:rsid w:val="3314524F"/>
    <w:rsid w:val="3328221A"/>
    <w:rsid w:val="333510BE"/>
    <w:rsid w:val="333B6385"/>
    <w:rsid w:val="33440B3E"/>
    <w:rsid w:val="33CB20CB"/>
    <w:rsid w:val="33DD1095"/>
    <w:rsid w:val="33ED75F1"/>
    <w:rsid w:val="341941E4"/>
    <w:rsid w:val="346A2A9E"/>
    <w:rsid w:val="34874D8D"/>
    <w:rsid w:val="34FD3DBF"/>
    <w:rsid w:val="35317E94"/>
    <w:rsid w:val="35333C44"/>
    <w:rsid w:val="35565E6A"/>
    <w:rsid w:val="355D11BD"/>
    <w:rsid w:val="35855E8A"/>
    <w:rsid w:val="35AD6EB7"/>
    <w:rsid w:val="35B723B1"/>
    <w:rsid w:val="35BE7625"/>
    <w:rsid w:val="362077F1"/>
    <w:rsid w:val="366A5049"/>
    <w:rsid w:val="3696268B"/>
    <w:rsid w:val="36EF39BD"/>
    <w:rsid w:val="373A439D"/>
    <w:rsid w:val="37883B59"/>
    <w:rsid w:val="379449B5"/>
    <w:rsid w:val="37B50962"/>
    <w:rsid w:val="37B700B8"/>
    <w:rsid w:val="37BE19E1"/>
    <w:rsid w:val="37F339B5"/>
    <w:rsid w:val="380C62AE"/>
    <w:rsid w:val="387104BC"/>
    <w:rsid w:val="38DB081E"/>
    <w:rsid w:val="38E71B64"/>
    <w:rsid w:val="393A75ED"/>
    <w:rsid w:val="398637E7"/>
    <w:rsid w:val="398749D5"/>
    <w:rsid w:val="399F16B8"/>
    <w:rsid w:val="39B72FDF"/>
    <w:rsid w:val="39C775FB"/>
    <w:rsid w:val="3A410516"/>
    <w:rsid w:val="3A447F69"/>
    <w:rsid w:val="3A4C57CF"/>
    <w:rsid w:val="3A602AAF"/>
    <w:rsid w:val="3A6D3533"/>
    <w:rsid w:val="3A9A66F7"/>
    <w:rsid w:val="3ABA5F3A"/>
    <w:rsid w:val="3AD936AC"/>
    <w:rsid w:val="3AE60F2D"/>
    <w:rsid w:val="3AF84D80"/>
    <w:rsid w:val="3AFA6FEF"/>
    <w:rsid w:val="3B3373A7"/>
    <w:rsid w:val="3B4E46BB"/>
    <w:rsid w:val="3B737C6A"/>
    <w:rsid w:val="3B7C5D15"/>
    <w:rsid w:val="3BBB4D19"/>
    <w:rsid w:val="3BC66F24"/>
    <w:rsid w:val="3BC812D0"/>
    <w:rsid w:val="3BDF27F0"/>
    <w:rsid w:val="3BE815DF"/>
    <w:rsid w:val="3BEF0DBC"/>
    <w:rsid w:val="3C39787E"/>
    <w:rsid w:val="3C7A337A"/>
    <w:rsid w:val="3CD52F75"/>
    <w:rsid w:val="3CFF43DE"/>
    <w:rsid w:val="3D2A1CED"/>
    <w:rsid w:val="3DA26457"/>
    <w:rsid w:val="3E2143CB"/>
    <w:rsid w:val="3E365778"/>
    <w:rsid w:val="3E544CB7"/>
    <w:rsid w:val="3E695001"/>
    <w:rsid w:val="3E7C2604"/>
    <w:rsid w:val="3E9E307E"/>
    <w:rsid w:val="3EA12316"/>
    <w:rsid w:val="3EAB7532"/>
    <w:rsid w:val="3EC136E1"/>
    <w:rsid w:val="3EE97F9B"/>
    <w:rsid w:val="3EFA42ED"/>
    <w:rsid w:val="3F0C58AA"/>
    <w:rsid w:val="3F917BF4"/>
    <w:rsid w:val="3FC408B2"/>
    <w:rsid w:val="4018700E"/>
    <w:rsid w:val="403B5F3F"/>
    <w:rsid w:val="409C1C08"/>
    <w:rsid w:val="409D6733"/>
    <w:rsid w:val="40C050C3"/>
    <w:rsid w:val="411D47D3"/>
    <w:rsid w:val="414D534D"/>
    <w:rsid w:val="416D7A6F"/>
    <w:rsid w:val="41C07027"/>
    <w:rsid w:val="41DC7C8E"/>
    <w:rsid w:val="41E31FB1"/>
    <w:rsid w:val="41EF15B9"/>
    <w:rsid w:val="421915BA"/>
    <w:rsid w:val="4250129E"/>
    <w:rsid w:val="427E7997"/>
    <w:rsid w:val="42815A63"/>
    <w:rsid w:val="42AB1CBE"/>
    <w:rsid w:val="42BD504B"/>
    <w:rsid w:val="43114960"/>
    <w:rsid w:val="43383B03"/>
    <w:rsid w:val="436A1E24"/>
    <w:rsid w:val="43807CD1"/>
    <w:rsid w:val="43C2445E"/>
    <w:rsid w:val="43F45C2D"/>
    <w:rsid w:val="44085D57"/>
    <w:rsid w:val="44315734"/>
    <w:rsid w:val="44601EDF"/>
    <w:rsid w:val="44732F74"/>
    <w:rsid w:val="44806760"/>
    <w:rsid w:val="449D6A90"/>
    <w:rsid w:val="44B21CE6"/>
    <w:rsid w:val="45086DEE"/>
    <w:rsid w:val="450D042C"/>
    <w:rsid w:val="451329EE"/>
    <w:rsid w:val="452E517F"/>
    <w:rsid w:val="457E7292"/>
    <w:rsid w:val="45AA3413"/>
    <w:rsid w:val="45AB1C76"/>
    <w:rsid w:val="45D608E4"/>
    <w:rsid w:val="45F23AF0"/>
    <w:rsid w:val="466F5595"/>
    <w:rsid w:val="46804AC7"/>
    <w:rsid w:val="468C4F01"/>
    <w:rsid w:val="47003C8C"/>
    <w:rsid w:val="4716590B"/>
    <w:rsid w:val="478A69C8"/>
    <w:rsid w:val="479A5E22"/>
    <w:rsid w:val="47A93972"/>
    <w:rsid w:val="47D33B20"/>
    <w:rsid w:val="47F14F08"/>
    <w:rsid w:val="47F211B0"/>
    <w:rsid w:val="47FE5214"/>
    <w:rsid w:val="481924CA"/>
    <w:rsid w:val="481A4FAB"/>
    <w:rsid w:val="486362F5"/>
    <w:rsid w:val="48853036"/>
    <w:rsid w:val="48D537E3"/>
    <w:rsid w:val="48FF1E7A"/>
    <w:rsid w:val="49997AA9"/>
    <w:rsid w:val="49DA65B0"/>
    <w:rsid w:val="4A23529F"/>
    <w:rsid w:val="4A731C6D"/>
    <w:rsid w:val="4AA45224"/>
    <w:rsid w:val="4AE47352"/>
    <w:rsid w:val="4B052A7D"/>
    <w:rsid w:val="4B083983"/>
    <w:rsid w:val="4B1A3041"/>
    <w:rsid w:val="4B25276E"/>
    <w:rsid w:val="4B2E1252"/>
    <w:rsid w:val="4B693429"/>
    <w:rsid w:val="4B7E3AC1"/>
    <w:rsid w:val="4B8B5E82"/>
    <w:rsid w:val="4BDC5D97"/>
    <w:rsid w:val="4C0C7A62"/>
    <w:rsid w:val="4C211FFE"/>
    <w:rsid w:val="4C330885"/>
    <w:rsid w:val="4C353150"/>
    <w:rsid w:val="4C5C7730"/>
    <w:rsid w:val="4C793778"/>
    <w:rsid w:val="4C854663"/>
    <w:rsid w:val="4C8F0991"/>
    <w:rsid w:val="4C933A54"/>
    <w:rsid w:val="4CDA02B2"/>
    <w:rsid w:val="4D0C4842"/>
    <w:rsid w:val="4D135650"/>
    <w:rsid w:val="4D291CB4"/>
    <w:rsid w:val="4D472048"/>
    <w:rsid w:val="4D6F7C2D"/>
    <w:rsid w:val="4D7F1DEC"/>
    <w:rsid w:val="4D915EC7"/>
    <w:rsid w:val="4DAF18C4"/>
    <w:rsid w:val="4DB36E86"/>
    <w:rsid w:val="4DC840D7"/>
    <w:rsid w:val="4E272BEB"/>
    <w:rsid w:val="4E5F1027"/>
    <w:rsid w:val="4EA75C87"/>
    <w:rsid w:val="4EDB6309"/>
    <w:rsid w:val="4EE15C00"/>
    <w:rsid w:val="4EEB33C3"/>
    <w:rsid w:val="4F277882"/>
    <w:rsid w:val="4F3B5EE6"/>
    <w:rsid w:val="4F504329"/>
    <w:rsid w:val="4F5919DB"/>
    <w:rsid w:val="4F8A471C"/>
    <w:rsid w:val="4FB22B79"/>
    <w:rsid w:val="4FF375A2"/>
    <w:rsid w:val="500017DF"/>
    <w:rsid w:val="500C144A"/>
    <w:rsid w:val="50127534"/>
    <w:rsid w:val="503F2CE7"/>
    <w:rsid w:val="504B787D"/>
    <w:rsid w:val="50593D3D"/>
    <w:rsid w:val="507E1E2B"/>
    <w:rsid w:val="50890C73"/>
    <w:rsid w:val="50996795"/>
    <w:rsid w:val="50E15BF3"/>
    <w:rsid w:val="51057ADA"/>
    <w:rsid w:val="51145BE4"/>
    <w:rsid w:val="51146C5A"/>
    <w:rsid w:val="512872AF"/>
    <w:rsid w:val="514878DB"/>
    <w:rsid w:val="519277C8"/>
    <w:rsid w:val="519911E7"/>
    <w:rsid w:val="51AE23A7"/>
    <w:rsid w:val="51B275C6"/>
    <w:rsid w:val="51BD5002"/>
    <w:rsid w:val="51DC4C54"/>
    <w:rsid w:val="51E14F93"/>
    <w:rsid w:val="51FD4CF7"/>
    <w:rsid w:val="520B4A50"/>
    <w:rsid w:val="520E5EDB"/>
    <w:rsid w:val="520F3D2E"/>
    <w:rsid w:val="52107BBB"/>
    <w:rsid w:val="52371B3E"/>
    <w:rsid w:val="525F176E"/>
    <w:rsid w:val="526A5E68"/>
    <w:rsid w:val="5285632D"/>
    <w:rsid w:val="52AC5523"/>
    <w:rsid w:val="52DE47C6"/>
    <w:rsid w:val="52EF6B4F"/>
    <w:rsid w:val="52F94A37"/>
    <w:rsid w:val="5314011E"/>
    <w:rsid w:val="5327783B"/>
    <w:rsid w:val="53731AAC"/>
    <w:rsid w:val="53F52FD5"/>
    <w:rsid w:val="53F67036"/>
    <w:rsid w:val="53F76F71"/>
    <w:rsid w:val="540338EE"/>
    <w:rsid w:val="540C30A6"/>
    <w:rsid w:val="5421107A"/>
    <w:rsid w:val="54260B5A"/>
    <w:rsid w:val="54A66EE6"/>
    <w:rsid w:val="54C27D40"/>
    <w:rsid w:val="54D715CC"/>
    <w:rsid w:val="54E30523"/>
    <w:rsid w:val="55066F6E"/>
    <w:rsid w:val="551A3E74"/>
    <w:rsid w:val="5564762F"/>
    <w:rsid w:val="556D0513"/>
    <w:rsid w:val="557038C2"/>
    <w:rsid w:val="55AC714F"/>
    <w:rsid w:val="55C359EE"/>
    <w:rsid w:val="55F8384D"/>
    <w:rsid w:val="560662A1"/>
    <w:rsid w:val="561B227D"/>
    <w:rsid w:val="562B4A45"/>
    <w:rsid w:val="564C188B"/>
    <w:rsid w:val="568E1231"/>
    <w:rsid w:val="56D40B08"/>
    <w:rsid w:val="56DC698E"/>
    <w:rsid w:val="571723A4"/>
    <w:rsid w:val="57253706"/>
    <w:rsid w:val="572E3F60"/>
    <w:rsid w:val="57375890"/>
    <w:rsid w:val="57381352"/>
    <w:rsid w:val="574A7443"/>
    <w:rsid w:val="57525329"/>
    <w:rsid w:val="57687A13"/>
    <w:rsid w:val="576E524A"/>
    <w:rsid w:val="577337DA"/>
    <w:rsid w:val="57A63600"/>
    <w:rsid w:val="57E71233"/>
    <w:rsid w:val="5837692C"/>
    <w:rsid w:val="583915C2"/>
    <w:rsid w:val="58531B66"/>
    <w:rsid w:val="585A2DA9"/>
    <w:rsid w:val="58794897"/>
    <w:rsid w:val="58845962"/>
    <w:rsid w:val="58942A5F"/>
    <w:rsid w:val="58B773AC"/>
    <w:rsid w:val="58E9109F"/>
    <w:rsid w:val="58ED44A5"/>
    <w:rsid w:val="59065F1C"/>
    <w:rsid w:val="590A7C93"/>
    <w:rsid w:val="5947363D"/>
    <w:rsid w:val="59711E49"/>
    <w:rsid w:val="59C72908"/>
    <w:rsid w:val="59D352E6"/>
    <w:rsid w:val="59D4662E"/>
    <w:rsid w:val="59F4074F"/>
    <w:rsid w:val="59F86863"/>
    <w:rsid w:val="5A0E2B6F"/>
    <w:rsid w:val="5A1B1168"/>
    <w:rsid w:val="5A6560A5"/>
    <w:rsid w:val="5AA02374"/>
    <w:rsid w:val="5AF0058F"/>
    <w:rsid w:val="5B292C5E"/>
    <w:rsid w:val="5B781AD7"/>
    <w:rsid w:val="5B8958E1"/>
    <w:rsid w:val="5B996768"/>
    <w:rsid w:val="5BA133A8"/>
    <w:rsid w:val="5BD70C46"/>
    <w:rsid w:val="5BDD28CC"/>
    <w:rsid w:val="5C2955FB"/>
    <w:rsid w:val="5C390970"/>
    <w:rsid w:val="5C4A51D0"/>
    <w:rsid w:val="5C8C6A72"/>
    <w:rsid w:val="5CC31FE1"/>
    <w:rsid w:val="5CC51EC3"/>
    <w:rsid w:val="5CDC005E"/>
    <w:rsid w:val="5CE571FC"/>
    <w:rsid w:val="5CEA1BA7"/>
    <w:rsid w:val="5CEF1EAC"/>
    <w:rsid w:val="5D114D6B"/>
    <w:rsid w:val="5D194343"/>
    <w:rsid w:val="5D3A434D"/>
    <w:rsid w:val="5D4661F1"/>
    <w:rsid w:val="5D622736"/>
    <w:rsid w:val="5D8D03C1"/>
    <w:rsid w:val="5D9B65D3"/>
    <w:rsid w:val="5DAB52FA"/>
    <w:rsid w:val="5DB46785"/>
    <w:rsid w:val="5DD3352D"/>
    <w:rsid w:val="5E1468BE"/>
    <w:rsid w:val="5E1C1D40"/>
    <w:rsid w:val="5E495B28"/>
    <w:rsid w:val="5EC8541E"/>
    <w:rsid w:val="5EE5691C"/>
    <w:rsid w:val="5F0017B5"/>
    <w:rsid w:val="5F3479DF"/>
    <w:rsid w:val="5F386DD7"/>
    <w:rsid w:val="5F45269E"/>
    <w:rsid w:val="5F656483"/>
    <w:rsid w:val="5F781122"/>
    <w:rsid w:val="5FE219A0"/>
    <w:rsid w:val="6008294A"/>
    <w:rsid w:val="603437D8"/>
    <w:rsid w:val="60CF1147"/>
    <w:rsid w:val="60E1787D"/>
    <w:rsid w:val="60F75453"/>
    <w:rsid w:val="60FC1504"/>
    <w:rsid w:val="61046829"/>
    <w:rsid w:val="6115575B"/>
    <w:rsid w:val="611B7159"/>
    <w:rsid w:val="615C78E3"/>
    <w:rsid w:val="61687BBF"/>
    <w:rsid w:val="617175BF"/>
    <w:rsid w:val="61742D19"/>
    <w:rsid w:val="61816FD5"/>
    <w:rsid w:val="61DF4DB7"/>
    <w:rsid w:val="62136B98"/>
    <w:rsid w:val="62172E25"/>
    <w:rsid w:val="627B644B"/>
    <w:rsid w:val="62A95914"/>
    <w:rsid w:val="62CF7E75"/>
    <w:rsid w:val="62D0683D"/>
    <w:rsid w:val="63535E2B"/>
    <w:rsid w:val="635B6222"/>
    <w:rsid w:val="637E576A"/>
    <w:rsid w:val="63931EC9"/>
    <w:rsid w:val="63D33950"/>
    <w:rsid w:val="63D60257"/>
    <w:rsid w:val="63DA36A8"/>
    <w:rsid w:val="63E925C5"/>
    <w:rsid w:val="63F3761E"/>
    <w:rsid w:val="642E7A94"/>
    <w:rsid w:val="64922ECE"/>
    <w:rsid w:val="64B15580"/>
    <w:rsid w:val="64CC10A6"/>
    <w:rsid w:val="64CF10F5"/>
    <w:rsid w:val="64ED6D4B"/>
    <w:rsid w:val="653A51B8"/>
    <w:rsid w:val="6543199B"/>
    <w:rsid w:val="656164FC"/>
    <w:rsid w:val="65742119"/>
    <w:rsid w:val="658C3A08"/>
    <w:rsid w:val="65926A06"/>
    <w:rsid w:val="667167B1"/>
    <w:rsid w:val="667451A4"/>
    <w:rsid w:val="66B35C51"/>
    <w:rsid w:val="66B91246"/>
    <w:rsid w:val="66E77C5A"/>
    <w:rsid w:val="67373D62"/>
    <w:rsid w:val="673821AD"/>
    <w:rsid w:val="6739196F"/>
    <w:rsid w:val="678243B9"/>
    <w:rsid w:val="67942ECE"/>
    <w:rsid w:val="679C3E24"/>
    <w:rsid w:val="67C77A4A"/>
    <w:rsid w:val="67C940D7"/>
    <w:rsid w:val="67DC569D"/>
    <w:rsid w:val="6819747A"/>
    <w:rsid w:val="6842537B"/>
    <w:rsid w:val="686901AD"/>
    <w:rsid w:val="68727135"/>
    <w:rsid w:val="687B7247"/>
    <w:rsid w:val="68A56915"/>
    <w:rsid w:val="68B96038"/>
    <w:rsid w:val="68C51C64"/>
    <w:rsid w:val="69167679"/>
    <w:rsid w:val="6940217B"/>
    <w:rsid w:val="69474951"/>
    <w:rsid w:val="694B6C1E"/>
    <w:rsid w:val="698B4B60"/>
    <w:rsid w:val="69E43CA7"/>
    <w:rsid w:val="69E75B92"/>
    <w:rsid w:val="69EA4638"/>
    <w:rsid w:val="69FB3CBA"/>
    <w:rsid w:val="6A2416FB"/>
    <w:rsid w:val="6A620090"/>
    <w:rsid w:val="6A9F142B"/>
    <w:rsid w:val="6AD540CD"/>
    <w:rsid w:val="6AF53048"/>
    <w:rsid w:val="6B0413A1"/>
    <w:rsid w:val="6B1F207F"/>
    <w:rsid w:val="6B492BE1"/>
    <w:rsid w:val="6B4F6ED5"/>
    <w:rsid w:val="6B5365CD"/>
    <w:rsid w:val="6B5D5B05"/>
    <w:rsid w:val="6B6C53F5"/>
    <w:rsid w:val="6B7D1E62"/>
    <w:rsid w:val="6B8C6A4C"/>
    <w:rsid w:val="6B94662C"/>
    <w:rsid w:val="6BB14B55"/>
    <w:rsid w:val="6BBB60F0"/>
    <w:rsid w:val="6BE446D9"/>
    <w:rsid w:val="6BFC5790"/>
    <w:rsid w:val="6C38092F"/>
    <w:rsid w:val="6C6325B0"/>
    <w:rsid w:val="6C6441BB"/>
    <w:rsid w:val="6D0F32B7"/>
    <w:rsid w:val="6D334D92"/>
    <w:rsid w:val="6D342E96"/>
    <w:rsid w:val="6D7A7255"/>
    <w:rsid w:val="6DA61988"/>
    <w:rsid w:val="6DB83F54"/>
    <w:rsid w:val="6DD04AC6"/>
    <w:rsid w:val="6DD72411"/>
    <w:rsid w:val="6DE76253"/>
    <w:rsid w:val="6E007417"/>
    <w:rsid w:val="6E1A52E8"/>
    <w:rsid w:val="6E343CA2"/>
    <w:rsid w:val="6E6C3288"/>
    <w:rsid w:val="6EAF2357"/>
    <w:rsid w:val="6ECC157B"/>
    <w:rsid w:val="6ECC7B9A"/>
    <w:rsid w:val="6ED113B4"/>
    <w:rsid w:val="6EE70312"/>
    <w:rsid w:val="6F0917CE"/>
    <w:rsid w:val="6F2E0D54"/>
    <w:rsid w:val="6F300E6F"/>
    <w:rsid w:val="6F313DDD"/>
    <w:rsid w:val="6F3773E4"/>
    <w:rsid w:val="6F81201F"/>
    <w:rsid w:val="6F957109"/>
    <w:rsid w:val="6F9733B4"/>
    <w:rsid w:val="6FD41330"/>
    <w:rsid w:val="70291E8F"/>
    <w:rsid w:val="704D48C9"/>
    <w:rsid w:val="705915EF"/>
    <w:rsid w:val="70934FD6"/>
    <w:rsid w:val="70C81AD6"/>
    <w:rsid w:val="70CB3315"/>
    <w:rsid w:val="715A08DA"/>
    <w:rsid w:val="715D64C5"/>
    <w:rsid w:val="716A0532"/>
    <w:rsid w:val="717153A1"/>
    <w:rsid w:val="71A507D9"/>
    <w:rsid w:val="71B81F17"/>
    <w:rsid w:val="7214450E"/>
    <w:rsid w:val="72185999"/>
    <w:rsid w:val="72612D41"/>
    <w:rsid w:val="72E81827"/>
    <w:rsid w:val="7318346A"/>
    <w:rsid w:val="732B6B93"/>
    <w:rsid w:val="7347019F"/>
    <w:rsid w:val="735C4F0D"/>
    <w:rsid w:val="73B00889"/>
    <w:rsid w:val="73E46EC4"/>
    <w:rsid w:val="74350450"/>
    <w:rsid w:val="74455EB8"/>
    <w:rsid w:val="746233F8"/>
    <w:rsid w:val="74647349"/>
    <w:rsid w:val="74D4455B"/>
    <w:rsid w:val="74D90C2B"/>
    <w:rsid w:val="752555B0"/>
    <w:rsid w:val="752943E7"/>
    <w:rsid w:val="753C27CF"/>
    <w:rsid w:val="754C7D80"/>
    <w:rsid w:val="757C7D22"/>
    <w:rsid w:val="75A354B7"/>
    <w:rsid w:val="75B35B00"/>
    <w:rsid w:val="75C02FFC"/>
    <w:rsid w:val="75C23336"/>
    <w:rsid w:val="75D44376"/>
    <w:rsid w:val="7628293E"/>
    <w:rsid w:val="762C39CA"/>
    <w:rsid w:val="76374581"/>
    <w:rsid w:val="76452218"/>
    <w:rsid w:val="76895E7D"/>
    <w:rsid w:val="76B76661"/>
    <w:rsid w:val="76CE70A0"/>
    <w:rsid w:val="76D147D0"/>
    <w:rsid w:val="76EF53AF"/>
    <w:rsid w:val="76FE1F46"/>
    <w:rsid w:val="773623B6"/>
    <w:rsid w:val="77523F9C"/>
    <w:rsid w:val="776F40B1"/>
    <w:rsid w:val="77702A42"/>
    <w:rsid w:val="777040C4"/>
    <w:rsid w:val="77710031"/>
    <w:rsid w:val="778D7D57"/>
    <w:rsid w:val="779F060C"/>
    <w:rsid w:val="77E5441F"/>
    <w:rsid w:val="78061744"/>
    <w:rsid w:val="781C5EAD"/>
    <w:rsid w:val="784229DE"/>
    <w:rsid w:val="785B4326"/>
    <w:rsid w:val="786945CD"/>
    <w:rsid w:val="788804C0"/>
    <w:rsid w:val="78894145"/>
    <w:rsid w:val="789D41A1"/>
    <w:rsid w:val="78A91123"/>
    <w:rsid w:val="78AF3DE4"/>
    <w:rsid w:val="78B57BD7"/>
    <w:rsid w:val="78BD023A"/>
    <w:rsid w:val="78EF29B1"/>
    <w:rsid w:val="7937151E"/>
    <w:rsid w:val="793D59A3"/>
    <w:rsid w:val="795521D7"/>
    <w:rsid w:val="79B54AB1"/>
    <w:rsid w:val="79C84CFE"/>
    <w:rsid w:val="79DE5E78"/>
    <w:rsid w:val="7A377794"/>
    <w:rsid w:val="7A4A3B11"/>
    <w:rsid w:val="7A7908DA"/>
    <w:rsid w:val="7A875A1E"/>
    <w:rsid w:val="7A894FC9"/>
    <w:rsid w:val="7A8D114B"/>
    <w:rsid w:val="7A934687"/>
    <w:rsid w:val="7ACA21DD"/>
    <w:rsid w:val="7ADA64DC"/>
    <w:rsid w:val="7ADC5F04"/>
    <w:rsid w:val="7AEF4CBD"/>
    <w:rsid w:val="7B300187"/>
    <w:rsid w:val="7B393C2D"/>
    <w:rsid w:val="7B3E7254"/>
    <w:rsid w:val="7B78539E"/>
    <w:rsid w:val="7B8E542E"/>
    <w:rsid w:val="7B952855"/>
    <w:rsid w:val="7BBE3493"/>
    <w:rsid w:val="7BC234D3"/>
    <w:rsid w:val="7BEC3607"/>
    <w:rsid w:val="7C5465C9"/>
    <w:rsid w:val="7C6A3326"/>
    <w:rsid w:val="7C8227B8"/>
    <w:rsid w:val="7CA729B5"/>
    <w:rsid w:val="7D0F1D9C"/>
    <w:rsid w:val="7D493485"/>
    <w:rsid w:val="7D5907C0"/>
    <w:rsid w:val="7D665F8C"/>
    <w:rsid w:val="7D6734C5"/>
    <w:rsid w:val="7DB32025"/>
    <w:rsid w:val="7DF4742C"/>
    <w:rsid w:val="7E085643"/>
    <w:rsid w:val="7E296FB1"/>
    <w:rsid w:val="7E361E9E"/>
    <w:rsid w:val="7E5F0E48"/>
    <w:rsid w:val="7E9D4019"/>
    <w:rsid w:val="7EB300C6"/>
    <w:rsid w:val="7ECB65C6"/>
    <w:rsid w:val="7EE428B0"/>
    <w:rsid w:val="7EEA67C5"/>
    <w:rsid w:val="7EF276EE"/>
    <w:rsid w:val="7EF57991"/>
    <w:rsid w:val="7EF64E9E"/>
    <w:rsid w:val="7F5E23CE"/>
    <w:rsid w:val="7FB26024"/>
    <w:rsid w:val="7FB713E0"/>
    <w:rsid w:val="7FCB52E4"/>
    <w:rsid w:val="7FF8677C"/>
    <w:rsid w:val="7FFE6B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5"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5"/>
    <w:pPr>
      <w:widowControl w:val="0"/>
      <w:jc w:val="both"/>
    </w:pPr>
    <w:rPr>
      <w:rFonts w:asciiTheme="minorHAnsi" w:hAnsiTheme="minorHAnsi" w:eastAsiaTheme="minorEastAsia" w:cstheme="minorBidi"/>
      <w:kern w:val="2"/>
      <w:sz w:val="21"/>
      <w:szCs w:val="21"/>
      <w:lang w:val="en-US" w:eastAsia="zh-CN" w:bidi="ar-SA"/>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toc 7"/>
    <w:basedOn w:val="1"/>
    <w:next w:val="1"/>
    <w:unhideWhenUsed/>
    <w:qFormat/>
    <w:uiPriority w:val="39"/>
    <w:pPr>
      <w:ind w:left="1260"/>
      <w:jc w:val="left"/>
    </w:pPr>
    <w:rPr>
      <w:rFonts w:cstheme="minorHAnsi"/>
      <w:sz w:val="18"/>
      <w:szCs w:val="18"/>
    </w:rPr>
  </w:style>
  <w:style w:type="paragraph" w:styleId="3">
    <w:name w:val="annotation text"/>
    <w:basedOn w:val="1"/>
    <w:semiHidden/>
    <w:unhideWhenUsed/>
    <w:qFormat/>
    <w:uiPriority w:val="99"/>
    <w:pPr>
      <w:jc w:val="left"/>
    </w:pPr>
  </w:style>
  <w:style w:type="paragraph" w:styleId="4">
    <w:name w:val="toc 5"/>
    <w:basedOn w:val="1"/>
    <w:next w:val="1"/>
    <w:unhideWhenUsed/>
    <w:qFormat/>
    <w:uiPriority w:val="39"/>
    <w:pPr>
      <w:ind w:left="840"/>
      <w:jc w:val="left"/>
    </w:pPr>
    <w:rPr>
      <w:rFonts w:cstheme="minorHAnsi"/>
      <w:sz w:val="18"/>
      <w:szCs w:val="18"/>
    </w:rPr>
  </w:style>
  <w:style w:type="paragraph" w:styleId="5">
    <w:name w:val="toc 3"/>
    <w:basedOn w:val="1"/>
    <w:next w:val="1"/>
    <w:unhideWhenUsed/>
    <w:qFormat/>
    <w:uiPriority w:val="39"/>
    <w:pPr>
      <w:ind w:left="420"/>
      <w:jc w:val="left"/>
    </w:pPr>
    <w:rPr>
      <w:rFonts w:cstheme="minorHAnsi"/>
      <w:i/>
      <w:iCs/>
      <w:sz w:val="20"/>
      <w:szCs w:val="20"/>
    </w:rPr>
  </w:style>
  <w:style w:type="paragraph" w:styleId="6">
    <w:name w:val="toc 8"/>
    <w:basedOn w:val="1"/>
    <w:next w:val="1"/>
    <w:unhideWhenUsed/>
    <w:qFormat/>
    <w:uiPriority w:val="39"/>
    <w:pPr>
      <w:ind w:left="1470"/>
      <w:jc w:val="left"/>
    </w:pPr>
    <w:rPr>
      <w:rFonts w:cstheme="minorHAnsi"/>
      <w:sz w:val="18"/>
      <w:szCs w:val="18"/>
    </w:rPr>
  </w:style>
  <w:style w:type="paragraph" w:styleId="7">
    <w:name w:val="Balloon Text"/>
    <w:basedOn w:val="1"/>
    <w:link w:val="33"/>
    <w:semiHidden/>
    <w:unhideWhenUsed/>
    <w:qFormat/>
    <w:uiPriority w:val="99"/>
    <w:rPr>
      <w:sz w:val="18"/>
      <w:szCs w:val="18"/>
    </w:rPr>
  </w:style>
  <w:style w:type="paragraph" w:styleId="8">
    <w:name w:val="footer"/>
    <w:basedOn w:val="1"/>
    <w:link w:val="28"/>
    <w:unhideWhenUsed/>
    <w:qFormat/>
    <w:uiPriority w:val="99"/>
    <w:pPr>
      <w:tabs>
        <w:tab w:val="center" w:pos="4153"/>
        <w:tab w:val="right" w:pos="8306"/>
      </w:tabs>
      <w:snapToGrid w:val="0"/>
      <w:jc w:val="left"/>
    </w:pPr>
    <w:rPr>
      <w:sz w:val="18"/>
      <w:szCs w:val="18"/>
    </w:rPr>
  </w:style>
  <w:style w:type="paragraph" w:styleId="9">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pPr>
      <w:tabs>
        <w:tab w:val="left" w:pos="420"/>
        <w:tab w:val="right" w:leader="dot" w:pos="6709"/>
      </w:tabs>
      <w:spacing w:before="120" w:after="120"/>
      <w:ind w:firstLine="400"/>
      <w:jc w:val="left"/>
    </w:pPr>
    <w:rPr>
      <w:rFonts w:cstheme="minorHAnsi"/>
      <w:b/>
      <w:bCs/>
      <w:caps/>
      <w:sz w:val="20"/>
      <w:szCs w:val="20"/>
    </w:rPr>
  </w:style>
  <w:style w:type="paragraph" w:styleId="11">
    <w:name w:val="toc 4"/>
    <w:basedOn w:val="1"/>
    <w:next w:val="1"/>
    <w:unhideWhenUsed/>
    <w:qFormat/>
    <w:uiPriority w:val="39"/>
    <w:pPr>
      <w:ind w:left="630"/>
      <w:jc w:val="left"/>
    </w:pPr>
    <w:rPr>
      <w:rFonts w:cstheme="minorHAnsi"/>
      <w:sz w:val="18"/>
      <w:szCs w:val="18"/>
    </w:rPr>
  </w:style>
  <w:style w:type="paragraph" w:styleId="12">
    <w:name w:val="toc 6"/>
    <w:basedOn w:val="1"/>
    <w:next w:val="1"/>
    <w:unhideWhenUsed/>
    <w:qFormat/>
    <w:uiPriority w:val="39"/>
    <w:pPr>
      <w:ind w:left="1050"/>
      <w:jc w:val="left"/>
    </w:pPr>
    <w:rPr>
      <w:rFonts w:cstheme="minorHAnsi"/>
      <w:sz w:val="18"/>
      <w:szCs w:val="18"/>
    </w:rPr>
  </w:style>
  <w:style w:type="paragraph" w:styleId="13">
    <w:name w:val="toc 2"/>
    <w:basedOn w:val="1"/>
    <w:next w:val="1"/>
    <w:unhideWhenUsed/>
    <w:qFormat/>
    <w:uiPriority w:val="39"/>
    <w:pPr>
      <w:ind w:left="210"/>
      <w:jc w:val="left"/>
    </w:pPr>
    <w:rPr>
      <w:rFonts w:cstheme="minorHAnsi"/>
      <w:smallCaps/>
      <w:sz w:val="20"/>
      <w:szCs w:val="20"/>
    </w:rPr>
  </w:style>
  <w:style w:type="paragraph" w:styleId="14">
    <w:name w:val="toc 9"/>
    <w:basedOn w:val="1"/>
    <w:next w:val="1"/>
    <w:unhideWhenUsed/>
    <w:qFormat/>
    <w:uiPriority w:val="39"/>
    <w:pPr>
      <w:ind w:left="1680"/>
      <w:jc w:val="left"/>
    </w:pPr>
    <w:rPr>
      <w:rFonts w:cstheme="minorHAnsi"/>
      <w:sz w:val="18"/>
      <w:szCs w:val="18"/>
    </w:rPr>
  </w:style>
  <w:style w:type="paragraph" w:styleId="15">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table" w:styleId="17">
    <w:name w:val="Table Grid"/>
    <w:basedOn w:val="1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Hyperlink"/>
    <w:basedOn w:val="18"/>
    <w:unhideWhenUsed/>
    <w:qFormat/>
    <w:uiPriority w:val="99"/>
    <w:rPr>
      <w:color w:val="0563C1" w:themeColor="hyperlink"/>
      <w:u w:val="single"/>
    </w:rPr>
  </w:style>
  <w:style w:type="character" w:styleId="20">
    <w:name w:val="annotation reference"/>
    <w:basedOn w:val="18"/>
    <w:semiHidden/>
    <w:unhideWhenUsed/>
    <w:qFormat/>
    <w:uiPriority w:val="99"/>
    <w:rPr>
      <w:sz w:val="21"/>
      <w:szCs w:val="21"/>
    </w:rPr>
  </w:style>
  <w:style w:type="paragraph" w:customStyle="1" w:styleId="21">
    <w:name w:val="章"/>
    <w:basedOn w:val="1"/>
    <w:next w:val="1"/>
    <w:link w:val="23"/>
    <w:qFormat/>
    <w:uiPriority w:val="0"/>
    <w:pPr>
      <w:numPr>
        <w:ilvl w:val="0"/>
        <w:numId w:val="1"/>
      </w:numPr>
      <w:spacing w:line="360" w:lineRule="auto"/>
      <w:jc w:val="center"/>
      <w:outlineLvl w:val="0"/>
    </w:pPr>
    <w:rPr>
      <w:rFonts w:ascii="黑体" w:hAnsi="黑体" w:eastAsia="黑体"/>
      <w:sz w:val="28"/>
      <w:szCs w:val="28"/>
    </w:rPr>
  </w:style>
  <w:style w:type="paragraph" w:customStyle="1" w:styleId="22">
    <w:name w:val="节"/>
    <w:basedOn w:val="1"/>
    <w:next w:val="1"/>
    <w:link w:val="32"/>
    <w:qFormat/>
    <w:uiPriority w:val="1"/>
    <w:pPr>
      <w:numPr>
        <w:ilvl w:val="1"/>
        <w:numId w:val="1"/>
      </w:numPr>
      <w:spacing w:line="360" w:lineRule="auto"/>
      <w:jc w:val="center"/>
      <w:outlineLvl w:val="1"/>
    </w:pPr>
    <w:rPr>
      <w:rFonts w:ascii="宋体" w:hAnsi="宋体" w:eastAsia="宋体"/>
      <w:b/>
    </w:rPr>
  </w:style>
  <w:style w:type="character" w:customStyle="1" w:styleId="23">
    <w:name w:val="章 Char"/>
    <w:basedOn w:val="18"/>
    <w:link w:val="21"/>
    <w:qFormat/>
    <w:uiPriority w:val="0"/>
    <w:rPr>
      <w:rFonts w:ascii="黑体" w:hAnsi="黑体" w:eastAsia="黑体"/>
      <w:sz w:val="28"/>
      <w:szCs w:val="28"/>
    </w:rPr>
  </w:style>
  <w:style w:type="paragraph" w:customStyle="1" w:styleId="24">
    <w:name w:val="条"/>
    <w:basedOn w:val="25"/>
    <w:next w:val="1"/>
    <w:link w:val="34"/>
    <w:qFormat/>
    <w:uiPriority w:val="2"/>
    <w:pPr>
      <w:numPr>
        <w:ilvl w:val="3"/>
      </w:numPr>
      <w:jc w:val="both"/>
    </w:pPr>
  </w:style>
  <w:style w:type="paragraph" w:customStyle="1" w:styleId="25">
    <w:name w:val="条（无节）"/>
    <w:basedOn w:val="1"/>
    <w:next w:val="1"/>
    <w:qFormat/>
    <w:uiPriority w:val="4"/>
    <w:pPr>
      <w:numPr>
        <w:ilvl w:val="2"/>
        <w:numId w:val="1"/>
      </w:numPr>
      <w:spacing w:line="360" w:lineRule="auto"/>
      <w:jc w:val="left"/>
    </w:pPr>
    <w:rPr>
      <w:rFonts w:eastAsia="宋体"/>
    </w:rPr>
  </w:style>
  <w:style w:type="paragraph" w:customStyle="1" w:styleId="26">
    <w:name w:val="款"/>
    <w:next w:val="1"/>
    <w:qFormat/>
    <w:uiPriority w:val="3"/>
    <w:pPr>
      <w:widowControl w:val="0"/>
      <w:numPr>
        <w:ilvl w:val="4"/>
        <w:numId w:val="1"/>
      </w:numPr>
      <w:spacing w:line="360" w:lineRule="auto"/>
      <w:jc w:val="both"/>
    </w:pPr>
    <w:rPr>
      <w:rFonts w:eastAsia="宋体" w:asciiTheme="minorHAnsi" w:hAnsiTheme="minorHAnsi" w:cstheme="minorBidi"/>
      <w:kern w:val="2"/>
      <w:sz w:val="21"/>
      <w:szCs w:val="21"/>
      <w:lang w:val="en-US" w:eastAsia="zh-CN" w:bidi="ar-SA"/>
    </w:rPr>
  </w:style>
  <w:style w:type="character" w:customStyle="1" w:styleId="27">
    <w:name w:val="页眉 Char"/>
    <w:basedOn w:val="18"/>
    <w:link w:val="9"/>
    <w:qFormat/>
    <w:uiPriority w:val="99"/>
    <w:rPr>
      <w:sz w:val="18"/>
      <w:szCs w:val="18"/>
    </w:rPr>
  </w:style>
  <w:style w:type="character" w:customStyle="1" w:styleId="28">
    <w:name w:val="页脚 Char"/>
    <w:basedOn w:val="18"/>
    <w:link w:val="8"/>
    <w:qFormat/>
    <w:uiPriority w:val="99"/>
    <w:rPr>
      <w:sz w:val="18"/>
      <w:szCs w:val="18"/>
    </w:rPr>
  </w:style>
  <w:style w:type="paragraph" w:customStyle="1" w:styleId="29">
    <w:name w:val="标准正文"/>
    <w:basedOn w:val="1"/>
    <w:qFormat/>
    <w:uiPriority w:val="5"/>
    <w:pPr>
      <w:spacing w:line="360" w:lineRule="auto"/>
      <w:ind w:firstLine="420"/>
    </w:pPr>
  </w:style>
  <w:style w:type="paragraph" w:customStyle="1" w:styleId="30">
    <w:name w:val="WPSOffice手动目录 1"/>
    <w:qFormat/>
    <w:uiPriority w:val="0"/>
    <w:rPr>
      <w:rFonts w:ascii="Times New Roman" w:hAnsi="Times New Roman" w:eastAsia="宋体" w:cs="Times New Roman"/>
      <w:lang w:val="en-US" w:eastAsia="zh-CN" w:bidi="ar-SA"/>
    </w:rPr>
  </w:style>
  <w:style w:type="paragraph" w:customStyle="1" w:styleId="31">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32">
    <w:name w:val="节 Char"/>
    <w:link w:val="22"/>
    <w:qFormat/>
    <w:uiPriority w:val="1"/>
    <w:rPr>
      <w:rFonts w:ascii="宋体" w:hAnsi="宋体" w:eastAsia="宋体"/>
      <w:b/>
    </w:rPr>
  </w:style>
  <w:style w:type="character" w:customStyle="1" w:styleId="33">
    <w:name w:val="批注框文本 Char"/>
    <w:basedOn w:val="18"/>
    <w:link w:val="7"/>
    <w:semiHidden/>
    <w:qFormat/>
    <w:uiPriority w:val="99"/>
    <w:rPr>
      <w:rFonts w:asciiTheme="minorHAnsi" w:hAnsiTheme="minorHAnsi" w:eastAsiaTheme="minorEastAsia" w:cstheme="minorBidi"/>
      <w:kern w:val="2"/>
      <w:sz w:val="18"/>
      <w:szCs w:val="18"/>
    </w:rPr>
  </w:style>
  <w:style w:type="character" w:customStyle="1" w:styleId="34">
    <w:name w:val="条 Char"/>
    <w:link w:val="24"/>
    <w:qFormat/>
    <w:uiPriority w:val="2"/>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microsoft.com/office/2006/relationships/keyMapCustomizations" Target="customizations.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9" textRotate="1"/>
    <customShpInfo spid="_x0000_s4100"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BE13EF-7092-485C-B04F-1EFE399CC839}">
  <ds:schemaRefs/>
</ds:datastoreItem>
</file>

<file path=docProps/app.xml><?xml version="1.0" encoding="utf-8"?>
<Properties xmlns="http://schemas.openxmlformats.org/officeDocument/2006/extended-properties" xmlns:vt="http://schemas.openxmlformats.org/officeDocument/2006/docPropsVTypes">
  <Template>Normal.dotm</Template>
  <Company>shenduxitong</Company>
  <Pages>28</Pages>
  <Words>8323</Words>
  <Characters>9430</Characters>
  <Lines>126</Lines>
  <Paragraphs>35</Paragraphs>
  <TotalTime>3</TotalTime>
  <ScaleCrop>false</ScaleCrop>
  <LinksUpToDate>false</LinksUpToDate>
  <CharactersWithSpaces>9964</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2020-12-03T07:46:00Z</dcterms:created>
  <dc:creator>shendu</dc:creator>
  <cp:lastModifiedBy>瓶中沙</cp:lastModifiedBy>
  <dcterms:modified xsi:type="dcterms:W3CDTF">2021-12-27T03:12:55Z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6803D4398B74486E94407C48EFEFC041</vt:lpwstr>
  </property>
</Properties>
</file>